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C635A" w14:textId="6ECF7431" w:rsidR="00EF0B7F" w:rsidRPr="00290AC5" w:rsidRDefault="00201C0D" w:rsidP="00EF0B7F">
      <w:pPr>
        <w:pStyle w:val="Ttulo2"/>
        <w:jc w:val="center"/>
        <w:rPr>
          <w:rFonts w:ascii="Times New Roman" w:hAnsi="Times New Roman" w:cs="Times New Roman"/>
          <w:b/>
          <w:bCs/>
          <w:color w:val="auto"/>
          <w:sz w:val="24"/>
          <w:szCs w:val="24"/>
          <w:lang w:val="es-PE" w:eastAsia="ar-SA"/>
        </w:rPr>
      </w:pPr>
      <w:r w:rsidRPr="00290AC5">
        <w:rPr>
          <w:rFonts w:ascii="Times New Roman" w:hAnsi="Times New Roman" w:cs="Times New Roman"/>
          <w:b/>
          <w:bCs/>
          <w:color w:val="auto"/>
          <w:sz w:val="24"/>
          <w:szCs w:val="24"/>
          <w:lang w:val="es-PE" w:eastAsia="ar-SA"/>
        </w:rPr>
        <w:t xml:space="preserve">RESOLUCIÓN DE RECURSO IMPUGNATIVO </w:t>
      </w:r>
      <w:proofErr w:type="spellStart"/>
      <w:r w:rsidR="00707C99" w:rsidRPr="00290AC5">
        <w:rPr>
          <w:rFonts w:ascii="Times New Roman" w:hAnsi="Times New Roman" w:cs="Times New Roman"/>
          <w:b/>
          <w:bCs/>
          <w:color w:val="auto"/>
          <w:sz w:val="24"/>
          <w:szCs w:val="24"/>
          <w:lang w:val="es-PE" w:eastAsia="ar-SA"/>
        </w:rPr>
        <w:t>N°</w:t>
      </w:r>
      <w:proofErr w:type="spellEnd"/>
      <w:r w:rsidR="00707C99" w:rsidRPr="00290AC5">
        <w:rPr>
          <w:rFonts w:ascii="Times New Roman" w:hAnsi="Times New Roman" w:cs="Times New Roman"/>
          <w:b/>
          <w:bCs/>
          <w:color w:val="auto"/>
          <w:sz w:val="24"/>
          <w:szCs w:val="24"/>
          <w:lang w:val="es-PE" w:eastAsia="ar-SA"/>
        </w:rPr>
        <w:t xml:space="preserve"> </w:t>
      </w:r>
      <w:r w:rsidR="00C671F5" w:rsidRPr="00290AC5">
        <w:rPr>
          <w:rFonts w:ascii="Times New Roman" w:hAnsi="Times New Roman" w:cs="Times New Roman"/>
          <w:b/>
          <w:bCs/>
          <w:color w:val="auto"/>
          <w:sz w:val="24"/>
          <w:szCs w:val="24"/>
          <w:lang w:val="es-PE" w:eastAsia="ar-SA"/>
        </w:rPr>
        <w:t>0</w:t>
      </w:r>
      <w:r w:rsidR="00EF0B7F" w:rsidRPr="00290AC5">
        <w:rPr>
          <w:rFonts w:ascii="Times New Roman" w:hAnsi="Times New Roman" w:cs="Times New Roman"/>
          <w:b/>
          <w:bCs/>
          <w:color w:val="auto"/>
          <w:sz w:val="24"/>
          <w:szCs w:val="24"/>
          <w:lang w:val="es-PE" w:eastAsia="ar-SA"/>
        </w:rPr>
        <w:t>4</w:t>
      </w:r>
      <w:r w:rsidR="00290AC5" w:rsidRPr="00290AC5">
        <w:rPr>
          <w:rFonts w:ascii="Times New Roman" w:hAnsi="Times New Roman" w:cs="Times New Roman"/>
          <w:b/>
          <w:bCs/>
          <w:color w:val="auto"/>
          <w:sz w:val="24"/>
          <w:szCs w:val="24"/>
          <w:lang w:val="es-PE" w:eastAsia="ar-SA"/>
        </w:rPr>
        <w:t>5</w:t>
      </w:r>
      <w:r w:rsidR="00517CFF" w:rsidRPr="00290AC5">
        <w:rPr>
          <w:rFonts w:ascii="Times New Roman" w:hAnsi="Times New Roman" w:cs="Times New Roman"/>
          <w:b/>
          <w:bCs/>
          <w:color w:val="auto"/>
          <w:sz w:val="24"/>
          <w:szCs w:val="24"/>
          <w:lang w:val="es-PE" w:eastAsia="ar-SA"/>
        </w:rPr>
        <w:t>/</w:t>
      </w:r>
      <w:r w:rsidR="00C671F5" w:rsidRPr="00290AC5">
        <w:rPr>
          <w:rFonts w:ascii="Times New Roman" w:hAnsi="Times New Roman" w:cs="Times New Roman"/>
          <w:b/>
          <w:bCs/>
          <w:color w:val="auto"/>
          <w:sz w:val="24"/>
          <w:szCs w:val="24"/>
          <w:lang w:val="es-PE" w:eastAsia="ar-SA"/>
        </w:rPr>
        <w:t>2</w:t>
      </w:r>
      <w:r w:rsidR="00231C58" w:rsidRPr="00290AC5">
        <w:rPr>
          <w:rFonts w:ascii="Times New Roman" w:hAnsi="Times New Roman" w:cs="Times New Roman"/>
          <w:b/>
          <w:bCs/>
          <w:color w:val="auto"/>
          <w:sz w:val="24"/>
          <w:szCs w:val="24"/>
          <w:lang w:val="es-PE" w:eastAsia="ar-SA"/>
        </w:rPr>
        <w:t>1</w:t>
      </w:r>
    </w:p>
    <w:p w14:paraId="3D4CE234" w14:textId="77777777" w:rsidR="00EF0B7F" w:rsidRPr="00290AC5" w:rsidRDefault="00EF0B7F" w:rsidP="00EF0B7F">
      <w:pPr>
        <w:rPr>
          <w:rFonts w:ascii="Times New Roman" w:hAnsi="Times New Roman" w:cs="Times New Roman"/>
          <w:sz w:val="24"/>
          <w:szCs w:val="24"/>
          <w:lang w:val="es-PE" w:eastAsia="ar-SA"/>
        </w:rPr>
      </w:pPr>
    </w:p>
    <w:p w14:paraId="6F5DA668" w14:textId="77777777" w:rsidR="00290AC5" w:rsidRDefault="00290AC5" w:rsidP="00290AC5">
      <w:pPr>
        <w:jc w:val="both"/>
        <w:outlineLvl w:val="0"/>
        <w:rPr>
          <w:rFonts w:ascii="Times New Roman" w:hAnsi="Times New Roman" w:cs="Times New Roman"/>
          <w:b/>
          <w:bCs/>
          <w:sz w:val="24"/>
          <w:szCs w:val="24"/>
          <w:lang w:val="es-PE"/>
        </w:rPr>
      </w:pPr>
      <w:r w:rsidRPr="00290AC5">
        <w:rPr>
          <w:rFonts w:ascii="Times New Roman" w:hAnsi="Times New Roman" w:cs="Times New Roman"/>
          <w:b/>
          <w:bCs/>
          <w:sz w:val="24"/>
          <w:szCs w:val="24"/>
          <w:lang w:val="es-PE"/>
        </w:rPr>
        <w:t>VISTOS:</w:t>
      </w:r>
    </w:p>
    <w:p w14:paraId="30D601FC" w14:textId="69635AA2" w:rsidR="00290AC5" w:rsidRPr="00290AC5" w:rsidRDefault="00290AC5" w:rsidP="00290AC5">
      <w:pPr>
        <w:jc w:val="both"/>
        <w:outlineLvl w:val="0"/>
        <w:rPr>
          <w:rFonts w:ascii="Times New Roman" w:hAnsi="Times New Roman" w:cs="Times New Roman"/>
          <w:b/>
          <w:bCs/>
          <w:sz w:val="24"/>
          <w:szCs w:val="24"/>
          <w:lang w:val="es-PE"/>
        </w:rPr>
      </w:pPr>
      <w:r w:rsidRPr="00290AC5">
        <w:rPr>
          <w:rFonts w:ascii="Times New Roman" w:hAnsi="Times New Roman" w:cs="Times New Roman"/>
          <w:sz w:val="24"/>
          <w:szCs w:val="24"/>
          <w:lang w:val="es-PE"/>
        </w:rPr>
        <w:t xml:space="preserve">El recurso de impugnación presentado por </w:t>
      </w:r>
      <w:r w:rsidR="009B1EB9" w:rsidRPr="00B32523">
        <w:rPr>
          <w:rFonts w:ascii="Arial" w:hAnsi="Arial" w:cs="Arial"/>
          <w:lang w:val="es-PE"/>
        </w:rPr>
        <w:t>...................</w:t>
      </w:r>
      <w:r w:rsidR="009B1EB9" w:rsidRPr="0033211B">
        <w:rPr>
          <w:rFonts w:ascii="Times New Roman" w:eastAsia="Times New Roman" w:hAnsi="Times New Roman" w:cs="Times New Roman"/>
          <w:sz w:val="24"/>
          <w:szCs w:val="24"/>
          <w:lang w:val="es-ES" w:eastAsia="ar-SA"/>
        </w:rPr>
        <w:t xml:space="preserve"> </w:t>
      </w:r>
      <w:r w:rsidR="009B1EB9">
        <w:rPr>
          <w:rFonts w:ascii="Times New Roman" w:eastAsia="Times New Roman" w:hAnsi="Times New Roman" w:cs="Times New Roman"/>
          <w:sz w:val="24"/>
          <w:szCs w:val="24"/>
          <w:lang w:val="es-ES" w:eastAsia="ar-SA"/>
        </w:rPr>
        <w:t xml:space="preserve"> </w:t>
      </w:r>
      <w:r w:rsidRPr="00290AC5">
        <w:rPr>
          <w:rFonts w:ascii="Times New Roman" w:hAnsi="Times New Roman" w:cs="Times New Roman"/>
          <w:sz w:val="24"/>
          <w:szCs w:val="24"/>
          <w:lang w:val="es-PE"/>
        </w:rPr>
        <w:t xml:space="preserve">respecto de la Resolución Nro. 069/21, expedida por esta Defensoría del Asegurado (DEFASEG), conforme a la cual se declaró FUNDADA la reclamación interpuesta por </w:t>
      </w:r>
      <w:r w:rsidR="009B1EB9" w:rsidRPr="00B32523">
        <w:rPr>
          <w:rFonts w:ascii="Arial" w:hAnsi="Arial" w:cs="Arial"/>
          <w:lang w:val="es-PE"/>
        </w:rPr>
        <w:t>...................</w:t>
      </w:r>
      <w:r w:rsidR="009B1EB9" w:rsidRPr="0033211B">
        <w:rPr>
          <w:rFonts w:ascii="Times New Roman" w:eastAsia="Times New Roman" w:hAnsi="Times New Roman" w:cs="Times New Roman"/>
          <w:sz w:val="24"/>
          <w:szCs w:val="24"/>
          <w:lang w:val="es-ES" w:eastAsia="ar-SA"/>
        </w:rPr>
        <w:t xml:space="preserve"> </w:t>
      </w:r>
      <w:r w:rsidRPr="00290AC5">
        <w:rPr>
          <w:rFonts w:ascii="Times New Roman" w:hAnsi="Times New Roman" w:cs="Times New Roman"/>
          <w:sz w:val="24"/>
          <w:szCs w:val="24"/>
          <w:lang w:val="es-PE"/>
        </w:rPr>
        <w:t xml:space="preserve">respecto al </w:t>
      </w:r>
      <w:r w:rsidRPr="00290AC5">
        <w:rPr>
          <w:rFonts w:ascii="Times New Roman" w:hAnsi="Times New Roman" w:cs="Times New Roman"/>
          <w:b/>
          <w:sz w:val="24"/>
          <w:szCs w:val="24"/>
          <w:lang w:val="es-PE"/>
        </w:rPr>
        <w:t xml:space="preserve">SEGURO DE PROTECCIÓN FAMILIAR - PÓLIZA </w:t>
      </w:r>
      <w:r w:rsidR="009B1EB9" w:rsidRPr="00B32523">
        <w:rPr>
          <w:rFonts w:ascii="Arial" w:hAnsi="Arial" w:cs="Arial"/>
          <w:lang w:val="es-PE"/>
        </w:rPr>
        <w:t>...................</w:t>
      </w:r>
      <w:r w:rsidRPr="00290AC5">
        <w:rPr>
          <w:rFonts w:ascii="Times New Roman" w:hAnsi="Times New Roman" w:cs="Times New Roman"/>
          <w:b/>
          <w:sz w:val="24"/>
          <w:szCs w:val="24"/>
          <w:lang w:val="es-PE"/>
        </w:rPr>
        <w:t xml:space="preserve">, Certificado </w:t>
      </w:r>
      <w:bookmarkStart w:id="0" w:name="OLE_LINK2"/>
      <w:r w:rsidR="009B1EB9" w:rsidRPr="00B32523">
        <w:rPr>
          <w:rFonts w:ascii="Arial" w:hAnsi="Arial" w:cs="Arial"/>
          <w:lang w:val="es-PE"/>
        </w:rPr>
        <w:t>...................</w:t>
      </w:r>
      <w:r w:rsidRPr="00290AC5">
        <w:rPr>
          <w:rFonts w:ascii="Times New Roman" w:hAnsi="Times New Roman" w:cs="Times New Roman"/>
          <w:sz w:val="24"/>
          <w:szCs w:val="24"/>
          <w:lang w:val="es-PE"/>
        </w:rPr>
        <w:t>.</w:t>
      </w:r>
    </w:p>
    <w:bookmarkEnd w:id="0"/>
    <w:p w14:paraId="11D62493" w14:textId="6B0090E8" w:rsidR="00290AC5" w:rsidRPr="00290AC5" w:rsidRDefault="00290AC5" w:rsidP="00290AC5">
      <w:pPr>
        <w:jc w:val="both"/>
        <w:rPr>
          <w:rFonts w:ascii="Times New Roman" w:hAnsi="Times New Roman" w:cs="Times New Roman"/>
          <w:sz w:val="24"/>
          <w:szCs w:val="24"/>
          <w:lang w:val="es-PE" w:eastAsia="es-PE"/>
        </w:rPr>
      </w:pPr>
      <w:r w:rsidRPr="00290AC5">
        <w:rPr>
          <w:rFonts w:ascii="Times New Roman" w:hAnsi="Times New Roman" w:cs="Times New Roman"/>
          <w:sz w:val="24"/>
          <w:szCs w:val="24"/>
          <w:lang w:val="es-PE"/>
        </w:rPr>
        <w:t xml:space="preserve">Que, el indicado recurso se sustenta resumidamente en lo siguiente: (1) </w:t>
      </w:r>
      <w:r w:rsidRPr="00290AC5">
        <w:rPr>
          <w:rFonts w:ascii="Times New Roman" w:hAnsi="Times New Roman" w:cs="Times New Roman"/>
          <w:sz w:val="24"/>
          <w:szCs w:val="24"/>
          <w:lang w:val="es-PE" w:eastAsia="es-PE"/>
        </w:rPr>
        <w:t xml:space="preserve">el asegurado o la reclamante (beneficiaria) incumplió con cancelar las primas de seguros de los meses siguientes: marzo, abril, mayo, junio, julio, agosto, septiembre, octubre, noviembre; (2) los herederos o familiares del asegurado, no presentaron ninguna solicitud de cobertura durante la fecha del siniestro; es decir, en el mes de abril de 2020, ni realizaron ninguna comunicación informando de ello a la aseguradora; (3) si bien es cierto, obra en el reclamo las declaraciones de parte de la señora </w:t>
      </w:r>
      <w:r w:rsidR="009B1EB9" w:rsidRPr="00B32523">
        <w:rPr>
          <w:rFonts w:ascii="Arial" w:hAnsi="Arial" w:cs="Arial"/>
          <w:lang w:val="es-PE"/>
        </w:rPr>
        <w:t>...................</w:t>
      </w:r>
      <w:r w:rsidRPr="00290AC5">
        <w:rPr>
          <w:rFonts w:ascii="Times New Roman" w:hAnsi="Times New Roman" w:cs="Times New Roman"/>
          <w:sz w:val="24"/>
          <w:szCs w:val="24"/>
          <w:lang w:val="es-PE" w:eastAsia="es-PE"/>
        </w:rPr>
        <w:t>, donde menciona que puso en comunicación del siniestro a la aseguradora; sin embargo, no ha acreditado a la fecha con medio de prueba pertinente (audio) que ello hubiera ocurrido en realidad; (4) para la referida Póliza se fijó la prima comercial de S/43.47 soles mensuales, habiendo sido cancelado únicamente hasta febrero de 2020 (con último día de cobertura 15 de marzo de 2020); (5) la parte reclamante incumplió con el pago de las primas de seguro siguientes, por tanto, la póliza fue anulada posteriormente por falta de pago; (6) en la fecha del siniestro, la parte reclamante no cumplió con presentar la información pertinente para la cobertura de seguro; sino hasta después de la anulación del seguro (en noviembre de 2020), por tanto, se le informó mediante carta de rechazo que no procedía la cobertura debido a que a esa fecha la Póliza ya había sido anulada por falta de pago; (7) quedaba en evidencia que el asegurado o la reclamante no habían cancelado desde febrero de 2020, en adelante las cuotas pendientes de pago, por lo que su póliza fue anulada a los 90 días del primer vencimiento.</w:t>
      </w:r>
    </w:p>
    <w:p w14:paraId="17DE7438" w14:textId="1EB16FE4" w:rsidR="00290AC5" w:rsidRPr="00290AC5" w:rsidRDefault="00290AC5" w:rsidP="00290AC5">
      <w:pPr>
        <w:pStyle w:val="Textoindependiente"/>
        <w:rPr>
          <w:lang w:val="es-PE"/>
        </w:rPr>
      </w:pPr>
      <w:r w:rsidRPr="00290AC5">
        <w:rPr>
          <w:lang w:val="es-PE"/>
        </w:rPr>
        <w:t xml:space="preserve">Que, la reclamante no absolvió el traslado del recurso interpuesto. </w:t>
      </w:r>
    </w:p>
    <w:p w14:paraId="70BC521E" w14:textId="77777777" w:rsidR="00290AC5" w:rsidRDefault="00290AC5" w:rsidP="00290AC5">
      <w:pPr>
        <w:pStyle w:val="Textoindependiente"/>
        <w:tabs>
          <w:tab w:val="left" w:pos="930"/>
        </w:tabs>
        <w:rPr>
          <w:lang w:val="es-PE"/>
        </w:rPr>
      </w:pPr>
    </w:p>
    <w:p w14:paraId="192DB1B9" w14:textId="5A0E46BB" w:rsidR="00290AC5" w:rsidRPr="00290AC5" w:rsidRDefault="00290AC5" w:rsidP="00290AC5">
      <w:pPr>
        <w:pStyle w:val="Textoindependiente"/>
        <w:tabs>
          <w:tab w:val="left" w:pos="930"/>
        </w:tabs>
        <w:rPr>
          <w:lang w:val="es-PE"/>
        </w:rPr>
      </w:pPr>
      <w:r w:rsidRPr="00290AC5">
        <w:rPr>
          <w:lang w:val="es-PE"/>
        </w:rPr>
        <w:t>Que, atendiendo a lo expuesto, esta Defensoría resuelve finalmente lo siguiente:</w:t>
      </w:r>
    </w:p>
    <w:p w14:paraId="3FC6C8FE" w14:textId="77777777" w:rsidR="00290AC5" w:rsidRDefault="00290AC5" w:rsidP="00290AC5">
      <w:pPr>
        <w:jc w:val="both"/>
        <w:rPr>
          <w:rFonts w:ascii="Times New Roman" w:hAnsi="Times New Roman" w:cs="Times New Roman"/>
          <w:b/>
          <w:sz w:val="24"/>
          <w:szCs w:val="24"/>
          <w:u w:val="single"/>
          <w:lang w:val="es-PE"/>
        </w:rPr>
      </w:pPr>
    </w:p>
    <w:p w14:paraId="0843020F" w14:textId="03A72F1B" w:rsidR="00290AC5" w:rsidRPr="00290AC5" w:rsidRDefault="00290AC5" w:rsidP="00290AC5">
      <w:pPr>
        <w:jc w:val="both"/>
        <w:rPr>
          <w:rFonts w:ascii="Times New Roman" w:hAnsi="Times New Roman" w:cs="Times New Roman"/>
          <w:sz w:val="24"/>
          <w:szCs w:val="24"/>
          <w:lang w:val="es-PE"/>
        </w:rPr>
      </w:pPr>
      <w:r w:rsidRPr="00290AC5">
        <w:rPr>
          <w:rFonts w:ascii="Times New Roman" w:hAnsi="Times New Roman" w:cs="Times New Roman"/>
          <w:b/>
          <w:sz w:val="24"/>
          <w:szCs w:val="24"/>
          <w:u w:val="single"/>
          <w:lang w:val="es-PE"/>
        </w:rPr>
        <w:t>PRIMERO</w:t>
      </w:r>
      <w:r w:rsidRPr="00290AC5">
        <w:rPr>
          <w:rFonts w:ascii="Times New Roman" w:hAnsi="Times New Roman" w:cs="Times New Roman"/>
          <w:b/>
          <w:sz w:val="24"/>
          <w:szCs w:val="24"/>
          <w:lang w:val="es-PE"/>
        </w:rPr>
        <w:t>:</w:t>
      </w:r>
      <w:r w:rsidRPr="00290AC5">
        <w:rPr>
          <w:rFonts w:ascii="Times New Roman" w:hAnsi="Times New Roman" w:cs="Times New Roman"/>
          <w:sz w:val="24"/>
          <w:szCs w:val="24"/>
          <w:lang w:val="es-PE"/>
        </w:rPr>
        <w:t xml:space="preserve"> El artículo 10 (Procedimiento) del Reglamento de la DEFASEG </w:t>
      </w:r>
      <w:r w:rsidRPr="00290AC5">
        <w:rPr>
          <w:rFonts w:ascii="Times New Roman" w:eastAsia="Arial Unicode MS" w:hAnsi="Times New Roman" w:cs="Times New Roman"/>
          <w:sz w:val="24"/>
          <w:szCs w:val="24"/>
          <w:lang w:val="es-PE"/>
        </w:rPr>
        <w:t>(http://www.defaseg.com.pe/reglamento)</w:t>
      </w:r>
      <w:r w:rsidRPr="00290AC5">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1D75312F" w14:textId="77777777" w:rsidR="00290AC5" w:rsidRPr="00290AC5" w:rsidRDefault="00290AC5" w:rsidP="00290AC5">
      <w:pPr>
        <w:jc w:val="both"/>
        <w:rPr>
          <w:rFonts w:ascii="Times New Roman" w:hAnsi="Times New Roman" w:cs="Times New Roman"/>
          <w:sz w:val="24"/>
          <w:szCs w:val="24"/>
          <w:lang w:val="es-PE"/>
        </w:rPr>
      </w:pPr>
      <w:r w:rsidRPr="00290AC5">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14:paraId="0E8C85E3" w14:textId="77777777" w:rsidR="00290AC5" w:rsidRDefault="00290AC5" w:rsidP="00290AC5">
      <w:pPr>
        <w:jc w:val="both"/>
        <w:rPr>
          <w:rFonts w:ascii="Times New Roman" w:hAnsi="Times New Roman" w:cs="Times New Roman"/>
          <w:sz w:val="24"/>
          <w:szCs w:val="24"/>
          <w:lang w:val="es-PE"/>
        </w:rPr>
      </w:pPr>
      <w:r w:rsidRPr="00290AC5">
        <w:rPr>
          <w:rFonts w:ascii="Times New Roman" w:hAnsi="Times New Roman" w:cs="Times New Roman"/>
          <w:b/>
          <w:bCs/>
          <w:sz w:val="24"/>
          <w:szCs w:val="24"/>
          <w:u w:val="single"/>
          <w:lang w:val="es-PE"/>
        </w:rPr>
        <w:t>SEGUNDO</w:t>
      </w:r>
      <w:r w:rsidRPr="00290AC5">
        <w:rPr>
          <w:rFonts w:ascii="Times New Roman" w:hAnsi="Times New Roman" w:cs="Times New Roman"/>
          <w:b/>
          <w:bCs/>
          <w:sz w:val="24"/>
          <w:szCs w:val="24"/>
          <w:lang w:val="es-PE"/>
        </w:rPr>
        <w:t>:</w:t>
      </w:r>
      <w:r w:rsidRPr="00290AC5">
        <w:rPr>
          <w:rFonts w:ascii="Times New Roman" w:hAnsi="Times New Roman" w:cs="Times New Roman"/>
          <w:bCs/>
          <w:sz w:val="24"/>
          <w:szCs w:val="24"/>
          <w:lang w:val="es-PE"/>
        </w:rPr>
        <w:t xml:space="preserve"> Que el recurso de impugnación presentado por la aseguradora no se sustenta en nueva prueba, sino que se fundamenta en reiterar los argumentos del rechazo de cobertura que fuera desestimado por resultar contrario a lo establecido en la Ley del Contrato de Seguro</w:t>
      </w:r>
      <w:r w:rsidRPr="00290AC5">
        <w:rPr>
          <w:rFonts w:ascii="Times New Roman" w:hAnsi="Times New Roman" w:cs="Times New Roman"/>
          <w:sz w:val="24"/>
          <w:szCs w:val="24"/>
          <w:lang w:val="es-PE"/>
        </w:rPr>
        <w:t>.</w:t>
      </w:r>
    </w:p>
    <w:p w14:paraId="3D83F4D7" w14:textId="782393B8" w:rsidR="00290AC5" w:rsidRPr="00290AC5" w:rsidRDefault="00290AC5" w:rsidP="00290AC5">
      <w:pPr>
        <w:jc w:val="both"/>
        <w:rPr>
          <w:rFonts w:ascii="Times New Roman" w:hAnsi="Times New Roman" w:cs="Times New Roman"/>
          <w:sz w:val="24"/>
          <w:szCs w:val="24"/>
          <w:lang w:val="es-PE"/>
        </w:rPr>
      </w:pPr>
      <w:r w:rsidRPr="00290AC5">
        <w:rPr>
          <w:rFonts w:ascii="Times New Roman" w:hAnsi="Times New Roman" w:cs="Times New Roman"/>
          <w:bCs/>
          <w:sz w:val="24"/>
          <w:szCs w:val="24"/>
          <w:lang w:val="es-PE"/>
        </w:rPr>
        <w:lastRenderedPageBreak/>
        <w:t xml:space="preserve">En efecto, conforme a la resolución recurrida, se encontró ilegítimo el rechazo de cobertura al verificarse que la </w:t>
      </w:r>
      <w:r w:rsidRPr="00290AC5">
        <w:rPr>
          <w:rFonts w:ascii="Times New Roman" w:hAnsi="Times New Roman" w:cs="Times New Roman"/>
          <w:sz w:val="24"/>
          <w:szCs w:val="24"/>
          <w:lang w:val="es-PE" w:eastAsia="es-ES"/>
        </w:rPr>
        <w:t xml:space="preserve">Póliza </w:t>
      </w:r>
      <w:proofErr w:type="spellStart"/>
      <w:r w:rsidRPr="00290AC5">
        <w:rPr>
          <w:rFonts w:ascii="Times New Roman" w:hAnsi="Times New Roman" w:cs="Times New Roman"/>
          <w:sz w:val="24"/>
          <w:szCs w:val="24"/>
          <w:lang w:val="es-PE"/>
        </w:rPr>
        <w:t>N°</w:t>
      </w:r>
      <w:proofErr w:type="spellEnd"/>
      <w:r w:rsidRPr="00290AC5">
        <w:rPr>
          <w:rFonts w:ascii="Times New Roman" w:hAnsi="Times New Roman" w:cs="Times New Roman"/>
          <w:sz w:val="24"/>
          <w:szCs w:val="24"/>
          <w:lang w:val="es-PE"/>
        </w:rPr>
        <w:t xml:space="preserve"> </w:t>
      </w:r>
      <w:r w:rsidR="009B1EB9" w:rsidRPr="00B32523">
        <w:rPr>
          <w:rFonts w:ascii="Arial" w:hAnsi="Arial" w:cs="Arial"/>
          <w:lang w:val="es-PE"/>
        </w:rPr>
        <w:t>...................</w:t>
      </w:r>
      <w:r w:rsidR="009B1EB9" w:rsidRPr="0033211B">
        <w:rPr>
          <w:rFonts w:ascii="Times New Roman" w:eastAsia="Times New Roman" w:hAnsi="Times New Roman" w:cs="Times New Roman"/>
          <w:sz w:val="24"/>
          <w:szCs w:val="24"/>
          <w:lang w:val="es-ES" w:eastAsia="ar-SA"/>
        </w:rPr>
        <w:t xml:space="preserve"> </w:t>
      </w:r>
      <w:r w:rsidRPr="00290AC5">
        <w:rPr>
          <w:rFonts w:ascii="Times New Roman" w:hAnsi="Times New Roman" w:cs="Times New Roman"/>
          <w:sz w:val="24"/>
          <w:szCs w:val="24"/>
          <w:lang w:val="es-PE"/>
        </w:rPr>
        <w:t xml:space="preserve">- Certificado </w:t>
      </w:r>
      <w:r w:rsidR="009B1EB9" w:rsidRPr="00B32523">
        <w:rPr>
          <w:rFonts w:ascii="Arial" w:hAnsi="Arial" w:cs="Arial"/>
          <w:lang w:val="es-PE"/>
        </w:rPr>
        <w:t>...................</w:t>
      </w:r>
      <w:r w:rsidR="009B1EB9" w:rsidRPr="0033211B">
        <w:rPr>
          <w:rFonts w:ascii="Times New Roman" w:eastAsia="Times New Roman" w:hAnsi="Times New Roman" w:cs="Times New Roman"/>
          <w:sz w:val="24"/>
          <w:szCs w:val="24"/>
          <w:lang w:val="es-ES" w:eastAsia="ar-SA"/>
        </w:rPr>
        <w:t xml:space="preserve"> </w:t>
      </w:r>
      <w:r w:rsidRPr="00290AC5">
        <w:rPr>
          <w:rFonts w:ascii="Times New Roman" w:hAnsi="Times New Roman" w:cs="Times New Roman"/>
          <w:sz w:val="24"/>
          <w:szCs w:val="24"/>
          <w:lang w:val="es-PE"/>
        </w:rPr>
        <w:t xml:space="preserve"> no estuvo anulada antes de la ocurrencia del siniestro, esto es, con anterioridad al 11 de abril del 2020.</w:t>
      </w:r>
    </w:p>
    <w:p w14:paraId="6BE3B878" w14:textId="6B6152E7" w:rsidR="00290AC5" w:rsidRPr="00290AC5" w:rsidRDefault="00290AC5" w:rsidP="00290AC5">
      <w:pPr>
        <w:jc w:val="both"/>
        <w:rPr>
          <w:rFonts w:ascii="Times New Roman" w:hAnsi="Times New Roman" w:cs="Times New Roman"/>
          <w:sz w:val="24"/>
          <w:szCs w:val="24"/>
          <w:lang w:val="es-PE" w:eastAsia="es-PE"/>
        </w:rPr>
      </w:pPr>
      <w:r w:rsidRPr="00290AC5">
        <w:rPr>
          <w:rFonts w:ascii="Times New Roman" w:hAnsi="Times New Roman" w:cs="Times New Roman"/>
          <w:sz w:val="24"/>
          <w:szCs w:val="24"/>
          <w:lang w:val="es-PE"/>
        </w:rPr>
        <w:t xml:space="preserve">Asimismo, esta Defensoría constató que el </w:t>
      </w:r>
      <w:r w:rsidRPr="00290AC5">
        <w:rPr>
          <w:rFonts w:ascii="Times New Roman" w:hAnsi="Times New Roman" w:cs="Times New Roman"/>
          <w:bCs/>
          <w:sz w:val="24"/>
          <w:szCs w:val="24"/>
          <w:lang w:val="es-PE" w:eastAsia="es-ES"/>
        </w:rPr>
        <w:t xml:space="preserve">Seguro de Protección Familiar Póliza </w:t>
      </w:r>
      <w:r w:rsidR="009B1EB9" w:rsidRPr="00B32523">
        <w:rPr>
          <w:rFonts w:ascii="Arial" w:hAnsi="Arial" w:cs="Arial"/>
          <w:lang w:val="es-PE"/>
        </w:rPr>
        <w:t>...................</w:t>
      </w:r>
      <w:r w:rsidR="009B1EB9" w:rsidRPr="0033211B">
        <w:rPr>
          <w:rFonts w:ascii="Times New Roman" w:eastAsia="Times New Roman" w:hAnsi="Times New Roman" w:cs="Times New Roman"/>
          <w:sz w:val="24"/>
          <w:szCs w:val="24"/>
          <w:lang w:val="es-ES" w:eastAsia="ar-SA"/>
        </w:rPr>
        <w:t xml:space="preserve"> </w:t>
      </w:r>
      <w:r w:rsidRPr="00290AC5">
        <w:rPr>
          <w:rFonts w:ascii="Times New Roman" w:hAnsi="Times New Roman" w:cs="Times New Roman"/>
          <w:bCs/>
          <w:sz w:val="24"/>
          <w:szCs w:val="24"/>
          <w:lang w:val="es-PE" w:eastAsia="es-ES"/>
        </w:rPr>
        <w:t xml:space="preserve"> estuvo pagado hasta el 15 de marzo de 2020 y que, a partir del 15 de marzo de 2020, se incurrió en incumplimiento de pago de </w:t>
      </w:r>
      <w:r w:rsidRPr="00290AC5">
        <w:rPr>
          <w:rFonts w:ascii="Times New Roman" w:hAnsi="Times New Roman" w:cs="Times New Roman"/>
          <w:sz w:val="24"/>
          <w:szCs w:val="24"/>
          <w:lang w:val="es-PE" w:eastAsia="es-PE"/>
        </w:rPr>
        <w:t>las primas de seguros de los meses de marzo, abril, mayo, junio, julio, agosto, septiembre, octubre, noviembre de 2020.</w:t>
      </w:r>
    </w:p>
    <w:p w14:paraId="4357AC76" w14:textId="3FF9098A" w:rsidR="00290AC5" w:rsidRPr="00290AC5" w:rsidRDefault="00290AC5" w:rsidP="00290AC5">
      <w:pPr>
        <w:jc w:val="both"/>
        <w:rPr>
          <w:rFonts w:ascii="Times New Roman" w:hAnsi="Times New Roman" w:cs="Times New Roman"/>
          <w:sz w:val="24"/>
          <w:szCs w:val="24"/>
          <w:lang w:val="es-PE" w:eastAsia="es-PE"/>
        </w:rPr>
      </w:pPr>
      <w:r w:rsidRPr="00290AC5">
        <w:rPr>
          <w:rFonts w:ascii="Times New Roman" w:hAnsi="Times New Roman" w:cs="Times New Roman"/>
          <w:sz w:val="24"/>
          <w:szCs w:val="24"/>
          <w:lang w:val="es-PE" w:eastAsia="es-PE"/>
        </w:rPr>
        <w:t>Empero, también el Colegiado verificó que la cobertura no estuvo suspendida ni extinguida antes de la ocurrencia del siniestro acaecido el 11 de abril del 2020:</w:t>
      </w:r>
    </w:p>
    <w:p w14:paraId="15800E73" w14:textId="77777777" w:rsidR="00290AC5" w:rsidRPr="00290AC5" w:rsidRDefault="00290AC5" w:rsidP="00290AC5">
      <w:pPr>
        <w:tabs>
          <w:tab w:val="left" w:pos="2160"/>
        </w:tabs>
        <w:ind w:left="708"/>
        <w:jc w:val="both"/>
        <w:rPr>
          <w:rFonts w:ascii="Times New Roman" w:hAnsi="Times New Roman" w:cs="Times New Roman"/>
          <w:bCs/>
          <w:i/>
          <w:iCs/>
          <w:sz w:val="24"/>
          <w:szCs w:val="24"/>
          <w:lang w:val="es-PE" w:eastAsia="es-ES"/>
        </w:rPr>
      </w:pPr>
      <w:r w:rsidRPr="00290AC5">
        <w:rPr>
          <w:rFonts w:ascii="Times New Roman" w:hAnsi="Times New Roman" w:cs="Times New Roman"/>
          <w:bCs/>
          <w:i/>
          <w:iCs/>
          <w:sz w:val="24"/>
          <w:szCs w:val="24"/>
          <w:lang w:val="es-PE" w:eastAsia="es-ES"/>
        </w:rPr>
        <w:t>“SÉPTIMO:</w:t>
      </w:r>
    </w:p>
    <w:p w14:paraId="6CB7149C" w14:textId="77777777" w:rsidR="00290AC5" w:rsidRPr="00290AC5" w:rsidRDefault="00290AC5" w:rsidP="00290AC5">
      <w:pPr>
        <w:tabs>
          <w:tab w:val="left" w:pos="2160"/>
        </w:tabs>
        <w:ind w:left="708"/>
        <w:jc w:val="both"/>
        <w:rPr>
          <w:rFonts w:ascii="Times New Roman" w:hAnsi="Times New Roman" w:cs="Times New Roman"/>
          <w:bCs/>
          <w:i/>
          <w:iCs/>
          <w:sz w:val="24"/>
          <w:szCs w:val="24"/>
          <w:lang w:val="es-PE" w:eastAsia="es-ES"/>
        </w:rPr>
      </w:pPr>
      <w:r w:rsidRPr="00290AC5">
        <w:rPr>
          <w:rFonts w:ascii="Times New Roman" w:hAnsi="Times New Roman" w:cs="Times New Roman"/>
          <w:bCs/>
          <w:i/>
          <w:iCs/>
          <w:sz w:val="24"/>
          <w:szCs w:val="24"/>
          <w:lang w:val="es-PE" w:eastAsia="es-ES"/>
        </w:rPr>
        <w:t>(…)</w:t>
      </w:r>
    </w:p>
    <w:p w14:paraId="4F4A7592" w14:textId="4FEFD630" w:rsidR="00290AC5" w:rsidRPr="00290AC5" w:rsidRDefault="00290AC5" w:rsidP="00290AC5">
      <w:pPr>
        <w:tabs>
          <w:tab w:val="left" w:pos="2160"/>
        </w:tabs>
        <w:ind w:left="708"/>
        <w:jc w:val="both"/>
        <w:rPr>
          <w:rFonts w:ascii="Times New Roman" w:hAnsi="Times New Roman" w:cs="Times New Roman"/>
          <w:bCs/>
          <w:i/>
          <w:iCs/>
          <w:sz w:val="24"/>
          <w:szCs w:val="24"/>
          <w:lang w:val="es-PE" w:eastAsia="es-ES"/>
        </w:rPr>
      </w:pPr>
      <w:proofErr w:type="gramStart"/>
      <w:r w:rsidRPr="00290AC5">
        <w:rPr>
          <w:rFonts w:ascii="Times New Roman" w:hAnsi="Times New Roman" w:cs="Times New Roman"/>
          <w:bCs/>
          <w:i/>
          <w:iCs/>
          <w:sz w:val="24"/>
          <w:szCs w:val="24"/>
          <w:lang w:val="es-PE" w:eastAsia="es-ES"/>
        </w:rPr>
        <w:t>De acuerdo al</w:t>
      </w:r>
      <w:proofErr w:type="gramEnd"/>
      <w:r w:rsidRPr="00290AC5">
        <w:rPr>
          <w:rFonts w:ascii="Times New Roman" w:hAnsi="Times New Roman" w:cs="Times New Roman"/>
          <w:bCs/>
          <w:i/>
          <w:iCs/>
          <w:sz w:val="24"/>
          <w:szCs w:val="24"/>
          <w:lang w:val="es-PE" w:eastAsia="es-ES"/>
        </w:rPr>
        <w:t xml:space="preserve"> artículo 21 de la Ley del Contrato de Seguro, el incumplimiento de pago origina la suspensión automática de la cobertura del seguro una vez transcurridos treinta (30) días desde la fecha de vencimiento de la obligación, siempre y cuando el asegurador comunique de manera cierta al asegurado el incumplimiento del pago de la prima y sus consecuencias, así como indique el plazo de que dispone para pagar antes de la suspensión de la cobertura del seguro.</w:t>
      </w:r>
    </w:p>
    <w:p w14:paraId="228FA04D" w14:textId="3EF8CE39" w:rsidR="00290AC5" w:rsidRPr="00290AC5" w:rsidRDefault="00290AC5" w:rsidP="00290AC5">
      <w:pPr>
        <w:tabs>
          <w:tab w:val="left" w:pos="2160"/>
        </w:tabs>
        <w:ind w:left="708"/>
        <w:jc w:val="both"/>
        <w:rPr>
          <w:rFonts w:ascii="Times New Roman" w:hAnsi="Times New Roman" w:cs="Times New Roman"/>
          <w:bCs/>
          <w:i/>
          <w:iCs/>
          <w:sz w:val="24"/>
          <w:szCs w:val="24"/>
          <w:lang w:val="es-PE" w:eastAsia="es-ES"/>
        </w:rPr>
      </w:pPr>
      <w:r w:rsidRPr="00290AC5">
        <w:rPr>
          <w:rFonts w:ascii="Times New Roman" w:hAnsi="Times New Roman" w:cs="Times New Roman"/>
          <w:bCs/>
          <w:i/>
          <w:iCs/>
          <w:sz w:val="24"/>
          <w:szCs w:val="24"/>
          <w:lang w:val="es-PE" w:eastAsia="es-ES"/>
        </w:rPr>
        <w:t>En el presente caso, se advierte que, por un lado, el fallecimiento ocurrió antes de transcurrido el plazo de treinta días, y por el otro, la aseguradora no ha probado que haya cursado al asegurado la mencionada comunicación cierta imputando el incumplimiento y requiriendo el pago bajo apercibimiento de suspensión de la cobertura del seguro.</w:t>
      </w:r>
    </w:p>
    <w:p w14:paraId="1AFDF280" w14:textId="6A0C31ED" w:rsidR="00290AC5" w:rsidRPr="00290AC5" w:rsidRDefault="00290AC5" w:rsidP="00290AC5">
      <w:pPr>
        <w:tabs>
          <w:tab w:val="left" w:pos="2160"/>
        </w:tabs>
        <w:ind w:left="708"/>
        <w:jc w:val="both"/>
        <w:rPr>
          <w:rFonts w:ascii="Times New Roman" w:hAnsi="Times New Roman" w:cs="Times New Roman"/>
          <w:bCs/>
          <w:i/>
          <w:iCs/>
          <w:sz w:val="24"/>
          <w:szCs w:val="24"/>
          <w:lang w:val="es-PE" w:eastAsia="es-ES"/>
        </w:rPr>
      </w:pPr>
      <w:r w:rsidRPr="00290AC5">
        <w:rPr>
          <w:rFonts w:ascii="Times New Roman" w:hAnsi="Times New Roman" w:cs="Times New Roman"/>
          <w:bCs/>
          <w:i/>
          <w:iCs/>
          <w:sz w:val="24"/>
          <w:szCs w:val="24"/>
          <w:lang w:val="es-PE" w:eastAsia="es-ES"/>
        </w:rPr>
        <w:t>Asimismo, tal como lo dispone el indicado artículo 21 de la Ley del Contrato de Seguro, la extinción del contrato sólo opera luego de transcurrir noventa (90) días sin que el asegurador haya reclamado el pago de la prima impaga.</w:t>
      </w:r>
    </w:p>
    <w:p w14:paraId="6CF1FF36" w14:textId="0EC64C05" w:rsidR="00290AC5" w:rsidRPr="00290AC5" w:rsidRDefault="00290AC5" w:rsidP="00290AC5">
      <w:pPr>
        <w:tabs>
          <w:tab w:val="left" w:pos="2160"/>
        </w:tabs>
        <w:ind w:left="708"/>
        <w:jc w:val="both"/>
        <w:rPr>
          <w:rFonts w:ascii="Times New Roman" w:hAnsi="Times New Roman" w:cs="Times New Roman"/>
          <w:bCs/>
          <w:i/>
          <w:iCs/>
          <w:sz w:val="24"/>
          <w:szCs w:val="24"/>
          <w:lang w:val="es-PE" w:eastAsia="es-ES"/>
        </w:rPr>
      </w:pPr>
      <w:r w:rsidRPr="00290AC5">
        <w:rPr>
          <w:rFonts w:ascii="Times New Roman" w:hAnsi="Times New Roman" w:cs="Times New Roman"/>
          <w:bCs/>
          <w:i/>
          <w:iCs/>
          <w:sz w:val="24"/>
          <w:szCs w:val="24"/>
          <w:lang w:val="es-PE" w:eastAsia="es-ES"/>
        </w:rPr>
        <w:t xml:space="preserve">En tal sentido, esta Defensoría verifica que en el presente caso antes de la ocurrencia del siniestro, esto es el 11 de abril del 2020, no se había suspendido la cobertura por incumplimiento de pago de la </w:t>
      </w:r>
      <w:r w:rsidRPr="00290AC5">
        <w:rPr>
          <w:rFonts w:ascii="Times New Roman" w:hAnsi="Times New Roman" w:cs="Times New Roman"/>
          <w:i/>
          <w:iCs/>
          <w:sz w:val="24"/>
          <w:szCs w:val="24"/>
          <w:lang w:val="es-PE" w:eastAsia="es-ES"/>
        </w:rPr>
        <w:t xml:space="preserve">Póliza </w:t>
      </w:r>
      <w:proofErr w:type="spellStart"/>
      <w:r w:rsidRPr="00290AC5">
        <w:rPr>
          <w:rFonts w:ascii="Times New Roman" w:hAnsi="Times New Roman" w:cs="Times New Roman"/>
          <w:i/>
          <w:iCs/>
          <w:sz w:val="24"/>
          <w:szCs w:val="24"/>
          <w:lang w:val="es-PE"/>
        </w:rPr>
        <w:t>N°</w:t>
      </w:r>
      <w:proofErr w:type="spellEnd"/>
      <w:r w:rsidRPr="00290AC5">
        <w:rPr>
          <w:rFonts w:ascii="Times New Roman" w:hAnsi="Times New Roman" w:cs="Times New Roman"/>
          <w:i/>
          <w:iCs/>
          <w:sz w:val="24"/>
          <w:szCs w:val="24"/>
          <w:lang w:val="es-PE"/>
        </w:rPr>
        <w:t xml:space="preserve"> </w:t>
      </w:r>
      <w:r w:rsidR="009B1EB9" w:rsidRPr="00B32523">
        <w:rPr>
          <w:rFonts w:ascii="Arial" w:hAnsi="Arial" w:cs="Arial"/>
          <w:lang w:val="es-PE"/>
        </w:rPr>
        <w:t>...................</w:t>
      </w:r>
      <w:r w:rsidR="009B1EB9" w:rsidRPr="0033211B">
        <w:rPr>
          <w:rFonts w:ascii="Times New Roman" w:eastAsia="Times New Roman" w:hAnsi="Times New Roman" w:cs="Times New Roman"/>
          <w:sz w:val="24"/>
          <w:szCs w:val="24"/>
          <w:lang w:val="es-ES" w:eastAsia="ar-SA"/>
        </w:rPr>
        <w:t xml:space="preserve"> </w:t>
      </w:r>
      <w:r w:rsidRPr="00290AC5">
        <w:rPr>
          <w:rFonts w:ascii="Times New Roman" w:hAnsi="Times New Roman" w:cs="Times New Roman"/>
          <w:i/>
          <w:iCs/>
          <w:sz w:val="24"/>
          <w:szCs w:val="24"/>
          <w:lang w:val="es-PE"/>
        </w:rPr>
        <w:t xml:space="preserve">- Certificado </w:t>
      </w:r>
      <w:r w:rsidR="009B1EB9" w:rsidRPr="00B32523">
        <w:rPr>
          <w:rFonts w:ascii="Arial" w:hAnsi="Arial" w:cs="Arial"/>
          <w:lang w:val="es-PE"/>
        </w:rPr>
        <w:t>...................</w:t>
      </w:r>
      <w:r w:rsidRPr="00290AC5">
        <w:rPr>
          <w:rFonts w:ascii="Times New Roman" w:hAnsi="Times New Roman" w:cs="Times New Roman"/>
          <w:i/>
          <w:iCs/>
          <w:sz w:val="24"/>
          <w:szCs w:val="24"/>
          <w:lang w:val="es-PE"/>
        </w:rPr>
        <w:t xml:space="preserve">, ni el Seguro de Protección Familiar se había extinguido, puesto que no habían transcurrido los plazos legales que contempla el </w:t>
      </w:r>
      <w:r w:rsidRPr="00290AC5">
        <w:rPr>
          <w:rFonts w:ascii="Times New Roman" w:hAnsi="Times New Roman" w:cs="Times New Roman"/>
          <w:bCs/>
          <w:i/>
          <w:iCs/>
          <w:sz w:val="24"/>
          <w:szCs w:val="24"/>
          <w:lang w:val="es-PE" w:eastAsia="es-ES"/>
        </w:rPr>
        <w:t>artículo 21 de la Ley del Contrato de Seguro para que pueda operar cualquiera el supuesto de suspensión de cobertura o el de extinción de contrato.</w:t>
      </w:r>
    </w:p>
    <w:p w14:paraId="082A948A" w14:textId="4C43B92A" w:rsidR="00290AC5" w:rsidRPr="00290AC5" w:rsidRDefault="00290AC5" w:rsidP="00290AC5">
      <w:pPr>
        <w:tabs>
          <w:tab w:val="left" w:pos="2160"/>
        </w:tabs>
        <w:ind w:left="708"/>
        <w:jc w:val="both"/>
        <w:rPr>
          <w:rFonts w:ascii="Times New Roman" w:hAnsi="Times New Roman" w:cs="Times New Roman"/>
          <w:i/>
          <w:iCs/>
          <w:sz w:val="24"/>
          <w:szCs w:val="24"/>
          <w:lang w:val="es-PE"/>
        </w:rPr>
      </w:pPr>
      <w:r w:rsidRPr="00290AC5">
        <w:rPr>
          <w:rFonts w:ascii="Times New Roman" w:hAnsi="Times New Roman" w:cs="Times New Roman"/>
          <w:i/>
          <w:iCs/>
          <w:sz w:val="24"/>
          <w:szCs w:val="24"/>
          <w:lang w:val="es-PE"/>
        </w:rPr>
        <w:t>En función al análisis precedente, se verifica que no existe fundamento válido de rechazo de cobertura”.</w:t>
      </w:r>
    </w:p>
    <w:p w14:paraId="424E78BE" w14:textId="77777777" w:rsidR="00290AC5" w:rsidRDefault="00290AC5" w:rsidP="00290AC5">
      <w:pPr>
        <w:jc w:val="both"/>
        <w:rPr>
          <w:rFonts w:ascii="Times New Roman" w:hAnsi="Times New Roman" w:cs="Times New Roman"/>
          <w:bCs/>
          <w:sz w:val="24"/>
          <w:szCs w:val="24"/>
          <w:lang w:val="es-PE"/>
        </w:rPr>
      </w:pPr>
      <w:r w:rsidRPr="00290AC5">
        <w:rPr>
          <w:rFonts w:ascii="Times New Roman" w:hAnsi="Times New Roman" w:cs="Times New Roman"/>
          <w:bCs/>
          <w:sz w:val="24"/>
          <w:szCs w:val="24"/>
          <w:lang w:val="es-PE"/>
        </w:rPr>
        <w:t>Cabe reiterar que la extinción del contrato de seguro sólo opera después de transcurrido 90 días de verificarse el supuesto de falta de pago, que en el presente caso ocurrió recién el 15 de junio de 2020.</w:t>
      </w:r>
    </w:p>
    <w:p w14:paraId="356C6DC0" w14:textId="2F509AC6" w:rsidR="00290AC5" w:rsidRPr="00290AC5" w:rsidRDefault="00290AC5" w:rsidP="00290AC5">
      <w:pPr>
        <w:jc w:val="both"/>
        <w:rPr>
          <w:rFonts w:ascii="Times New Roman" w:hAnsi="Times New Roman" w:cs="Times New Roman"/>
          <w:bCs/>
          <w:sz w:val="24"/>
          <w:szCs w:val="24"/>
          <w:lang w:val="es-PE"/>
        </w:rPr>
      </w:pPr>
      <w:r w:rsidRPr="00290AC5">
        <w:rPr>
          <w:rFonts w:ascii="Times New Roman" w:hAnsi="Times New Roman" w:cs="Times New Roman"/>
          <w:bCs/>
          <w:sz w:val="24"/>
          <w:szCs w:val="24"/>
          <w:lang w:val="es-PE"/>
        </w:rPr>
        <w:lastRenderedPageBreak/>
        <w:t>En esa medida, es evidente que al momento de ocurrencia del siniestro la póliza estaba plenamente vigente, siendo ilegal la posición de la aseguradora que pretende retrotraer la extinción del contrato se seguro a una fecha anterior al plazo legal.</w:t>
      </w:r>
    </w:p>
    <w:p w14:paraId="74FBB29E" w14:textId="77777777" w:rsidR="00290AC5" w:rsidRPr="00290AC5" w:rsidRDefault="00290AC5" w:rsidP="00290AC5">
      <w:pPr>
        <w:jc w:val="both"/>
        <w:rPr>
          <w:rFonts w:ascii="Times New Roman" w:hAnsi="Times New Roman" w:cs="Times New Roman"/>
          <w:sz w:val="24"/>
          <w:szCs w:val="24"/>
          <w:lang w:val="es-PE"/>
        </w:rPr>
      </w:pPr>
      <w:r w:rsidRPr="00290AC5">
        <w:rPr>
          <w:rFonts w:ascii="Times New Roman" w:hAnsi="Times New Roman" w:cs="Times New Roman"/>
          <w:sz w:val="24"/>
          <w:szCs w:val="24"/>
          <w:lang w:val="es-PE"/>
        </w:rPr>
        <w:t xml:space="preserve">Por lo tanto, este Colegiado advierte que no existe falta de motivación ni vulneración al debido proceso, o error en la resolución impugnada, por cuanto esta se fundamenta en la aplicación del </w:t>
      </w:r>
      <w:r w:rsidRPr="00290AC5">
        <w:rPr>
          <w:rFonts w:ascii="Times New Roman" w:hAnsi="Times New Roman" w:cs="Times New Roman"/>
          <w:bCs/>
          <w:sz w:val="24"/>
          <w:szCs w:val="24"/>
          <w:lang w:val="es-PE"/>
        </w:rPr>
        <w:t>régimen legal vigente a la fecha.</w:t>
      </w:r>
    </w:p>
    <w:p w14:paraId="5F172FC4" w14:textId="77777777" w:rsidR="00290AC5" w:rsidRPr="00290AC5" w:rsidRDefault="00290AC5" w:rsidP="00290AC5">
      <w:pPr>
        <w:jc w:val="both"/>
        <w:rPr>
          <w:rFonts w:ascii="Times New Roman" w:hAnsi="Times New Roman" w:cs="Times New Roman"/>
          <w:sz w:val="24"/>
          <w:szCs w:val="24"/>
          <w:lang w:val="es-PE"/>
        </w:rPr>
      </w:pPr>
      <w:r w:rsidRPr="00290AC5">
        <w:rPr>
          <w:rFonts w:ascii="Times New Roman" w:hAnsi="Times New Roman" w:cs="Times New Roman"/>
          <w:b/>
          <w:sz w:val="24"/>
          <w:szCs w:val="24"/>
          <w:u w:val="single"/>
          <w:lang w:val="es-PE"/>
        </w:rPr>
        <w:t>TERCERO</w:t>
      </w:r>
      <w:r w:rsidRPr="00290AC5">
        <w:rPr>
          <w:rFonts w:ascii="Times New Roman" w:hAnsi="Times New Roman" w:cs="Times New Roman"/>
          <w:b/>
          <w:sz w:val="24"/>
          <w:szCs w:val="24"/>
          <w:lang w:val="es-PE"/>
        </w:rPr>
        <w:t>:</w:t>
      </w:r>
      <w:r w:rsidRPr="00290AC5">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14:paraId="1FFB4935" w14:textId="4BC37AF2" w:rsidR="00290AC5" w:rsidRPr="00290AC5" w:rsidRDefault="00290AC5" w:rsidP="00290AC5">
      <w:pPr>
        <w:jc w:val="both"/>
        <w:rPr>
          <w:rFonts w:ascii="Times New Roman" w:hAnsi="Times New Roman" w:cs="Times New Roman"/>
          <w:b/>
          <w:sz w:val="24"/>
          <w:szCs w:val="24"/>
          <w:lang w:val="es-PE"/>
        </w:rPr>
      </w:pPr>
      <w:r w:rsidRPr="00290AC5">
        <w:rPr>
          <w:rFonts w:ascii="Times New Roman" w:hAnsi="Times New Roman" w:cs="Times New Roman"/>
          <w:b/>
          <w:sz w:val="24"/>
          <w:szCs w:val="24"/>
          <w:lang w:val="es-PE"/>
        </w:rPr>
        <w:t>RESUELVE:</w:t>
      </w:r>
    </w:p>
    <w:p w14:paraId="06342C35" w14:textId="77777777" w:rsidR="00290AC5" w:rsidRPr="00290AC5" w:rsidRDefault="00290AC5" w:rsidP="00290AC5">
      <w:pPr>
        <w:jc w:val="both"/>
        <w:rPr>
          <w:rFonts w:ascii="Times New Roman" w:hAnsi="Times New Roman" w:cs="Times New Roman"/>
          <w:sz w:val="24"/>
          <w:szCs w:val="24"/>
          <w:lang w:val="es-PE"/>
        </w:rPr>
      </w:pPr>
      <w:r w:rsidRPr="00290AC5">
        <w:rPr>
          <w:rFonts w:ascii="Times New Roman" w:eastAsia="Arial Unicode MS" w:hAnsi="Times New Roman" w:cs="Times New Roman"/>
          <w:b/>
          <w:sz w:val="24"/>
          <w:szCs w:val="24"/>
          <w:lang w:val="es-PE"/>
        </w:rPr>
        <w:t>Declarar INFUNDADO el recurso de impugnación interpuesto y, por consiguiente, CONFIRMAR la Resolución Nro. 069/2021</w:t>
      </w:r>
      <w:r w:rsidRPr="00290AC5">
        <w:rPr>
          <w:rFonts w:ascii="Times New Roman" w:hAnsi="Times New Roman" w:cs="Times New Roman"/>
          <w:sz w:val="24"/>
          <w:szCs w:val="24"/>
          <w:lang w:val="es-PE"/>
        </w:rPr>
        <w:t>.</w:t>
      </w:r>
    </w:p>
    <w:p w14:paraId="489525D7" w14:textId="77777777" w:rsidR="005E398E" w:rsidRPr="00290AC5" w:rsidRDefault="005E398E" w:rsidP="00CF69DD">
      <w:pPr>
        <w:suppressAutoHyphens/>
        <w:spacing w:after="0" w:line="240" w:lineRule="auto"/>
        <w:outlineLvl w:val="0"/>
        <w:rPr>
          <w:rFonts w:ascii="Times New Roman" w:eastAsia="Arial Unicode MS" w:hAnsi="Times New Roman" w:cs="Times New Roman"/>
          <w:bCs/>
          <w:sz w:val="24"/>
          <w:szCs w:val="24"/>
          <w:lang w:val="es-PE"/>
        </w:rPr>
      </w:pPr>
    </w:p>
    <w:p w14:paraId="486C3F46" w14:textId="6C3EB2AD" w:rsidR="00C671F5" w:rsidRPr="00290AC5"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290AC5">
        <w:rPr>
          <w:rFonts w:ascii="Times New Roman" w:eastAsia="Arial Unicode MS" w:hAnsi="Times New Roman" w:cs="Times New Roman"/>
          <w:sz w:val="24"/>
          <w:szCs w:val="24"/>
          <w:lang w:val="es-PE" w:eastAsia="ar-SA"/>
        </w:rPr>
        <w:t xml:space="preserve">Lima, </w:t>
      </w:r>
      <w:r w:rsidR="005B1AC5" w:rsidRPr="00290AC5">
        <w:rPr>
          <w:rFonts w:ascii="Times New Roman" w:eastAsia="Arial Unicode MS" w:hAnsi="Times New Roman" w:cs="Times New Roman"/>
          <w:sz w:val="24"/>
          <w:szCs w:val="24"/>
          <w:lang w:val="es-PE" w:eastAsia="ar-SA"/>
        </w:rPr>
        <w:t>16</w:t>
      </w:r>
      <w:r w:rsidR="00CF69DD" w:rsidRPr="00290AC5">
        <w:rPr>
          <w:rFonts w:ascii="Times New Roman" w:eastAsia="Arial Unicode MS" w:hAnsi="Times New Roman" w:cs="Times New Roman"/>
          <w:sz w:val="24"/>
          <w:szCs w:val="24"/>
          <w:lang w:val="es-PE" w:eastAsia="ar-SA"/>
        </w:rPr>
        <w:t xml:space="preserve"> </w:t>
      </w:r>
      <w:r w:rsidR="00707C99" w:rsidRPr="00290AC5">
        <w:rPr>
          <w:rFonts w:ascii="Times New Roman" w:eastAsia="Arial Unicode MS" w:hAnsi="Times New Roman" w:cs="Times New Roman"/>
          <w:sz w:val="24"/>
          <w:szCs w:val="24"/>
          <w:lang w:val="es-PE" w:eastAsia="ar-SA"/>
        </w:rPr>
        <w:t>de</w:t>
      </w:r>
      <w:r w:rsidR="00864B0B" w:rsidRPr="00290AC5">
        <w:rPr>
          <w:rFonts w:ascii="Times New Roman" w:eastAsia="Arial Unicode MS" w:hAnsi="Times New Roman" w:cs="Times New Roman"/>
          <w:sz w:val="24"/>
          <w:szCs w:val="24"/>
          <w:lang w:val="es-PE" w:eastAsia="ar-SA"/>
        </w:rPr>
        <w:t xml:space="preserve"> </w:t>
      </w:r>
      <w:r w:rsidR="005B1AC5" w:rsidRPr="00290AC5">
        <w:rPr>
          <w:rFonts w:ascii="Times New Roman" w:eastAsia="Arial Unicode MS" w:hAnsi="Times New Roman" w:cs="Times New Roman"/>
          <w:sz w:val="24"/>
          <w:szCs w:val="24"/>
          <w:lang w:val="es-PE" w:eastAsia="ar-SA"/>
        </w:rPr>
        <w:t>agosto</w:t>
      </w:r>
      <w:r w:rsidR="00F06498" w:rsidRPr="00290AC5">
        <w:rPr>
          <w:rFonts w:ascii="Times New Roman" w:eastAsia="Arial Unicode MS" w:hAnsi="Times New Roman" w:cs="Times New Roman"/>
          <w:sz w:val="24"/>
          <w:szCs w:val="24"/>
          <w:lang w:val="es-PE" w:eastAsia="ar-SA"/>
        </w:rPr>
        <w:t xml:space="preserve"> de 202</w:t>
      </w:r>
      <w:r w:rsidR="00231C58" w:rsidRPr="00290AC5">
        <w:rPr>
          <w:rFonts w:ascii="Times New Roman" w:eastAsia="Arial Unicode MS" w:hAnsi="Times New Roman" w:cs="Times New Roman"/>
          <w:sz w:val="24"/>
          <w:szCs w:val="24"/>
          <w:lang w:val="es-PE" w:eastAsia="ar-SA"/>
        </w:rPr>
        <w:t>1</w:t>
      </w:r>
      <w:r w:rsidR="00707C99" w:rsidRPr="00290AC5">
        <w:rPr>
          <w:rFonts w:ascii="Times New Roman" w:eastAsia="Times New Roman" w:hAnsi="Times New Roman" w:cs="Times New Roman"/>
          <w:sz w:val="24"/>
          <w:szCs w:val="24"/>
          <w:lang w:val="es-PE" w:eastAsia="ar-SA"/>
        </w:rPr>
        <w:t xml:space="preserve"> </w:t>
      </w:r>
    </w:p>
    <w:p w14:paraId="2B9BAAC8" w14:textId="77777777" w:rsidR="00231C58" w:rsidRPr="00290AC5"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290AC5" w:rsidRDefault="00C671F5" w:rsidP="004A374A">
      <w:pPr>
        <w:spacing w:after="0" w:line="240" w:lineRule="auto"/>
        <w:jc w:val="both"/>
        <w:rPr>
          <w:rFonts w:ascii="Times New Roman" w:hAnsi="Times New Roman" w:cs="Times New Roman"/>
          <w:b/>
          <w:bCs/>
          <w:i/>
          <w:iCs/>
          <w:sz w:val="24"/>
          <w:szCs w:val="24"/>
          <w:lang w:val="es-PE"/>
        </w:rPr>
      </w:pPr>
      <w:r w:rsidRPr="00290AC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290AC5" w:rsidRDefault="00C671F5" w:rsidP="004A374A">
      <w:pPr>
        <w:spacing w:after="0" w:line="240" w:lineRule="auto"/>
        <w:jc w:val="both"/>
        <w:rPr>
          <w:rFonts w:ascii="Times New Roman" w:hAnsi="Times New Roman" w:cs="Times New Roman"/>
          <w:b/>
          <w:bCs/>
          <w:i/>
          <w:iCs/>
          <w:sz w:val="24"/>
          <w:szCs w:val="24"/>
          <w:lang w:val="es-PE"/>
        </w:rPr>
      </w:pPr>
    </w:p>
    <w:p w14:paraId="548B3E5B" w14:textId="2BD7B1B7" w:rsidR="00C671F5" w:rsidRPr="00290AC5" w:rsidRDefault="0032345B" w:rsidP="004A374A">
      <w:pPr>
        <w:spacing w:after="0" w:line="360" w:lineRule="auto"/>
        <w:jc w:val="center"/>
        <w:rPr>
          <w:rFonts w:ascii="Times New Roman" w:hAnsi="Times New Roman" w:cs="Times New Roman"/>
          <w:b/>
          <w:bCs/>
          <w:sz w:val="24"/>
          <w:szCs w:val="24"/>
          <w:lang w:val="es-PE"/>
        </w:rPr>
      </w:pPr>
      <w:r w:rsidRPr="00290AC5">
        <w:rPr>
          <w:rFonts w:ascii="Times New Roman" w:hAnsi="Times New Roman" w:cs="Times New Roman"/>
          <w:b/>
          <w:bCs/>
          <w:sz w:val="24"/>
          <w:szCs w:val="24"/>
          <w:lang w:val="es-PE"/>
        </w:rPr>
        <w:t xml:space="preserve">Marco Antonio Ortega Piana </w:t>
      </w:r>
      <w:r w:rsidR="00C671F5" w:rsidRPr="00290AC5">
        <w:rPr>
          <w:rFonts w:ascii="Times New Roman" w:hAnsi="Times New Roman" w:cs="Times New Roman"/>
          <w:b/>
          <w:bCs/>
          <w:sz w:val="24"/>
          <w:szCs w:val="24"/>
          <w:lang w:val="es-PE"/>
        </w:rPr>
        <w:t xml:space="preserve">– </w:t>
      </w:r>
      <w:proofErr w:type="gramStart"/>
      <w:r w:rsidR="00C671F5" w:rsidRPr="00290AC5">
        <w:rPr>
          <w:rFonts w:ascii="Times New Roman" w:hAnsi="Times New Roman" w:cs="Times New Roman"/>
          <w:b/>
          <w:bCs/>
          <w:sz w:val="24"/>
          <w:szCs w:val="24"/>
          <w:lang w:val="es-PE"/>
        </w:rPr>
        <w:t>Presidente</w:t>
      </w:r>
      <w:proofErr w:type="gramEnd"/>
    </w:p>
    <w:p w14:paraId="033E3E13" w14:textId="7196E86D" w:rsidR="0032345B" w:rsidRPr="00290AC5" w:rsidRDefault="0032345B" w:rsidP="004A374A">
      <w:pPr>
        <w:spacing w:after="0" w:line="360" w:lineRule="auto"/>
        <w:jc w:val="center"/>
        <w:rPr>
          <w:rFonts w:ascii="Times New Roman" w:hAnsi="Times New Roman" w:cs="Times New Roman"/>
          <w:b/>
          <w:bCs/>
          <w:sz w:val="24"/>
          <w:szCs w:val="24"/>
          <w:lang w:val="es-PE"/>
        </w:rPr>
      </w:pPr>
      <w:r w:rsidRPr="00290AC5">
        <w:rPr>
          <w:rFonts w:ascii="Times New Roman" w:hAnsi="Times New Roman" w:cs="Times New Roman"/>
          <w:b/>
          <w:bCs/>
          <w:sz w:val="24"/>
          <w:szCs w:val="24"/>
          <w:lang w:val="es-PE"/>
        </w:rPr>
        <w:t>María Eugenia Valdez Fernández Baca– Vocal</w:t>
      </w:r>
    </w:p>
    <w:p w14:paraId="3006BA35" w14:textId="7871895F" w:rsidR="00292018" w:rsidRPr="00290AC5" w:rsidRDefault="00292018" w:rsidP="004A374A">
      <w:pPr>
        <w:spacing w:after="0" w:line="360" w:lineRule="auto"/>
        <w:jc w:val="center"/>
        <w:rPr>
          <w:rFonts w:ascii="Times New Roman" w:hAnsi="Times New Roman" w:cs="Times New Roman"/>
          <w:b/>
          <w:bCs/>
          <w:sz w:val="24"/>
          <w:szCs w:val="24"/>
          <w:lang w:val="es-PE"/>
        </w:rPr>
      </w:pPr>
      <w:r w:rsidRPr="00290AC5">
        <w:rPr>
          <w:rFonts w:ascii="Times New Roman" w:hAnsi="Times New Roman" w:cs="Times New Roman"/>
          <w:b/>
          <w:bCs/>
          <w:sz w:val="24"/>
          <w:szCs w:val="24"/>
          <w:lang w:val="es-PE"/>
        </w:rPr>
        <w:t xml:space="preserve">Rolando Eyzaguirre </w:t>
      </w:r>
      <w:proofErr w:type="spellStart"/>
      <w:r w:rsidRPr="00290AC5">
        <w:rPr>
          <w:rFonts w:ascii="Times New Roman" w:hAnsi="Times New Roman" w:cs="Times New Roman"/>
          <w:b/>
          <w:bCs/>
          <w:sz w:val="24"/>
          <w:szCs w:val="24"/>
          <w:lang w:val="es-PE"/>
        </w:rPr>
        <w:t>Maccan</w:t>
      </w:r>
      <w:proofErr w:type="spellEnd"/>
      <w:r w:rsidRPr="00290AC5">
        <w:rPr>
          <w:rFonts w:ascii="Times New Roman" w:hAnsi="Times New Roman" w:cs="Times New Roman"/>
          <w:b/>
          <w:bCs/>
          <w:sz w:val="24"/>
          <w:szCs w:val="24"/>
          <w:lang w:val="es-PE"/>
        </w:rPr>
        <w:t xml:space="preserve"> – Vocal</w:t>
      </w:r>
    </w:p>
    <w:p w14:paraId="3A9CFE9F" w14:textId="4DFF4426" w:rsidR="00C671F5" w:rsidRPr="00290AC5" w:rsidRDefault="00C671F5" w:rsidP="004A374A">
      <w:pPr>
        <w:spacing w:after="0" w:line="360" w:lineRule="auto"/>
        <w:jc w:val="center"/>
        <w:rPr>
          <w:rFonts w:ascii="Times New Roman" w:hAnsi="Times New Roman" w:cs="Times New Roman"/>
          <w:sz w:val="24"/>
          <w:szCs w:val="24"/>
          <w:lang w:val="es-PE"/>
        </w:rPr>
      </w:pPr>
      <w:r w:rsidRPr="00290AC5">
        <w:rPr>
          <w:rFonts w:ascii="Times New Roman" w:hAnsi="Times New Roman" w:cs="Times New Roman"/>
          <w:b/>
          <w:bCs/>
          <w:sz w:val="24"/>
          <w:szCs w:val="24"/>
          <w:lang w:val="es-PE"/>
        </w:rPr>
        <w:t xml:space="preserve">Gonzalo Abad del Busto </w:t>
      </w:r>
      <w:r w:rsidR="00231C58" w:rsidRPr="00290AC5">
        <w:rPr>
          <w:rFonts w:ascii="Times New Roman" w:hAnsi="Times New Roman" w:cs="Times New Roman"/>
          <w:b/>
          <w:bCs/>
          <w:sz w:val="24"/>
          <w:szCs w:val="24"/>
          <w:lang w:val="es-PE"/>
        </w:rPr>
        <w:t xml:space="preserve">– </w:t>
      </w:r>
      <w:r w:rsidRPr="00290AC5">
        <w:rPr>
          <w:rFonts w:ascii="Times New Roman" w:hAnsi="Times New Roman" w:cs="Times New Roman"/>
          <w:b/>
          <w:bCs/>
          <w:sz w:val="24"/>
          <w:szCs w:val="24"/>
          <w:lang w:val="es-PE"/>
        </w:rPr>
        <w:t>Vocal</w:t>
      </w:r>
    </w:p>
    <w:p w14:paraId="33E0FAB8" w14:textId="77777777" w:rsidR="00C671F5" w:rsidRPr="005B1AC5"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32345B" w:rsidRDefault="00C671F5" w:rsidP="004A374A">
      <w:pPr>
        <w:spacing w:line="240" w:lineRule="auto"/>
        <w:rPr>
          <w:rFonts w:ascii="Times New Roman" w:eastAsia="Arial Unicode MS" w:hAnsi="Times New Roman" w:cs="Times New Roman"/>
          <w:sz w:val="24"/>
          <w:szCs w:val="24"/>
          <w:lang w:val="es-PE" w:eastAsia="ar-SA"/>
        </w:rPr>
      </w:pPr>
    </w:p>
    <w:sectPr w:rsidR="00C671F5" w:rsidRPr="0032345B"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E3F53" w14:textId="77777777" w:rsidR="00921814" w:rsidRDefault="00921814" w:rsidP="00784355">
      <w:pPr>
        <w:spacing w:after="0" w:line="240" w:lineRule="auto"/>
      </w:pPr>
      <w:r>
        <w:separator/>
      </w:r>
    </w:p>
  </w:endnote>
  <w:endnote w:type="continuationSeparator" w:id="0">
    <w:p w14:paraId="2F841F4C" w14:textId="77777777" w:rsidR="00921814" w:rsidRDefault="0092181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F6A8B" w14:textId="77777777" w:rsidR="00921814" w:rsidRDefault="00921814" w:rsidP="00784355">
      <w:pPr>
        <w:spacing w:after="0" w:line="240" w:lineRule="auto"/>
      </w:pPr>
      <w:r>
        <w:separator/>
      </w:r>
    </w:p>
  </w:footnote>
  <w:footnote w:type="continuationSeparator" w:id="0">
    <w:p w14:paraId="57D5F967" w14:textId="77777777" w:rsidR="00921814" w:rsidRDefault="00921814"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127A6"/>
    <w:rsid w:val="0091528B"/>
    <w:rsid w:val="009157B1"/>
    <w:rsid w:val="00917CAF"/>
    <w:rsid w:val="00921814"/>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1EB9"/>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3437D4E-EFAD-45A5-B8E5-143B205EF83F}"/>
</file>

<file path=customXml/itemProps3.xml><?xml version="1.0" encoding="utf-8"?>
<ds:datastoreItem xmlns:ds="http://schemas.openxmlformats.org/officeDocument/2006/customXml" ds:itemID="{B56228E1-88C7-4A0E-A184-410E5DD2AB12}"/>
</file>

<file path=customXml/itemProps4.xml><?xml version="1.0" encoding="utf-8"?>
<ds:datastoreItem xmlns:ds="http://schemas.openxmlformats.org/officeDocument/2006/customXml" ds:itemID="{2B2494B1-C2A3-499C-B1E2-786EE5ACCC27}"/>
</file>

<file path=docProps/app.xml><?xml version="1.0" encoding="utf-8"?>
<Properties xmlns="http://schemas.openxmlformats.org/officeDocument/2006/extended-properties" xmlns:vt="http://schemas.openxmlformats.org/officeDocument/2006/docPropsVTypes">
  <Template>Normal</Template>
  <TotalTime>280</TotalTime>
  <Pages>3</Pages>
  <Words>1080</Words>
  <Characters>5946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70</cp:revision>
  <cp:lastPrinted>2021-08-17T14:17:00Z</cp:lastPrinted>
  <dcterms:created xsi:type="dcterms:W3CDTF">2020-12-18T20:17:00Z</dcterms:created>
  <dcterms:modified xsi:type="dcterms:W3CDTF">2022-03-10T17:02:00Z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