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635A" w14:textId="409152BF" w:rsidR="00EF0B7F" w:rsidRPr="007D1642" w:rsidRDefault="00201C0D" w:rsidP="00EF0B7F">
      <w:pPr>
        <w:pStyle w:val="Ttulo2"/>
        <w:jc w:val="center"/>
        <w:rPr>
          <w:rFonts w:ascii="Times New Roman" w:hAnsi="Times New Roman" w:cs="Times New Roman"/>
          <w:b/>
          <w:bCs/>
          <w:color w:val="auto"/>
          <w:sz w:val="24"/>
          <w:szCs w:val="24"/>
          <w:lang w:val="es-PE" w:eastAsia="ar-SA"/>
        </w:rPr>
      </w:pPr>
      <w:r w:rsidRPr="007D1642">
        <w:rPr>
          <w:rFonts w:ascii="Times New Roman" w:hAnsi="Times New Roman" w:cs="Times New Roman"/>
          <w:b/>
          <w:bCs/>
          <w:color w:val="auto"/>
          <w:sz w:val="24"/>
          <w:szCs w:val="24"/>
          <w:lang w:val="es-PE" w:eastAsia="ar-SA"/>
        </w:rPr>
        <w:t xml:space="preserve">RESOLUCIÓN DE RECURSO IMPUGNATIVO </w:t>
      </w:r>
      <w:proofErr w:type="spellStart"/>
      <w:r w:rsidR="00707C99" w:rsidRPr="007D1642">
        <w:rPr>
          <w:rFonts w:ascii="Times New Roman" w:hAnsi="Times New Roman" w:cs="Times New Roman"/>
          <w:b/>
          <w:bCs/>
          <w:color w:val="auto"/>
          <w:sz w:val="24"/>
          <w:szCs w:val="24"/>
          <w:lang w:val="es-PE" w:eastAsia="ar-SA"/>
        </w:rPr>
        <w:t>N°</w:t>
      </w:r>
      <w:proofErr w:type="spellEnd"/>
      <w:r w:rsidR="00707C99" w:rsidRPr="007D1642">
        <w:rPr>
          <w:rFonts w:ascii="Times New Roman" w:hAnsi="Times New Roman" w:cs="Times New Roman"/>
          <w:b/>
          <w:bCs/>
          <w:color w:val="auto"/>
          <w:sz w:val="24"/>
          <w:szCs w:val="24"/>
          <w:lang w:val="es-PE" w:eastAsia="ar-SA"/>
        </w:rPr>
        <w:t xml:space="preserve"> </w:t>
      </w:r>
      <w:r w:rsidR="00C671F5" w:rsidRPr="007D1642">
        <w:rPr>
          <w:rFonts w:ascii="Times New Roman" w:hAnsi="Times New Roman" w:cs="Times New Roman"/>
          <w:b/>
          <w:bCs/>
          <w:color w:val="auto"/>
          <w:sz w:val="24"/>
          <w:szCs w:val="24"/>
          <w:lang w:val="es-PE" w:eastAsia="ar-SA"/>
        </w:rPr>
        <w:t>0</w:t>
      </w:r>
      <w:r w:rsidR="00EF0B7F" w:rsidRPr="007D1642">
        <w:rPr>
          <w:rFonts w:ascii="Times New Roman" w:hAnsi="Times New Roman" w:cs="Times New Roman"/>
          <w:b/>
          <w:bCs/>
          <w:color w:val="auto"/>
          <w:sz w:val="24"/>
          <w:szCs w:val="24"/>
          <w:lang w:val="es-PE" w:eastAsia="ar-SA"/>
        </w:rPr>
        <w:t>4</w:t>
      </w:r>
      <w:r w:rsidR="007D1642" w:rsidRPr="007D1642">
        <w:rPr>
          <w:rFonts w:ascii="Times New Roman" w:hAnsi="Times New Roman" w:cs="Times New Roman"/>
          <w:b/>
          <w:bCs/>
          <w:color w:val="auto"/>
          <w:sz w:val="24"/>
          <w:szCs w:val="24"/>
          <w:lang w:val="es-PE" w:eastAsia="ar-SA"/>
        </w:rPr>
        <w:t>6</w:t>
      </w:r>
      <w:r w:rsidR="00517CFF" w:rsidRPr="007D1642">
        <w:rPr>
          <w:rFonts w:ascii="Times New Roman" w:hAnsi="Times New Roman" w:cs="Times New Roman"/>
          <w:b/>
          <w:bCs/>
          <w:color w:val="auto"/>
          <w:sz w:val="24"/>
          <w:szCs w:val="24"/>
          <w:lang w:val="es-PE" w:eastAsia="ar-SA"/>
        </w:rPr>
        <w:t>/</w:t>
      </w:r>
      <w:r w:rsidR="00C671F5" w:rsidRPr="007D1642">
        <w:rPr>
          <w:rFonts w:ascii="Times New Roman" w:hAnsi="Times New Roman" w:cs="Times New Roman"/>
          <w:b/>
          <w:bCs/>
          <w:color w:val="auto"/>
          <w:sz w:val="24"/>
          <w:szCs w:val="24"/>
          <w:lang w:val="es-PE" w:eastAsia="ar-SA"/>
        </w:rPr>
        <w:t>2</w:t>
      </w:r>
      <w:r w:rsidR="00231C58" w:rsidRPr="007D1642">
        <w:rPr>
          <w:rFonts w:ascii="Times New Roman" w:hAnsi="Times New Roman" w:cs="Times New Roman"/>
          <w:b/>
          <w:bCs/>
          <w:color w:val="auto"/>
          <w:sz w:val="24"/>
          <w:szCs w:val="24"/>
          <w:lang w:val="es-PE" w:eastAsia="ar-SA"/>
        </w:rPr>
        <w:t>1</w:t>
      </w:r>
    </w:p>
    <w:p w14:paraId="3D4CE234" w14:textId="77777777" w:rsidR="00EF0B7F" w:rsidRPr="007D1642" w:rsidRDefault="00EF0B7F" w:rsidP="00EF0B7F">
      <w:pPr>
        <w:rPr>
          <w:rFonts w:ascii="Times New Roman" w:hAnsi="Times New Roman" w:cs="Times New Roman"/>
          <w:sz w:val="24"/>
          <w:szCs w:val="24"/>
          <w:lang w:val="es-PE" w:eastAsia="ar-SA"/>
        </w:rPr>
      </w:pPr>
    </w:p>
    <w:p w14:paraId="113FA776" w14:textId="77777777" w:rsidR="007D1642" w:rsidRPr="007D1642" w:rsidRDefault="007D1642" w:rsidP="007D1642">
      <w:pPr>
        <w:jc w:val="both"/>
        <w:outlineLvl w:val="0"/>
        <w:rPr>
          <w:rFonts w:ascii="Times New Roman" w:hAnsi="Times New Roman" w:cs="Times New Roman"/>
          <w:b/>
          <w:bCs/>
          <w:sz w:val="24"/>
          <w:szCs w:val="24"/>
          <w:lang w:val="es-PE"/>
        </w:rPr>
      </w:pPr>
      <w:r w:rsidRPr="007D1642">
        <w:rPr>
          <w:rFonts w:ascii="Times New Roman" w:hAnsi="Times New Roman" w:cs="Times New Roman"/>
          <w:b/>
          <w:bCs/>
          <w:sz w:val="24"/>
          <w:szCs w:val="24"/>
          <w:lang w:val="es-PE"/>
        </w:rPr>
        <w:t>VISTOS:</w:t>
      </w:r>
    </w:p>
    <w:p w14:paraId="1D27F5C9" w14:textId="5D953654" w:rsidR="007D1642" w:rsidRP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sz w:val="24"/>
          <w:szCs w:val="24"/>
          <w:lang w:val="es-PE"/>
        </w:rPr>
        <w:t xml:space="preserve">El recurso de impugnación presentado por </w:t>
      </w:r>
      <w:r w:rsidR="00F95D1D" w:rsidRPr="00D324BA">
        <w:rPr>
          <w:rFonts w:ascii="Arial" w:hAnsi="Arial" w:cs="Arial"/>
          <w:lang w:val="es-PE"/>
        </w:rPr>
        <w:t>..................</w:t>
      </w:r>
      <w:r w:rsidR="00F95D1D">
        <w:rPr>
          <w:rFonts w:ascii="Arial" w:hAnsi="Arial" w:cs="Arial"/>
          <w:lang w:val="es-PE"/>
        </w:rPr>
        <w:t xml:space="preserve"> </w:t>
      </w:r>
      <w:r w:rsidRPr="007D1642">
        <w:rPr>
          <w:rFonts w:ascii="Times New Roman" w:hAnsi="Times New Roman" w:cs="Times New Roman"/>
          <w:sz w:val="24"/>
          <w:szCs w:val="24"/>
          <w:lang w:val="es-PE"/>
        </w:rPr>
        <w:t xml:space="preserve">respecto de la Resolución Nro. 074/21, expedida por esta Defensoría del Asegurado y, conforme a la cual se declaró INFUNDADA la reclamación interpuesta contra </w:t>
      </w:r>
      <w:r w:rsidR="00F95D1D" w:rsidRPr="00D324BA">
        <w:rPr>
          <w:rFonts w:ascii="Arial" w:hAnsi="Arial" w:cs="Arial"/>
          <w:lang w:val="es-PE"/>
        </w:rPr>
        <w:t>..................</w:t>
      </w:r>
      <w:r w:rsidRPr="007D1642">
        <w:rPr>
          <w:rFonts w:ascii="Times New Roman" w:hAnsi="Times New Roman" w:cs="Times New Roman"/>
          <w:sz w:val="24"/>
          <w:szCs w:val="24"/>
          <w:lang w:val="es-PE"/>
        </w:rPr>
        <w:t xml:space="preserve">, </w:t>
      </w:r>
      <w:proofErr w:type="gramStart"/>
      <w:r w:rsidRPr="007D1642">
        <w:rPr>
          <w:rFonts w:ascii="Times New Roman" w:hAnsi="Times New Roman" w:cs="Times New Roman"/>
          <w:sz w:val="24"/>
          <w:szCs w:val="24"/>
          <w:lang w:val="es-PE"/>
        </w:rPr>
        <w:t>en relación al</w:t>
      </w:r>
      <w:proofErr w:type="gramEnd"/>
      <w:r w:rsidRPr="007D1642">
        <w:rPr>
          <w:rFonts w:ascii="Times New Roman" w:hAnsi="Times New Roman" w:cs="Times New Roman"/>
          <w:sz w:val="24"/>
          <w:szCs w:val="24"/>
          <w:lang w:val="es-PE"/>
        </w:rPr>
        <w:t xml:space="preserve"> </w:t>
      </w:r>
      <w:r w:rsidRPr="007D1642">
        <w:rPr>
          <w:rFonts w:ascii="Times New Roman" w:hAnsi="Times New Roman" w:cs="Times New Roman"/>
          <w:b/>
          <w:sz w:val="24"/>
          <w:szCs w:val="24"/>
          <w:lang w:val="es-PE"/>
        </w:rPr>
        <w:t xml:space="preserve">SEGURO DE AUTOS TODO RIESGO - PÓLIZA No </w:t>
      </w:r>
      <w:r w:rsidR="00F95D1D" w:rsidRPr="00D324BA">
        <w:rPr>
          <w:rFonts w:ascii="Arial" w:hAnsi="Arial" w:cs="Arial"/>
          <w:lang w:val="es-PE"/>
        </w:rPr>
        <w:t>..................</w:t>
      </w:r>
      <w:r w:rsidRPr="007D1642">
        <w:rPr>
          <w:rFonts w:ascii="Times New Roman" w:hAnsi="Times New Roman" w:cs="Times New Roman"/>
          <w:sz w:val="24"/>
          <w:szCs w:val="24"/>
          <w:lang w:val="es-PE"/>
        </w:rPr>
        <w:t>;</w:t>
      </w:r>
    </w:p>
    <w:p w14:paraId="063F881C" w14:textId="419DAE08" w:rsidR="007D1642" w:rsidRPr="007D1642" w:rsidRDefault="007D1642" w:rsidP="007D1642">
      <w:pPr>
        <w:pStyle w:val="Textoindependiente"/>
        <w:rPr>
          <w:bCs w:val="0"/>
          <w:lang w:val="es-PE"/>
        </w:rPr>
      </w:pPr>
      <w:r w:rsidRPr="007D1642">
        <w:rPr>
          <w:lang w:val="es-PE"/>
        </w:rPr>
        <w:t xml:space="preserve">Que, el indicado recurso se sustenta resumidamente en lo siguiente: (1) insiste que </w:t>
      </w:r>
      <w:r w:rsidRPr="007D1642">
        <w:rPr>
          <w:bCs w:val="0"/>
          <w:lang w:val="es-PE"/>
        </w:rPr>
        <w:t xml:space="preserve">es totalmente cierto que desde aproximadamente entre 03 y 05 días antes del siniestro, la MUNICIPALIDAD DE LIMA METROPOLITANA estaba haciendo cambios en los semáforos de varios distritos, lo cual como todos han podido experimentar son una combinación de obra civil e instalaciones eléctricas, que acarrea tráfico y problemas para una libre circulación, y si se adiciona que aunque el trabajo pueda concluirse, pueden presentarse fallas que alteren la operatividad normal de los mismos y la circulación vehicular; (2) se debe tomar en cuenta que son aparatos controlados por dispositivos eléctricos y/o electrónicos y dada su reciente instalación es muy posible que sigan en periodo de prueba a cargo del Contratista asignado; (3) reitera que cuando su vehículo de </w:t>
      </w:r>
      <w:r w:rsidR="008D50B4" w:rsidRPr="00D324BA">
        <w:rPr>
          <w:rFonts w:ascii="Arial" w:hAnsi="Arial" w:cs="Arial"/>
          <w:lang w:val="es-PE"/>
        </w:rPr>
        <w:t>..................</w:t>
      </w:r>
      <w:r w:rsidR="008D50B4">
        <w:rPr>
          <w:rFonts w:ascii="Arial" w:hAnsi="Arial" w:cs="Arial"/>
          <w:lang w:val="es-PE"/>
        </w:rPr>
        <w:t xml:space="preserve"> </w:t>
      </w:r>
      <w:r w:rsidRPr="007D1642">
        <w:rPr>
          <w:bCs w:val="0"/>
          <w:lang w:val="es-PE"/>
        </w:rPr>
        <w:t xml:space="preserve">cruzaba la av. Venezuela a velocidad normal, de pronto a mitad de camino cambió a color rojo, lo cual sucede cuando no funcionan correctamente y puede deberse a diferentes causas ajenas a cualquier conductor; (4) las reglas de tránsito que inciden sobre los semáforos son claras, pero en la práctica los conductores deben aplicar su criterio lo mejor posible, por lo que si se da un cambio de luz que indica que debe continuar circulando, es obligatorio hacerlo de manera prudente y con precaución pues, no solo están los vehículos, si no, también las personas que transitan a diario cruzando las pistas en sentidos de ida y vuelta; (5) el acápite 21 que contiene la exclusión prevé como requisito que “no exista indicación en contrario”,  lo que permite deducir que esta indicación debe ser suministrada por la autoridad de tránsito, la cual no estaba presente el día y hora que sucedió el siniestro, a pesar del embotellamiento generado en el cruce de la av. Aurelio García y García con Av. Venezuela, dentro del cual se encontraba el vehículo asegurado minutos antes de que ocurra el percance; (6) tanto él  como la conductora conocen  la zona muy bien ya que viven en la urbanización aledaña más de 25 años, por lo que saben perfectamente la frecuencia de circulación vehicular, las horas punta, sentidos de las calles y pistas entre otros detalles, lo cual no sucede con la persona que conducía el otro vehículo involucrado de placa </w:t>
      </w:r>
      <w:r w:rsidR="008D50B4" w:rsidRPr="00D324BA">
        <w:rPr>
          <w:rFonts w:ascii="Arial" w:hAnsi="Arial" w:cs="Arial"/>
          <w:lang w:val="es-PE"/>
        </w:rPr>
        <w:t>..................</w:t>
      </w:r>
      <w:r w:rsidRPr="007D1642">
        <w:rPr>
          <w:bCs w:val="0"/>
          <w:lang w:val="es-PE"/>
        </w:rPr>
        <w:t xml:space="preserve">, vehículo que no era de su propiedad, ya que lo alquiló para realizar el servicio de taxi; (7) la gravedad del siniestro al margen del momento en que se dio el cambio inesperado de luz en el semáforo, fue causada por la velocidad que aplico al salir el conductor del vehículo Toyota, que posiblemente estuvo distraído pues de lo contrario no hubiese sucedido el percance mencionado. Ahí la Autoridad Policial no hizo ninguna investigación, aunque era evidente la imprudencia de dicho conductor por la magnitud de los daños causados a su vehículo. </w:t>
      </w:r>
    </w:p>
    <w:p w14:paraId="04D8934E" w14:textId="77777777" w:rsidR="007D1642" w:rsidRDefault="007D1642" w:rsidP="007D1642">
      <w:pPr>
        <w:pStyle w:val="Textoindependiente"/>
        <w:rPr>
          <w:b/>
          <w:bCs w:val="0"/>
          <w:lang w:val="es-PE"/>
        </w:rPr>
      </w:pPr>
    </w:p>
    <w:p w14:paraId="652AF0B5" w14:textId="283E9B4D" w:rsidR="007D1642" w:rsidRPr="007D1642" w:rsidRDefault="007D1642" w:rsidP="007D1642">
      <w:pPr>
        <w:pStyle w:val="Textoindependiente"/>
        <w:rPr>
          <w:lang w:val="es-PE"/>
        </w:rPr>
      </w:pPr>
      <w:r w:rsidRPr="007D1642">
        <w:rPr>
          <w:lang w:val="es-PE"/>
        </w:rPr>
        <w:t xml:space="preserve">Que, la aseguradora absolvió el traslado del recurso impugnatorio manifestando, en síntesis, lo siguiente: (1) respecto a los argumentos de las presuntas fallas del semáforo, como correctamente ha señalado la DEFASEG, el asegurado no ha acreditado con ningún medio de prueba las presuntas fallas electrónicas alegadas. Todo lo contrario, la autoridad policial señaló en su informe que, luego de una inspección y evaluación del lugar del siniestro, se apreció que los semáforos se encontraban operativos y en correcto funcionamiento; (2) se encuentran </w:t>
      </w:r>
      <w:r w:rsidRPr="007D1642">
        <w:rPr>
          <w:lang w:val="es-PE"/>
        </w:rPr>
        <w:lastRenderedPageBreak/>
        <w:t>totalmente desvirtuados los argumentos del reclamante respecto a este aspecto de su impugnación; (3) respecto a la causa del siniestro, el reclamante alega en su impugnación que la verdadera causa habría sido la negligencia del otro conductor quien aplico demasiada velocidad al salir el vehículo tercero, que posiblemente estuvo distraído pues de lo contrario no hubiese sucedido el accidente de tránsito, pero el Informe con las conclusiones policiales concluyó que el FACTOR PREDOMINANTE</w:t>
      </w:r>
      <w:r w:rsidRPr="007D1642">
        <w:rPr>
          <w:b/>
          <w:bCs w:val="0"/>
          <w:lang w:val="es-PE"/>
        </w:rPr>
        <w:t xml:space="preserve"> </w:t>
      </w:r>
      <w:r w:rsidRPr="007D1642">
        <w:rPr>
          <w:lang w:val="es-PE"/>
        </w:rPr>
        <w:t xml:space="preserve">para la producción del accidente de tránsito (es decir, la causa adecuada del mismo) fue la negligencia de la conductora del vehículo asegurado al cruzar la intersección cuando su semáforo se encontraba en rojo; siendo que la velocidad del otro conductor únicamente fue categorizada como factor contributivo; (4) se encuentra totalmente acreditado que la conductora del vehículo asegurado contribuyó de manera predominante en la generación del accidente de tránsito, según las investigaciones policiales, al cruzar la Avenida Venezuela sin tener el derecho de paso (con el semáforo en rojo); situación que se encuentra expresamente excluida de cobertura según la Póliza contratada. </w:t>
      </w:r>
    </w:p>
    <w:p w14:paraId="6E74197A" w14:textId="77777777" w:rsidR="007D1642" w:rsidRDefault="007D1642" w:rsidP="007D1642">
      <w:pPr>
        <w:pStyle w:val="Textoindependiente"/>
        <w:tabs>
          <w:tab w:val="left" w:pos="930"/>
        </w:tabs>
        <w:rPr>
          <w:lang w:val="es-PE"/>
        </w:rPr>
      </w:pPr>
    </w:p>
    <w:p w14:paraId="737FC5E2" w14:textId="3CFD8CC4" w:rsidR="007D1642" w:rsidRDefault="007D1642" w:rsidP="007D1642">
      <w:pPr>
        <w:pStyle w:val="Textoindependiente"/>
        <w:tabs>
          <w:tab w:val="left" w:pos="930"/>
        </w:tabs>
        <w:rPr>
          <w:lang w:val="es-PE"/>
        </w:rPr>
      </w:pPr>
      <w:r w:rsidRPr="007D1642">
        <w:rPr>
          <w:lang w:val="es-PE"/>
        </w:rPr>
        <w:t>Que, atendiendo a lo expuesto, esta Defensoría resuelve finalmente lo siguiente:</w:t>
      </w:r>
    </w:p>
    <w:p w14:paraId="660E1B09" w14:textId="77777777" w:rsidR="007D1642" w:rsidRPr="007D1642" w:rsidRDefault="007D1642" w:rsidP="007D1642">
      <w:pPr>
        <w:pStyle w:val="Textoindependiente"/>
        <w:tabs>
          <w:tab w:val="left" w:pos="930"/>
        </w:tabs>
        <w:rPr>
          <w:lang w:val="es-PE"/>
        </w:rPr>
      </w:pPr>
    </w:p>
    <w:p w14:paraId="2CA7907E" w14:textId="0397D980" w:rsidR="007D1642" w:rsidRP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b/>
          <w:sz w:val="24"/>
          <w:szCs w:val="24"/>
          <w:u w:val="single"/>
          <w:lang w:val="es-PE"/>
        </w:rPr>
        <w:t>PRIMERO</w:t>
      </w:r>
      <w:r w:rsidRPr="007D1642">
        <w:rPr>
          <w:rFonts w:ascii="Times New Roman" w:hAnsi="Times New Roman" w:cs="Times New Roman"/>
          <w:b/>
          <w:sz w:val="24"/>
          <w:szCs w:val="24"/>
          <w:lang w:val="es-PE"/>
        </w:rPr>
        <w:t>:</w:t>
      </w:r>
      <w:r w:rsidRPr="007D1642">
        <w:rPr>
          <w:rFonts w:ascii="Times New Roman" w:hAnsi="Times New Roman" w:cs="Times New Roman"/>
          <w:sz w:val="24"/>
          <w:szCs w:val="24"/>
          <w:lang w:val="es-PE"/>
        </w:rPr>
        <w:t xml:space="preserve"> El artículo 10 (Procedimiento) del Reglamento de la DEFASEG </w:t>
      </w:r>
      <w:r w:rsidRPr="007D1642">
        <w:rPr>
          <w:rFonts w:ascii="Times New Roman" w:eastAsia="Arial Unicode MS" w:hAnsi="Times New Roman" w:cs="Times New Roman"/>
          <w:sz w:val="24"/>
          <w:szCs w:val="24"/>
          <w:lang w:val="es-PE"/>
        </w:rPr>
        <w:t>(http://www.defaseg.com.pe/reglamento)</w:t>
      </w:r>
      <w:r w:rsidRPr="007D1642">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5E6D4D4E" w14:textId="77777777" w:rsidR="007D1642" w:rsidRPr="007D1642" w:rsidRDefault="007D1642" w:rsidP="007D1642">
      <w:pPr>
        <w:jc w:val="both"/>
        <w:rPr>
          <w:rFonts w:ascii="Times New Roman" w:hAnsi="Times New Roman" w:cs="Times New Roman"/>
          <w:bCs/>
          <w:sz w:val="24"/>
          <w:szCs w:val="24"/>
          <w:lang w:val="es-PE"/>
        </w:rPr>
      </w:pPr>
      <w:r w:rsidRPr="007D1642">
        <w:rPr>
          <w:rFonts w:ascii="Times New Roman" w:hAnsi="Times New Roman" w:cs="Times New Roman"/>
          <w:b/>
          <w:bCs/>
          <w:sz w:val="24"/>
          <w:szCs w:val="24"/>
          <w:u w:val="single"/>
          <w:lang w:val="es-PE"/>
        </w:rPr>
        <w:t>SEGUNDO</w:t>
      </w:r>
      <w:r w:rsidRPr="007D1642">
        <w:rPr>
          <w:rFonts w:ascii="Times New Roman" w:hAnsi="Times New Roman" w:cs="Times New Roman"/>
          <w:b/>
          <w:bCs/>
          <w:sz w:val="24"/>
          <w:szCs w:val="24"/>
          <w:lang w:val="es-PE"/>
        </w:rPr>
        <w:t>:</w:t>
      </w:r>
      <w:r w:rsidRPr="007D1642">
        <w:rPr>
          <w:rFonts w:ascii="Times New Roman" w:hAnsi="Times New Roman" w:cs="Times New Roman"/>
          <w:bCs/>
          <w:sz w:val="24"/>
          <w:szCs w:val="24"/>
          <w:lang w:val="es-PE"/>
        </w:rPr>
        <w:t xml:space="preserve"> </w:t>
      </w:r>
      <w:r w:rsidRPr="007D1642">
        <w:rPr>
          <w:rFonts w:ascii="Times New Roman" w:hAnsi="Times New Roman" w:cs="Times New Roman"/>
          <w:sz w:val="24"/>
          <w:szCs w:val="24"/>
          <w:lang w:val="es-PE"/>
        </w:rPr>
        <w:t xml:space="preserve">Conforme a ello, en el caso concreto, el reclamante </w:t>
      </w:r>
      <w:r w:rsidRPr="007D1642">
        <w:rPr>
          <w:rFonts w:ascii="Times New Roman" w:hAnsi="Times New Roman" w:cs="Times New Roman"/>
          <w:bCs/>
          <w:sz w:val="24"/>
          <w:szCs w:val="24"/>
          <w:lang w:val="es-PE"/>
        </w:rPr>
        <w:t>sustenta su impugnación en insistir en la argumentación que fue analizada y desestimada por esta Defensoría.</w:t>
      </w:r>
    </w:p>
    <w:p w14:paraId="2FC51B1F" w14:textId="5BE993A5" w:rsidR="007D1642" w:rsidRDefault="007D1642" w:rsidP="007D1642">
      <w:pPr>
        <w:pStyle w:val="Textoindependiente"/>
        <w:rPr>
          <w:bCs w:val="0"/>
          <w:lang w:val="es-PE"/>
        </w:rPr>
      </w:pPr>
      <w:r w:rsidRPr="007D1642">
        <w:rPr>
          <w:bCs w:val="0"/>
          <w:lang w:val="es-PE"/>
        </w:rPr>
        <w:t>En efecto, el recurrente no aporta medio de prueba que demuestre sus afirmaciones ni ha sustentado argumento distinto que demuestre un vicio o error en lo resuelto por esta Defensoría.</w:t>
      </w:r>
    </w:p>
    <w:p w14:paraId="2AD1FE4E" w14:textId="77777777" w:rsidR="007D1642" w:rsidRDefault="007D1642" w:rsidP="007D1642">
      <w:pPr>
        <w:pStyle w:val="Textoindependiente"/>
        <w:rPr>
          <w:bCs w:val="0"/>
          <w:lang w:val="es-PE"/>
        </w:rPr>
      </w:pPr>
    </w:p>
    <w:p w14:paraId="3FE15BFA" w14:textId="770256B3" w:rsidR="007D1642" w:rsidRPr="007D1642" w:rsidRDefault="007D1642" w:rsidP="007D1642">
      <w:pPr>
        <w:jc w:val="both"/>
        <w:rPr>
          <w:rFonts w:ascii="Times New Roman" w:hAnsi="Times New Roman" w:cs="Times New Roman"/>
          <w:bCs/>
          <w:sz w:val="24"/>
          <w:szCs w:val="24"/>
          <w:lang w:val="es-PE"/>
        </w:rPr>
      </w:pPr>
      <w:r w:rsidRPr="007D1642">
        <w:rPr>
          <w:rFonts w:ascii="Times New Roman" w:hAnsi="Times New Roman" w:cs="Times New Roman"/>
          <w:bCs/>
          <w:sz w:val="24"/>
          <w:szCs w:val="24"/>
          <w:lang w:val="es-PE"/>
        </w:rPr>
        <w:t xml:space="preserve">En ese sentido, el colegiado aprecia que el recurso de impugnación presentado por el reclamante constituye, más allá de evidenciar su desacuerdo con lo decidido, un pedido de revisión general. </w:t>
      </w:r>
    </w:p>
    <w:p w14:paraId="619AA5FF" w14:textId="77777777" w:rsidR="007D1642" w:rsidRPr="007D1642" w:rsidRDefault="007D1642" w:rsidP="007D1642">
      <w:pPr>
        <w:jc w:val="both"/>
        <w:rPr>
          <w:rFonts w:ascii="Times New Roman" w:hAnsi="Times New Roman" w:cs="Times New Roman"/>
          <w:sz w:val="24"/>
          <w:szCs w:val="24"/>
          <w:lang w:val="es-PE"/>
        </w:rPr>
      </w:pPr>
      <w:proofErr w:type="gramStart"/>
      <w:r w:rsidRPr="007D1642">
        <w:rPr>
          <w:rFonts w:ascii="Times New Roman" w:hAnsi="Times New Roman" w:cs="Times New Roman"/>
          <w:bCs/>
          <w:sz w:val="24"/>
          <w:szCs w:val="24"/>
          <w:lang w:val="es-PE"/>
        </w:rPr>
        <w:t>De acuerdo a</w:t>
      </w:r>
      <w:proofErr w:type="gramEnd"/>
      <w:r w:rsidRPr="007D1642">
        <w:rPr>
          <w:rFonts w:ascii="Times New Roman" w:hAnsi="Times New Roman" w:cs="Times New Roman"/>
          <w:bCs/>
          <w:sz w:val="24"/>
          <w:szCs w:val="24"/>
          <w:lang w:val="es-PE"/>
        </w:rPr>
        <w:t xml:space="preserve"> la resolución impugnada, la reclamación fue desestimada puesto que el siniestro se produjo cuando la conductora de la unidad asegurada cruzaba una intersección estando el semáforo en luz roja, conducta excluida de cobertura conforme al numeral </w:t>
      </w:r>
      <w:r w:rsidRPr="007D1642">
        <w:rPr>
          <w:rFonts w:ascii="Times New Roman" w:hAnsi="Times New Roman" w:cs="Times New Roman"/>
          <w:sz w:val="24"/>
          <w:szCs w:val="24"/>
          <w:lang w:val="es-PE"/>
        </w:rPr>
        <w:t>21 de las Condiciones Generales del Seguro de Autos.</w:t>
      </w:r>
    </w:p>
    <w:p w14:paraId="7BD52524" w14:textId="77777777" w:rsidR="007D1642" w:rsidRP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sz w:val="24"/>
          <w:szCs w:val="24"/>
          <w:lang w:val="es-PE"/>
        </w:rPr>
        <w:t>Tal como se</w:t>
      </w:r>
      <w:r w:rsidRPr="007D1642">
        <w:rPr>
          <w:rFonts w:ascii="Times New Roman" w:hAnsi="Times New Roman" w:cs="Times New Roman"/>
          <w:bCs/>
          <w:sz w:val="24"/>
          <w:szCs w:val="24"/>
          <w:lang w:val="es-PE"/>
        </w:rPr>
        <w:t xml:space="preserve"> desarrolla en los considerandos de la resolución en cuestión, el colegiado </w:t>
      </w:r>
      <w:r w:rsidRPr="007D1642">
        <w:rPr>
          <w:rFonts w:ascii="Times New Roman" w:hAnsi="Times New Roman" w:cs="Times New Roman"/>
          <w:sz w:val="24"/>
          <w:szCs w:val="24"/>
          <w:lang w:val="es-PE"/>
        </w:rPr>
        <w:t xml:space="preserve">verificó que lo sucedido en el accidente de tránsito corresponde exactamente con el supuesto de hecho enunciado en la exclusión de cobertura. </w:t>
      </w:r>
    </w:p>
    <w:p w14:paraId="53BD6E68" w14:textId="69B38A57" w:rsid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sz w:val="24"/>
          <w:szCs w:val="24"/>
          <w:lang w:val="es-PE"/>
        </w:rPr>
        <w:t xml:space="preserve">Esto en virtud del Atestado No </w:t>
      </w:r>
      <w:r w:rsidR="00F95D1D" w:rsidRPr="00D324BA">
        <w:rPr>
          <w:rFonts w:ascii="Arial" w:hAnsi="Arial" w:cs="Arial"/>
          <w:lang w:val="es-PE"/>
        </w:rPr>
        <w:t>..................</w:t>
      </w:r>
      <w:r w:rsidRPr="007D1642">
        <w:rPr>
          <w:rFonts w:ascii="Times New Roman" w:hAnsi="Times New Roman" w:cs="Times New Roman"/>
          <w:sz w:val="24"/>
          <w:szCs w:val="24"/>
          <w:lang w:val="es-PE"/>
        </w:rPr>
        <w:t>de fecha 11 de febrero de 2019, el cual, según la versión de los conductores entrevistados por la Policía Nacional, demuestra que el accidente de tránsito ocurrió cuando el vehículo asegurado cruzaba una intersección estando el semáforo con luz roja. Así como, por mérito de la investigación técnico policial, realizada el 2 de febrero de 2019, que deja constancia de la operatividad de los semáforos.</w:t>
      </w:r>
    </w:p>
    <w:p w14:paraId="153865EF" w14:textId="339E1CA3" w:rsidR="007D1642" w:rsidRP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sz w:val="24"/>
          <w:szCs w:val="24"/>
          <w:lang w:val="es-PE"/>
        </w:rPr>
        <w:t>De los actuados no cabe duda de la existencia de evidencias claras de que el evento dañoso sucedió cuando la conductora de la unidad asegurada cruzó una intersección estando el semáforo con luz roja, lo que corresponde a un riesgo expresamente excluido, por lo que la cobertura reclamada no es debida ni exigible.</w:t>
      </w:r>
    </w:p>
    <w:p w14:paraId="55C4012B" w14:textId="77777777" w:rsidR="007D1642" w:rsidRPr="007D1642" w:rsidRDefault="007D1642" w:rsidP="007D1642">
      <w:pPr>
        <w:jc w:val="both"/>
        <w:rPr>
          <w:rFonts w:ascii="Times New Roman" w:hAnsi="Times New Roman" w:cs="Times New Roman"/>
          <w:bCs/>
          <w:sz w:val="24"/>
          <w:szCs w:val="24"/>
          <w:lang w:val="es-PE"/>
        </w:rPr>
      </w:pPr>
      <w:r w:rsidRPr="007D1642">
        <w:rPr>
          <w:rFonts w:ascii="Times New Roman" w:hAnsi="Times New Roman" w:cs="Times New Roman"/>
          <w:bCs/>
          <w:sz w:val="24"/>
          <w:szCs w:val="24"/>
          <w:lang w:val="es-PE"/>
        </w:rPr>
        <w:lastRenderedPageBreak/>
        <w:t>En ese sentido, el colegiado reitera su convicción que, de los antecedentes fácticos del caso, se verifican pruebas razonables en el sentido que existen razones fundadas para estimar que el rechazo de cobertura es legítimo.</w:t>
      </w:r>
    </w:p>
    <w:p w14:paraId="1D317702" w14:textId="77777777" w:rsidR="007D1642" w:rsidRPr="007D1642" w:rsidRDefault="007D1642" w:rsidP="007D1642">
      <w:pPr>
        <w:jc w:val="both"/>
        <w:rPr>
          <w:rFonts w:ascii="Times New Roman" w:hAnsi="Times New Roman" w:cs="Times New Roman"/>
          <w:sz w:val="24"/>
          <w:szCs w:val="24"/>
          <w:lang w:val="es-PE"/>
        </w:rPr>
      </w:pPr>
      <w:r w:rsidRPr="007D1642">
        <w:rPr>
          <w:rFonts w:ascii="Times New Roman" w:hAnsi="Times New Roman" w:cs="Times New Roman"/>
          <w:b/>
          <w:sz w:val="24"/>
          <w:szCs w:val="24"/>
          <w:u w:val="single"/>
          <w:lang w:val="es-PE"/>
        </w:rPr>
        <w:t>TERCERO</w:t>
      </w:r>
      <w:r w:rsidRPr="007D1642">
        <w:rPr>
          <w:rFonts w:ascii="Times New Roman" w:hAnsi="Times New Roman" w:cs="Times New Roman"/>
          <w:b/>
          <w:sz w:val="24"/>
          <w:szCs w:val="24"/>
          <w:lang w:val="es-PE"/>
        </w:rPr>
        <w:t>:</w:t>
      </w:r>
      <w:r w:rsidRPr="007D1642">
        <w:rPr>
          <w:rFonts w:ascii="Times New Roman" w:hAnsi="Times New Roman" w:cs="Times New Roman"/>
          <w:sz w:val="24"/>
          <w:szCs w:val="24"/>
          <w:lang w:val="es-PE"/>
        </w:rPr>
        <w:t xml:space="preserve"> En atención a las consideraciones precedentes, este colegiado aprecia finalmente que no se ha evidenciado nueva prueba ni error ni falta de motivación, por lo que no existe mérito suficiente ni razón objetiva para revocar la resolución recurrida.</w:t>
      </w:r>
    </w:p>
    <w:p w14:paraId="1B5BB391" w14:textId="77777777" w:rsidR="007D1642" w:rsidRPr="007D1642" w:rsidRDefault="007D1642" w:rsidP="007D1642">
      <w:pPr>
        <w:jc w:val="both"/>
        <w:rPr>
          <w:rFonts w:ascii="Times New Roman" w:hAnsi="Times New Roman" w:cs="Times New Roman"/>
          <w:b/>
          <w:sz w:val="24"/>
          <w:szCs w:val="24"/>
          <w:lang w:val="es-PE"/>
        </w:rPr>
      </w:pPr>
      <w:r w:rsidRPr="007D1642">
        <w:rPr>
          <w:rFonts w:ascii="Times New Roman" w:hAnsi="Times New Roman" w:cs="Times New Roman"/>
          <w:b/>
          <w:sz w:val="24"/>
          <w:szCs w:val="24"/>
          <w:lang w:val="es-PE"/>
        </w:rPr>
        <w:t>RESUELVE:</w:t>
      </w:r>
    </w:p>
    <w:p w14:paraId="50C9AB6A" w14:textId="77777777" w:rsidR="007D1642" w:rsidRPr="007D1642" w:rsidRDefault="007D1642" w:rsidP="007D1642">
      <w:pPr>
        <w:jc w:val="both"/>
        <w:rPr>
          <w:rFonts w:ascii="Times New Roman" w:hAnsi="Times New Roman" w:cs="Times New Roman"/>
          <w:sz w:val="24"/>
          <w:szCs w:val="24"/>
          <w:lang w:val="es-PE"/>
        </w:rPr>
      </w:pPr>
      <w:r w:rsidRPr="007D1642">
        <w:rPr>
          <w:rFonts w:ascii="Times New Roman" w:eastAsia="Arial Unicode MS" w:hAnsi="Times New Roman" w:cs="Times New Roman"/>
          <w:b/>
          <w:sz w:val="24"/>
          <w:szCs w:val="24"/>
          <w:lang w:val="es-PE"/>
        </w:rPr>
        <w:t>Declarar INFUNDADO el recurso de impugnación interpuesto y, por consiguiente, CONFIRMAR la Resolución Nro. 074/21</w:t>
      </w:r>
      <w:r w:rsidRPr="007D1642">
        <w:rPr>
          <w:rFonts w:ascii="Times New Roman" w:hAnsi="Times New Roman" w:cs="Times New Roman"/>
          <w:sz w:val="24"/>
          <w:szCs w:val="24"/>
          <w:lang w:val="es-PE"/>
        </w:rPr>
        <w:t>.</w:t>
      </w:r>
    </w:p>
    <w:p w14:paraId="489525D7" w14:textId="77777777" w:rsidR="005E398E" w:rsidRPr="007D1642" w:rsidRDefault="005E398E" w:rsidP="00CF69DD">
      <w:pPr>
        <w:suppressAutoHyphens/>
        <w:spacing w:after="0" w:line="240" w:lineRule="auto"/>
        <w:outlineLvl w:val="0"/>
        <w:rPr>
          <w:rFonts w:ascii="Times New Roman" w:eastAsia="Arial Unicode MS" w:hAnsi="Times New Roman" w:cs="Times New Roman"/>
          <w:bCs/>
          <w:sz w:val="24"/>
          <w:szCs w:val="24"/>
          <w:lang w:val="es-PE"/>
        </w:rPr>
      </w:pPr>
    </w:p>
    <w:p w14:paraId="486C3F46" w14:textId="6C3EB2AD" w:rsidR="00C671F5" w:rsidRPr="007D1642"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7D1642">
        <w:rPr>
          <w:rFonts w:ascii="Times New Roman" w:eastAsia="Arial Unicode MS" w:hAnsi="Times New Roman" w:cs="Times New Roman"/>
          <w:sz w:val="24"/>
          <w:szCs w:val="24"/>
          <w:lang w:val="es-PE" w:eastAsia="ar-SA"/>
        </w:rPr>
        <w:t xml:space="preserve">Lima, </w:t>
      </w:r>
      <w:r w:rsidR="005B1AC5" w:rsidRPr="007D1642">
        <w:rPr>
          <w:rFonts w:ascii="Times New Roman" w:eastAsia="Arial Unicode MS" w:hAnsi="Times New Roman" w:cs="Times New Roman"/>
          <w:sz w:val="24"/>
          <w:szCs w:val="24"/>
          <w:lang w:val="es-PE" w:eastAsia="ar-SA"/>
        </w:rPr>
        <w:t>16</w:t>
      </w:r>
      <w:r w:rsidR="00CF69DD" w:rsidRPr="007D1642">
        <w:rPr>
          <w:rFonts w:ascii="Times New Roman" w:eastAsia="Arial Unicode MS" w:hAnsi="Times New Roman" w:cs="Times New Roman"/>
          <w:sz w:val="24"/>
          <w:szCs w:val="24"/>
          <w:lang w:val="es-PE" w:eastAsia="ar-SA"/>
        </w:rPr>
        <w:t xml:space="preserve"> </w:t>
      </w:r>
      <w:r w:rsidR="00707C99" w:rsidRPr="007D1642">
        <w:rPr>
          <w:rFonts w:ascii="Times New Roman" w:eastAsia="Arial Unicode MS" w:hAnsi="Times New Roman" w:cs="Times New Roman"/>
          <w:sz w:val="24"/>
          <w:szCs w:val="24"/>
          <w:lang w:val="es-PE" w:eastAsia="ar-SA"/>
        </w:rPr>
        <w:t>de</w:t>
      </w:r>
      <w:r w:rsidR="00864B0B" w:rsidRPr="007D1642">
        <w:rPr>
          <w:rFonts w:ascii="Times New Roman" w:eastAsia="Arial Unicode MS" w:hAnsi="Times New Roman" w:cs="Times New Roman"/>
          <w:sz w:val="24"/>
          <w:szCs w:val="24"/>
          <w:lang w:val="es-PE" w:eastAsia="ar-SA"/>
        </w:rPr>
        <w:t xml:space="preserve"> </w:t>
      </w:r>
      <w:r w:rsidR="005B1AC5" w:rsidRPr="007D1642">
        <w:rPr>
          <w:rFonts w:ascii="Times New Roman" w:eastAsia="Arial Unicode MS" w:hAnsi="Times New Roman" w:cs="Times New Roman"/>
          <w:sz w:val="24"/>
          <w:szCs w:val="24"/>
          <w:lang w:val="es-PE" w:eastAsia="ar-SA"/>
        </w:rPr>
        <w:t>agosto</w:t>
      </w:r>
      <w:r w:rsidR="00F06498" w:rsidRPr="007D1642">
        <w:rPr>
          <w:rFonts w:ascii="Times New Roman" w:eastAsia="Arial Unicode MS" w:hAnsi="Times New Roman" w:cs="Times New Roman"/>
          <w:sz w:val="24"/>
          <w:szCs w:val="24"/>
          <w:lang w:val="es-PE" w:eastAsia="ar-SA"/>
        </w:rPr>
        <w:t xml:space="preserve"> de 202</w:t>
      </w:r>
      <w:r w:rsidR="00231C58" w:rsidRPr="007D1642">
        <w:rPr>
          <w:rFonts w:ascii="Times New Roman" w:eastAsia="Arial Unicode MS" w:hAnsi="Times New Roman" w:cs="Times New Roman"/>
          <w:sz w:val="24"/>
          <w:szCs w:val="24"/>
          <w:lang w:val="es-PE" w:eastAsia="ar-SA"/>
        </w:rPr>
        <w:t>1</w:t>
      </w:r>
      <w:r w:rsidR="00707C99" w:rsidRPr="007D1642">
        <w:rPr>
          <w:rFonts w:ascii="Times New Roman" w:eastAsia="Times New Roman" w:hAnsi="Times New Roman" w:cs="Times New Roman"/>
          <w:sz w:val="24"/>
          <w:szCs w:val="24"/>
          <w:lang w:val="es-PE" w:eastAsia="ar-SA"/>
        </w:rPr>
        <w:t xml:space="preserve"> </w:t>
      </w:r>
    </w:p>
    <w:p w14:paraId="2B9BAAC8" w14:textId="77777777" w:rsidR="00231C58" w:rsidRPr="007D1642"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7D1642" w:rsidRDefault="00C671F5" w:rsidP="004A374A">
      <w:pPr>
        <w:spacing w:after="0" w:line="240" w:lineRule="auto"/>
        <w:jc w:val="both"/>
        <w:rPr>
          <w:rFonts w:ascii="Times New Roman" w:hAnsi="Times New Roman" w:cs="Times New Roman"/>
          <w:b/>
          <w:bCs/>
          <w:i/>
          <w:iCs/>
          <w:sz w:val="24"/>
          <w:szCs w:val="24"/>
          <w:lang w:val="es-PE"/>
        </w:rPr>
      </w:pPr>
      <w:r w:rsidRPr="007D164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7D1642"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Pr="007D1642" w:rsidRDefault="0032345B" w:rsidP="004A374A">
      <w:pPr>
        <w:spacing w:after="0" w:line="360" w:lineRule="auto"/>
        <w:jc w:val="center"/>
        <w:rPr>
          <w:rFonts w:ascii="Times New Roman" w:hAnsi="Times New Roman" w:cs="Times New Roman"/>
          <w:b/>
          <w:bCs/>
          <w:sz w:val="24"/>
          <w:szCs w:val="24"/>
          <w:lang w:val="es-PE"/>
        </w:rPr>
      </w:pPr>
      <w:r w:rsidRPr="007D1642">
        <w:rPr>
          <w:rFonts w:ascii="Times New Roman" w:hAnsi="Times New Roman" w:cs="Times New Roman"/>
          <w:b/>
          <w:bCs/>
          <w:sz w:val="24"/>
          <w:szCs w:val="24"/>
          <w:lang w:val="es-PE"/>
        </w:rPr>
        <w:t xml:space="preserve">Marco Antonio Ortega Piana </w:t>
      </w:r>
      <w:r w:rsidR="00C671F5" w:rsidRPr="007D1642">
        <w:rPr>
          <w:rFonts w:ascii="Times New Roman" w:hAnsi="Times New Roman" w:cs="Times New Roman"/>
          <w:b/>
          <w:bCs/>
          <w:sz w:val="24"/>
          <w:szCs w:val="24"/>
          <w:lang w:val="es-PE"/>
        </w:rPr>
        <w:t xml:space="preserve">– </w:t>
      </w:r>
      <w:proofErr w:type="gramStart"/>
      <w:r w:rsidR="00C671F5" w:rsidRPr="007D1642">
        <w:rPr>
          <w:rFonts w:ascii="Times New Roman" w:hAnsi="Times New Roman" w:cs="Times New Roman"/>
          <w:b/>
          <w:bCs/>
          <w:sz w:val="24"/>
          <w:szCs w:val="24"/>
          <w:lang w:val="es-PE"/>
        </w:rPr>
        <w:t>Presidente</w:t>
      </w:r>
      <w:proofErr w:type="gramEnd"/>
    </w:p>
    <w:p w14:paraId="033E3E13" w14:textId="7196E86D" w:rsidR="0032345B" w:rsidRPr="007D1642" w:rsidRDefault="0032345B" w:rsidP="004A374A">
      <w:pPr>
        <w:spacing w:after="0" w:line="360" w:lineRule="auto"/>
        <w:jc w:val="center"/>
        <w:rPr>
          <w:rFonts w:ascii="Times New Roman" w:hAnsi="Times New Roman" w:cs="Times New Roman"/>
          <w:b/>
          <w:bCs/>
          <w:sz w:val="24"/>
          <w:szCs w:val="24"/>
          <w:lang w:val="es-PE"/>
        </w:rPr>
      </w:pPr>
      <w:r w:rsidRPr="007D1642">
        <w:rPr>
          <w:rFonts w:ascii="Times New Roman" w:hAnsi="Times New Roman" w:cs="Times New Roman"/>
          <w:b/>
          <w:bCs/>
          <w:sz w:val="24"/>
          <w:szCs w:val="24"/>
          <w:lang w:val="es-PE"/>
        </w:rPr>
        <w:t>María Eugenia Valdez Fernández Baca– Vocal</w:t>
      </w:r>
    </w:p>
    <w:p w14:paraId="3006BA35" w14:textId="7871895F" w:rsidR="00292018" w:rsidRPr="007D1642" w:rsidRDefault="00292018" w:rsidP="004A374A">
      <w:pPr>
        <w:spacing w:after="0" w:line="360" w:lineRule="auto"/>
        <w:jc w:val="center"/>
        <w:rPr>
          <w:rFonts w:ascii="Times New Roman" w:hAnsi="Times New Roman" w:cs="Times New Roman"/>
          <w:b/>
          <w:bCs/>
          <w:sz w:val="24"/>
          <w:szCs w:val="24"/>
          <w:lang w:val="es-PE"/>
        </w:rPr>
      </w:pPr>
      <w:r w:rsidRPr="007D1642">
        <w:rPr>
          <w:rFonts w:ascii="Times New Roman" w:hAnsi="Times New Roman" w:cs="Times New Roman"/>
          <w:b/>
          <w:bCs/>
          <w:sz w:val="24"/>
          <w:szCs w:val="24"/>
          <w:lang w:val="es-PE"/>
        </w:rPr>
        <w:t xml:space="preserve">Rolando Eyzaguirre </w:t>
      </w:r>
      <w:proofErr w:type="spellStart"/>
      <w:r w:rsidRPr="007D1642">
        <w:rPr>
          <w:rFonts w:ascii="Times New Roman" w:hAnsi="Times New Roman" w:cs="Times New Roman"/>
          <w:b/>
          <w:bCs/>
          <w:sz w:val="24"/>
          <w:szCs w:val="24"/>
          <w:lang w:val="es-PE"/>
        </w:rPr>
        <w:t>Maccan</w:t>
      </w:r>
      <w:proofErr w:type="spellEnd"/>
      <w:r w:rsidRPr="007D1642">
        <w:rPr>
          <w:rFonts w:ascii="Times New Roman" w:hAnsi="Times New Roman" w:cs="Times New Roman"/>
          <w:b/>
          <w:bCs/>
          <w:sz w:val="24"/>
          <w:szCs w:val="24"/>
          <w:lang w:val="es-PE"/>
        </w:rPr>
        <w:t xml:space="preserve"> – Vocal</w:t>
      </w:r>
    </w:p>
    <w:p w14:paraId="3A9CFE9F" w14:textId="4DFF4426" w:rsidR="00C671F5" w:rsidRPr="007D1642" w:rsidRDefault="00C671F5" w:rsidP="004A374A">
      <w:pPr>
        <w:spacing w:after="0" w:line="360" w:lineRule="auto"/>
        <w:jc w:val="center"/>
        <w:rPr>
          <w:rFonts w:ascii="Times New Roman" w:hAnsi="Times New Roman" w:cs="Times New Roman"/>
          <w:sz w:val="24"/>
          <w:szCs w:val="24"/>
          <w:lang w:val="es-PE"/>
        </w:rPr>
      </w:pPr>
      <w:r w:rsidRPr="007D1642">
        <w:rPr>
          <w:rFonts w:ascii="Times New Roman" w:hAnsi="Times New Roman" w:cs="Times New Roman"/>
          <w:b/>
          <w:bCs/>
          <w:sz w:val="24"/>
          <w:szCs w:val="24"/>
          <w:lang w:val="es-PE"/>
        </w:rPr>
        <w:t xml:space="preserve">Gonzalo Abad del Busto </w:t>
      </w:r>
      <w:r w:rsidR="00231C58" w:rsidRPr="007D1642">
        <w:rPr>
          <w:rFonts w:ascii="Times New Roman" w:hAnsi="Times New Roman" w:cs="Times New Roman"/>
          <w:b/>
          <w:bCs/>
          <w:sz w:val="24"/>
          <w:szCs w:val="24"/>
          <w:lang w:val="es-PE"/>
        </w:rPr>
        <w:t xml:space="preserve">– </w:t>
      </w:r>
      <w:r w:rsidRPr="007D1642">
        <w:rPr>
          <w:rFonts w:ascii="Times New Roman" w:hAnsi="Times New Roman" w:cs="Times New Roman"/>
          <w:b/>
          <w:bCs/>
          <w:sz w:val="24"/>
          <w:szCs w:val="24"/>
          <w:lang w:val="es-PE"/>
        </w:rPr>
        <w:t>Vocal</w:t>
      </w:r>
    </w:p>
    <w:p w14:paraId="33E0FAB8" w14:textId="77777777" w:rsidR="00C671F5" w:rsidRPr="007D1642"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7D1642" w:rsidRDefault="00C671F5" w:rsidP="004A374A">
      <w:pPr>
        <w:spacing w:line="240" w:lineRule="auto"/>
        <w:rPr>
          <w:rFonts w:ascii="Times New Roman" w:eastAsia="Arial Unicode MS" w:hAnsi="Times New Roman" w:cs="Times New Roman"/>
          <w:sz w:val="24"/>
          <w:szCs w:val="24"/>
          <w:lang w:val="es-PE" w:eastAsia="ar-SA"/>
        </w:rPr>
      </w:pPr>
    </w:p>
    <w:sectPr w:rsidR="00C671F5" w:rsidRPr="007D1642"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45000" w14:textId="77777777" w:rsidR="00927C26" w:rsidRDefault="00927C26" w:rsidP="00784355">
      <w:pPr>
        <w:spacing w:after="0" w:line="240" w:lineRule="auto"/>
      </w:pPr>
      <w:r>
        <w:separator/>
      </w:r>
    </w:p>
  </w:endnote>
  <w:endnote w:type="continuationSeparator" w:id="0">
    <w:p w14:paraId="38BE0AF9" w14:textId="77777777" w:rsidR="00927C26" w:rsidRDefault="00927C2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9B3C1" w14:textId="77777777" w:rsidR="00927C26" w:rsidRDefault="00927C26" w:rsidP="00784355">
      <w:pPr>
        <w:spacing w:after="0" w:line="240" w:lineRule="auto"/>
      </w:pPr>
      <w:r>
        <w:separator/>
      </w:r>
    </w:p>
  </w:footnote>
  <w:footnote w:type="continuationSeparator" w:id="0">
    <w:p w14:paraId="2BE4EA07" w14:textId="77777777" w:rsidR="00927C26" w:rsidRDefault="00927C2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675621649">
    <w:abstractNumId w:val="1"/>
  </w:num>
  <w:num w:numId="2" w16cid:durableId="920722224">
    <w:abstractNumId w:val="8"/>
  </w:num>
  <w:num w:numId="3" w16cid:durableId="1975910995">
    <w:abstractNumId w:val="6"/>
  </w:num>
  <w:num w:numId="4" w16cid:durableId="1978023625">
    <w:abstractNumId w:val="5"/>
  </w:num>
  <w:num w:numId="5" w16cid:durableId="3091840">
    <w:abstractNumId w:val="7"/>
  </w:num>
  <w:num w:numId="6" w16cid:durableId="1931547635">
    <w:abstractNumId w:val="0"/>
    <w:lvlOverride w:ilvl="0">
      <w:startOverride w:val="1"/>
    </w:lvlOverride>
    <w:lvlOverride w:ilvl="1"/>
    <w:lvlOverride w:ilvl="2"/>
    <w:lvlOverride w:ilvl="3"/>
    <w:lvlOverride w:ilvl="4"/>
    <w:lvlOverride w:ilvl="5"/>
    <w:lvlOverride w:ilvl="6"/>
    <w:lvlOverride w:ilvl="7"/>
    <w:lvlOverride w:ilvl="8"/>
  </w:num>
  <w:num w:numId="7" w16cid:durableId="2059356425">
    <w:abstractNumId w:val="3"/>
  </w:num>
  <w:num w:numId="8" w16cid:durableId="1417019986">
    <w:abstractNumId w:val="4"/>
  </w:num>
  <w:num w:numId="9" w16cid:durableId="251280420">
    <w:abstractNumId w:val="10"/>
  </w:num>
  <w:num w:numId="10" w16cid:durableId="2043821113">
    <w:abstractNumId w:val="9"/>
  </w:num>
  <w:num w:numId="11" w16cid:durableId="1521703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57772"/>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1642"/>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0B4"/>
    <w:rsid w:val="008D55AF"/>
    <w:rsid w:val="008D6DDF"/>
    <w:rsid w:val="008F1161"/>
    <w:rsid w:val="008F1AB2"/>
    <w:rsid w:val="008F479E"/>
    <w:rsid w:val="009011F1"/>
    <w:rsid w:val="009127A6"/>
    <w:rsid w:val="0091528B"/>
    <w:rsid w:val="009157B1"/>
    <w:rsid w:val="00917CAF"/>
    <w:rsid w:val="009272D7"/>
    <w:rsid w:val="00927C26"/>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5D1D"/>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2A203BD-4D35-4D39-9469-8B13B1322767}"/>
</file>

<file path=customXml/itemProps3.xml><?xml version="1.0" encoding="utf-8"?>
<ds:datastoreItem xmlns:ds="http://schemas.openxmlformats.org/officeDocument/2006/customXml" ds:itemID="{27884A3C-34F8-42A7-9BFC-114998B7EF36}"/>
</file>

<file path=customXml/itemProps4.xml><?xml version="1.0" encoding="utf-8"?>
<ds:datastoreItem xmlns:ds="http://schemas.openxmlformats.org/officeDocument/2006/customXml" ds:itemID="{22B98F7B-B5D9-41CD-A0FB-1B9303E81597}"/>
</file>

<file path=docProps/app.xml><?xml version="1.0" encoding="utf-8"?>
<Properties xmlns="http://schemas.openxmlformats.org/officeDocument/2006/extended-properties" xmlns:vt="http://schemas.openxmlformats.org/officeDocument/2006/docPropsVTypes">
  <Template>Normal</Template>
  <TotalTime>286</TotalTime>
  <Pages>3</Pages>
  <Words>1254</Words>
  <Characters>6901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72</cp:revision>
  <cp:lastPrinted>2021-08-17T14:38:00Z</cp:lastPrinted>
  <dcterms:created xsi:type="dcterms:W3CDTF">2020-12-18T20:17:00Z</dcterms:created>
  <dcterms:modified xsi:type="dcterms:W3CDTF">2022-07-15T16:36:00Z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