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A2A1F" w:rsidR="00EF0B7F" w:rsidP="00EF0B7F" w:rsidRDefault="00201C0D" w14:paraId="632C635A" w14:textId="69831BDB">
      <w:pPr>
        <w:pStyle w:val="Ttulo2"/>
        <w:jc w:val="center"/>
        <w:rPr>
          <w:rFonts w:ascii="Times New Roman" w:hAnsi="Times New Roman" w:cs="Times New Roman"/>
          <w:b/>
          <w:bCs/>
          <w:color w:val="auto"/>
          <w:sz w:val="24"/>
          <w:szCs w:val="24"/>
          <w:lang w:val="es-PE" w:eastAsia="ar-SA"/>
        </w:rPr>
      </w:pPr>
      <w:r w:rsidRPr="00AA2A1F">
        <w:rPr>
          <w:rFonts w:ascii="Times New Roman" w:hAnsi="Times New Roman" w:cs="Times New Roman"/>
          <w:b/>
          <w:bCs/>
          <w:color w:val="auto"/>
          <w:sz w:val="24"/>
          <w:szCs w:val="24"/>
          <w:lang w:val="es-PE" w:eastAsia="ar-SA"/>
        </w:rPr>
        <w:t xml:space="preserve">RESOLUCIÓN DE RECURSO IMPUGNATIVO </w:t>
      </w:r>
      <w:proofErr w:type="spellStart"/>
      <w:r w:rsidRPr="00AA2A1F" w:rsidR="00707C99">
        <w:rPr>
          <w:rFonts w:ascii="Times New Roman" w:hAnsi="Times New Roman" w:cs="Times New Roman"/>
          <w:b/>
          <w:bCs/>
          <w:color w:val="auto"/>
          <w:sz w:val="24"/>
          <w:szCs w:val="24"/>
          <w:lang w:val="es-PE" w:eastAsia="ar-SA"/>
        </w:rPr>
        <w:t>N°</w:t>
      </w:r>
      <w:proofErr w:type="spellEnd"/>
      <w:r w:rsidRPr="00AA2A1F" w:rsidR="00707C99">
        <w:rPr>
          <w:rFonts w:ascii="Times New Roman" w:hAnsi="Times New Roman" w:cs="Times New Roman"/>
          <w:b/>
          <w:bCs/>
          <w:color w:val="auto"/>
          <w:sz w:val="24"/>
          <w:szCs w:val="24"/>
          <w:lang w:val="es-PE" w:eastAsia="ar-SA"/>
        </w:rPr>
        <w:t xml:space="preserve"> </w:t>
      </w:r>
      <w:r w:rsidRPr="00AA2A1F" w:rsidR="00C671F5">
        <w:rPr>
          <w:rFonts w:ascii="Times New Roman" w:hAnsi="Times New Roman" w:cs="Times New Roman"/>
          <w:b/>
          <w:bCs/>
          <w:color w:val="auto"/>
          <w:sz w:val="24"/>
          <w:szCs w:val="24"/>
          <w:lang w:val="es-PE" w:eastAsia="ar-SA"/>
        </w:rPr>
        <w:t>0</w:t>
      </w:r>
      <w:r w:rsidRPr="00AA2A1F" w:rsidR="00EF0B7F">
        <w:rPr>
          <w:rFonts w:ascii="Times New Roman" w:hAnsi="Times New Roman" w:cs="Times New Roman"/>
          <w:b/>
          <w:bCs/>
          <w:color w:val="auto"/>
          <w:sz w:val="24"/>
          <w:szCs w:val="24"/>
          <w:lang w:val="es-PE" w:eastAsia="ar-SA"/>
        </w:rPr>
        <w:t>4</w:t>
      </w:r>
      <w:r w:rsidRPr="00AA2A1F" w:rsidR="00AA2A1F">
        <w:rPr>
          <w:rFonts w:ascii="Times New Roman" w:hAnsi="Times New Roman" w:cs="Times New Roman"/>
          <w:b/>
          <w:bCs/>
          <w:color w:val="auto"/>
          <w:sz w:val="24"/>
          <w:szCs w:val="24"/>
          <w:lang w:val="es-PE" w:eastAsia="ar-SA"/>
        </w:rPr>
        <w:t>7</w:t>
      </w:r>
      <w:r w:rsidRPr="00AA2A1F" w:rsidR="00517CFF">
        <w:rPr>
          <w:rFonts w:ascii="Times New Roman" w:hAnsi="Times New Roman" w:cs="Times New Roman"/>
          <w:b/>
          <w:bCs/>
          <w:color w:val="auto"/>
          <w:sz w:val="24"/>
          <w:szCs w:val="24"/>
          <w:lang w:val="es-PE" w:eastAsia="ar-SA"/>
        </w:rPr>
        <w:t>/</w:t>
      </w:r>
      <w:r w:rsidRPr="00AA2A1F" w:rsidR="00C671F5">
        <w:rPr>
          <w:rFonts w:ascii="Times New Roman" w:hAnsi="Times New Roman" w:cs="Times New Roman"/>
          <w:b/>
          <w:bCs/>
          <w:color w:val="auto"/>
          <w:sz w:val="24"/>
          <w:szCs w:val="24"/>
          <w:lang w:val="es-PE" w:eastAsia="ar-SA"/>
        </w:rPr>
        <w:t>2</w:t>
      </w:r>
      <w:r w:rsidRPr="00AA2A1F" w:rsidR="00231C58">
        <w:rPr>
          <w:rFonts w:ascii="Times New Roman" w:hAnsi="Times New Roman" w:cs="Times New Roman"/>
          <w:b/>
          <w:bCs/>
          <w:color w:val="auto"/>
          <w:sz w:val="24"/>
          <w:szCs w:val="24"/>
          <w:lang w:val="es-PE" w:eastAsia="ar-SA"/>
        </w:rPr>
        <w:t>1</w:t>
      </w:r>
    </w:p>
    <w:p w:rsidRPr="00AA2A1F" w:rsidR="00EF0B7F" w:rsidP="00EF0B7F" w:rsidRDefault="00EF0B7F" w14:paraId="3D4CE234" w14:textId="77777777">
      <w:pPr>
        <w:rPr>
          <w:rFonts w:ascii="Times New Roman" w:hAnsi="Times New Roman" w:cs="Times New Roman"/>
          <w:sz w:val="24"/>
          <w:szCs w:val="24"/>
          <w:lang w:val="es-PE" w:eastAsia="ar-SA"/>
        </w:rPr>
      </w:pPr>
    </w:p>
    <w:p w:rsidRPr="00AA2A1F" w:rsidR="00AA2A1F" w:rsidP="00AA2A1F" w:rsidRDefault="00AA2A1F" w14:paraId="0AD814ED" w14:textId="77777777">
      <w:pPr>
        <w:spacing w:after="0" w:line="240" w:lineRule="auto"/>
        <w:rPr>
          <w:rFonts w:ascii="Times New Roman" w:hAnsi="Times New Roman" w:cs="Times New Roman"/>
          <w:sz w:val="24"/>
          <w:szCs w:val="24"/>
          <w:lang w:val="es-PE"/>
        </w:rPr>
      </w:pPr>
    </w:p>
    <w:p w:rsidRPr="00AA2A1F" w:rsidR="00AA2A1F" w:rsidP="00AA2A1F" w:rsidRDefault="00AA2A1F" w14:paraId="1EA7829E" w14:textId="77777777">
      <w:pPr>
        <w:spacing w:after="0" w:line="240" w:lineRule="auto"/>
        <w:jc w:val="both"/>
        <w:rPr>
          <w:rFonts w:ascii="Times New Roman" w:hAnsi="Times New Roman" w:cs="Times New Roman"/>
          <w:sz w:val="24"/>
          <w:szCs w:val="24"/>
          <w:lang w:val="es-PE"/>
        </w:rPr>
      </w:pPr>
      <w:r w:rsidRPr="00AA2A1F">
        <w:rPr>
          <w:rFonts w:ascii="Times New Roman" w:hAnsi="Times New Roman" w:cs="Times New Roman"/>
          <w:b/>
          <w:sz w:val="24"/>
          <w:szCs w:val="24"/>
          <w:lang w:val="es-PE"/>
        </w:rPr>
        <w:t xml:space="preserve">Vistos: </w:t>
      </w:r>
    </w:p>
    <w:p w:rsidRPr="00AA2A1F" w:rsidR="00AA2A1F" w:rsidP="00AA2A1F" w:rsidRDefault="00AA2A1F" w14:paraId="1B4ABBEC" w14:textId="77777777">
      <w:pPr>
        <w:spacing w:after="0" w:line="240" w:lineRule="auto"/>
        <w:jc w:val="both"/>
        <w:rPr>
          <w:rFonts w:ascii="Times New Roman" w:hAnsi="Times New Roman" w:cs="Times New Roman"/>
          <w:sz w:val="24"/>
          <w:szCs w:val="24"/>
          <w:lang w:val="es-PE"/>
        </w:rPr>
      </w:pPr>
    </w:p>
    <w:p w:rsidRPr="00AA2A1F" w:rsidR="00AA2A1F" w:rsidP="00AA2A1F" w:rsidRDefault="00AA2A1F" w14:paraId="1D17FC04" w14:textId="24FD8957">
      <w:pPr>
        <w:spacing w:line="240" w:lineRule="auto"/>
        <w:jc w:val="both"/>
        <w:rPr>
          <w:rFonts w:ascii="Times New Roman" w:hAnsi="Times New Roman" w:cs="Times New Roman"/>
          <w:sz w:val="24"/>
          <w:szCs w:val="24"/>
          <w:lang w:val="es-PE"/>
        </w:rPr>
      </w:pPr>
      <w:r w:rsidRPr="5F5C875D" w:rsidR="00AA2A1F">
        <w:rPr>
          <w:rFonts w:ascii="Times New Roman" w:hAnsi="Times New Roman" w:cs="Times New Roman"/>
          <w:sz w:val="24"/>
          <w:szCs w:val="24"/>
          <w:lang w:val="es-PE"/>
        </w:rPr>
        <w:t xml:space="preserve">El Recurso Impugnativo presentado el 05 de julio de 2021 por </w:t>
      </w:r>
      <w:r w:rsidRPr="5F5C875D" w:rsidR="37827D8B">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xml:space="preserve">, respecto de la Resolución </w:t>
      </w:r>
      <w:r w:rsidRPr="5F5C875D" w:rsidR="00AA2A1F">
        <w:rPr>
          <w:rFonts w:ascii="Times New Roman" w:hAnsi="Times New Roman" w:cs="Times New Roman"/>
          <w:sz w:val="24"/>
          <w:szCs w:val="24"/>
          <w:lang w:val="es-PE"/>
        </w:rPr>
        <w:t>N°</w:t>
      </w:r>
      <w:r w:rsidRPr="5F5C875D" w:rsidR="00AA2A1F">
        <w:rPr>
          <w:rFonts w:ascii="Times New Roman" w:hAnsi="Times New Roman" w:cs="Times New Roman"/>
          <w:sz w:val="24"/>
          <w:szCs w:val="24"/>
          <w:lang w:val="es-PE"/>
        </w:rPr>
        <w:t xml:space="preserve"> 084/21 de fecha 28 de junio de 2021 por esta Defensoría del Asegurado (DEFASEG) que declaró IMPROCEDENTE la reclamación interpuesta, sobre sobre otorgamiento de cobertura al siniestro ocurrido bajo la Póliza de Seguro de Vehículos contratada</w:t>
      </w:r>
    </w:p>
    <w:p w:rsidRPr="00AA2A1F" w:rsidR="00AA2A1F" w:rsidP="00AA2A1F" w:rsidRDefault="00AA2A1F" w14:paraId="3C2BF088" w14:textId="34A206B1">
      <w:pPr>
        <w:spacing w:line="240" w:lineRule="auto"/>
        <w:jc w:val="both"/>
        <w:rPr>
          <w:rFonts w:ascii="Times New Roman" w:hAnsi="Times New Roman" w:cs="Times New Roman"/>
          <w:sz w:val="24"/>
          <w:szCs w:val="24"/>
          <w:lang w:val="es-PE"/>
        </w:rPr>
      </w:pPr>
      <w:r w:rsidRPr="5F5C875D" w:rsidR="00AA2A1F">
        <w:rPr>
          <w:rFonts w:ascii="Times New Roman" w:hAnsi="Times New Roman" w:cs="Times New Roman"/>
          <w:sz w:val="24"/>
          <w:szCs w:val="24"/>
          <w:lang w:val="es-PE"/>
        </w:rPr>
        <w:t xml:space="preserve">Que el señalado Recurso Impugnativo se fundamenta resumidamente en lo siguiente: 1) Que, </w:t>
      </w:r>
      <w:r w:rsidRPr="5F5C875D" w:rsidR="57504DF9">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xml:space="preserve"> Seguros manifestó en la oportunidad de la audiencia que, la documentación no estaba rechazada sino suspendida hasta que se cumpla con presentar el informe policial o fiscal ampliatorio, ello </w:t>
      </w:r>
      <w:r w:rsidRPr="5F5C875D" w:rsidR="00AA2A1F">
        <w:rPr>
          <w:rFonts w:ascii="Times New Roman" w:hAnsi="Times New Roman" w:cs="Times New Roman"/>
          <w:sz w:val="24"/>
          <w:szCs w:val="24"/>
          <w:lang w:val="es-PE"/>
        </w:rPr>
        <w:t>en razón de</w:t>
      </w:r>
      <w:r w:rsidRPr="5F5C875D" w:rsidR="00AA2A1F">
        <w:rPr>
          <w:rFonts w:ascii="Times New Roman" w:hAnsi="Times New Roman" w:cs="Times New Roman"/>
          <w:sz w:val="24"/>
          <w:szCs w:val="24"/>
          <w:lang w:val="es-PE"/>
        </w:rPr>
        <w:t xml:space="preserve"> que la declaración jurada presentada por la testigo que vio el accidente debe formar parte del informe policial ampliatorio, a fin de proceder con la atención del siniestro. 2) Que, el abogado del Estudio Ramírez manifestó que esa información y además la información presentada es relevante e importante para evaluar la atención de la cobertura, toda vez que el asegurado ha acudido a la instancia del Ministerio Público a solicitud de la misma compañía </w:t>
      </w:r>
      <w:r w:rsidRPr="5F5C875D" w:rsidR="57504DF9">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xml:space="preserve">, estando a la espera del pronunciamiento y que el asegurado considera que existen elementos más que suficientes para que se pronuncie otorgando la cobertura. 3) Que, sin perjuicio de lo manifestado y por tratarse de una investigación que solo se ha realizado para los efectos de </w:t>
      </w:r>
      <w:r w:rsidRPr="5F5C875D" w:rsidR="00AA2A1F">
        <w:rPr>
          <w:rFonts w:ascii="Times New Roman" w:hAnsi="Times New Roman" w:cs="Times New Roman"/>
          <w:sz w:val="24"/>
          <w:szCs w:val="24"/>
          <w:lang w:val="es-PE"/>
        </w:rPr>
        <w:t>coberturar</w:t>
      </w:r>
      <w:r w:rsidRPr="5F5C875D" w:rsidR="00AA2A1F">
        <w:rPr>
          <w:rFonts w:ascii="Times New Roman" w:hAnsi="Times New Roman" w:cs="Times New Roman"/>
          <w:sz w:val="24"/>
          <w:szCs w:val="24"/>
          <w:lang w:val="es-PE"/>
        </w:rPr>
        <w:t xml:space="preserve"> el seguro y dar cumplimiento al requerimiento de la aseguradora, además de los otros elementos de evaluación que se le han alcanzado, se espera que la respuesta sea favorable. 4) Que, dicho esto, si bien resulta cierto lo señalado en el punto quinto de la Resolución impugnada, el asegurado expresa su desacuerdo con la decisión de archivar definitivamente el caso, toda vez que </w:t>
      </w:r>
      <w:r w:rsidRPr="5F5C875D" w:rsidR="00AA2A1F">
        <w:rPr>
          <w:rFonts w:ascii="Times New Roman" w:hAnsi="Times New Roman" w:cs="Times New Roman"/>
          <w:sz w:val="24"/>
          <w:szCs w:val="24"/>
          <w:lang w:val="es-PE"/>
        </w:rPr>
        <w:t>en caso que</w:t>
      </w:r>
      <w:r w:rsidRPr="5F5C875D" w:rsidR="00AA2A1F">
        <w:rPr>
          <w:rFonts w:ascii="Times New Roman" w:hAnsi="Times New Roman" w:cs="Times New Roman"/>
          <w:sz w:val="24"/>
          <w:szCs w:val="24"/>
          <w:lang w:val="es-PE"/>
        </w:rPr>
        <w:t xml:space="preserve"> la decisión sea adversa por falta de documentación es un tema de forma, toda vez que no existiendo responsables del daño la acción penal no llegará a formalizarse ante el Juez. </w:t>
      </w:r>
      <w:r w:rsidRPr="5F5C875D" w:rsidR="00AA2A1F">
        <w:rPr>
          <w:rFonts w:ascii="Times New Roman" w:hAnsi="Times New Roman" w:cs="Times New Roman"/>
          <w:sz w:val="24"/>
          <w:szCs w:val="24"/>
          <w:lang w:val="es-PE"/>
        </w:rPr>
        <w:t>Que, por este motivo el asegurado solicita se deje a salvo su derecho de exigir que el caso se archive temporalmente con arreglo al resultado de la evaluación de la aseguradora.</w:t>
      </w:r>
      <w:r w:rsidRPr="5F5C875D" w:rsidR="00AA2A1F">
        <w:rPr>
          <w:rFonts w:ascii="Times New Roman" w:hAnsi="Times New Roman" w:cs="Times New Roman"/>
          <w:sz w:val="24"/>
          <w:szCs w:val="24"/>
          <w:lang w:val="es-PE"/>
        </w:rPr>
        <w:t xml:space="preserve"> 5) Que, el asegurado cumpliendo con lo que La </w:t>
      </w:r>
      <w:r w:rsidRPr="5F5C875D" w:rsidR="57504DF9">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xml:space="preserve"> solicita y aún más siguen apareciendo más evidencias claras en cuanto al accidente ocurrido, no se entiende que más desea la aseguradora; no es tan difícil evaluar la documentación que se ha presentado y mucho menos corregir un gran error, el del rechazo por parte de </w:t>
      </w:r>
      <w:r w:rsidRPr="5F5C875D" w:rsidR="57504DF9">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xml:space="preserve">. </w:t>
      </w:r>
    </w:p>
    <w:p w:rsidRPr="00AA2A1F" w:rsidR="00AA2A1F" w:rsidP="00AA2A1F" w:rsidRDefault="00AA2A1F" w14:paraId="7CB76B64" w14:textId="2C26CC6F">
      <w:pPr>
        <w:spacing w:line="240" w:lineRule="auto"/>
        <w:jc w:val="both"/>
        <w:rPr>
          <w:rFonts w:ascii="Times New Roman" w:hAnsi="Times New Roman" w:cs="Times New Roman"/>
          <w:sz w:val="24"/>
          <w:szCs w:val="24"/>
          <w:lang w:val="es-PE"/>
        </w:rPr>
      </w:pPr>
      <w:r w:rsidRPr="5F5C875D" w:rsidR="00AA2A1F">
        <w:rPr>
          <w:rFonts w:ascii="Times New Roman" w:hAnsi="Times New Roman" w:cs="Times New Roman"/>
          <w:sz w:val="24"/>
          <w:szCs w:val="24"/>
          <w:lang w:val="es-PE"/>
        </w:rPr>
        <w:t xml:space="preserve">Que, habiéndose corrido traslado a </w:t>
      </w:r>
      <w:r w:rsidRPr="5F5C875D" w:rsidR="57504DF9">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xml:space="preserve"> Seguros del referido Recurso impugnatorio, la aseguradora, expresa lo siguiente: 1) Que, de conformidad a los medios de prueba que ha remitido el reclamante, se puede advertir que existe una denuncia policial o a nivel de Fiscalía (Ministerio Público) vigente y en etapa de investigación (no ha concluido definitivamente), habiendo incluso La </w:t>
      </w:r>
      <w:r w:rsidRPr="5F5C875D" w:rsidR="57504DF9">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xml:space="preserve"> Seguros mediante carta notarial requerido al asegurado información adicional en abril de 2021, sin respuesta adecuada hasta la fecha y sin que esta pueda probar ello (solo informe adicional no requerida). 2) Que, en ese sentido, y al no existir a la fecha un pronunciamiento oficial y definitivo sobre los hechos materia del reclamo y al existir relación con el trámite a nivel Fiscal (presunto delito de daños, etc.), corresponderá a la Defensoría archivar el procedimiento de manera definitiva. 3) Que, sobre el caso en concreto, se reitera a la Defensoría que, ante la nueva información proporcionada por el asegurado, </w:t>
      </w:r>
      <w:r w:rsidRPr="5F5C875D" w:rsidR="57504DF9">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xml:space="preserve"> Seguros, consideró a través de distintas comunicaciones requerir al asegurado informaciones, tales como Informe Policial ampliatorio y pronunciamiento del Ministerio </w:t>
      </w:r>
      <w:r w:rsidRPr="5F5C875D" w:rsidR="00AA2A1F">
        <w:rPr>
          <w:rFonts w:ascii="Times New Roman" w:hAnsi="Times New Roman" w:cs="Times New Roman"/>
          <w:sz w:val="24"/>
          <w:szCs w:val="24"/>
          <w:lang w:val="es-PE"/>
        </w:rPr>
        <w:t xml:space="preserve">Público, para proceder con el pago del siniestro reclamado; sin embargo, el asegurado no ha cumplido con presentar dicha información a la fecha, procediendo a presentar su reclamo directamente a la Defensoría del Asegurado y toda la información con la que cuenta sin cumplir con dicho requerimiento en específico y, sin que exista un pronunciamiento final y definitivo de </w:t>
      </w:r>
      <w:r w:rsidRPr="5F5C875D" w:rsidR="57504DF9">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xml:space="preserve"> Seguros. 4) Que, finalmente se debe señalar que el asegurado presentó información adicional, siendo que la misma será evaluada por parte del área interna de la aseguradora dentro del plazo correspondiente; no obstante, no cuenta a la fecha con legitimidad para obrar dado que no hay un rechazo definitivo a la fecha, máxime que no ha cumplido con remitir la información completa requerida por la aseguradora.</w:t>
      </w:r>
    </w:p>
    <w:p w:rsidRPr="00AA2A1F" w:rsidR="00AA2A1F" w:rsidP="00AA2A1F" w:rsidRDefault="00AA2A1F" w14:paraId="239FE14D" w14:textId="0D8B8A75">
      <w:pPr>
        <w:spacing w:line="240" w:lineRule="auto"/>
        <w:jc w:val="both"/>
        <w:rPr>
          <w:rFonts w:ascii="Times New Roman" w:hAnsi="Times New Roman" w:cs="Times New Roman"/>
          <w:sz w:val="24"/>
          <w:szCs w:val="24"/>
          <w:lang w:val="es-PE"/>
        </w:rPr>
      </w:pPr>
      <w:r w:rsidRPr="5F5C875D" w:rsidR="00AA2A1F">
        <w:rPr>
          <w:rFonts w:ascii="Times New Roman" w:hAnsi="Times New Roman" w:cs="Times New Roman"/>
          <w:sz w:val="24"/>
          <w:szCs w:val="24"/>
          <w:lang w:val="es-PE"/>
        </w:rPr>
        <w:t xml:space="preserve">Que, con fecha 11 de julio de 2021, el asegurado ha remitido un escrito adicional, que en resumen expresa lo siguiente: 1) Que, mediante Recurso Impugnatorio de fecha 05 de junio de 2021, el asegurado se adhiere en parte a la Resolución, en el sentido que conforme lo solicitó </w:t>
      </w:r>
      <w:r w:rsidRPr="5F5C875D" w:rsidR="57504DF9">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xml:space="preserve"> que se adjunte el Informe Policial o Fiscal ampliatorio, ello en razón a que la declaración jurada presentada (de la testigo del accidente) debe formar parte del Informe Policial ampliatorio, a fin de proceder con la atención del siniestro. Que, efectivamente como lo ha manifestado públicamente </w:t>
      </w:r>
      <w:r w:rsidRPr="5F5C875D" w:rsidR="57504DF9">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xml:space="preserve"> y lo ha testado la Defensoría del Asegurado en el Acta del 21 de junio de 2021, no hay un rechazo de cobertura, solo una suspensión hasta que el asegurado cumpla con presentar lo requerido por la compañía. Que, en ese sentido, el asegurado ha solicitado que se deje a salvo su derecho de reclamación ante la misma Defensoría </w:t>
      </w:r>
      <w:r w:rsidRPr="5F5C875D" w:rsidR="00AA2A1F">
        <w:rPr>
          <w:rFonts w:ascii="Times New Roman" w:hAnsi="Times New Roman" w:cs="Times New Roman"/>
          <w:sz w:val="24"/>
          <w:szCs w:val="24"/>
          <w:lang w:val="es-PE"/>
        </w:rPr>
        <w:t>en caso que</w:t>
      </w:r>
      <w:r w:rsidRPr="5F5C875D" w:rsidR="00AA2A1F">
        <w:rPr>
          <w:rFonts w:ascii="Times New Roman" w:hAnsi="Times New Roman" w:cs="Times New Roman"/>
          <w:sz w:val="24"/>
          <w:szCs w:val="24"/>
          <w:lang w:val="es-PE"/>
        </w:rPr>
        <w:t xml:space="preserve"> su pedido sea rechazado, por cuanto como bien indica la carta SNTROS ICA </w:t>
      </w:r>
      <w:r w:rsidRPr="5F5C875D" w:rsidR="00AA2A1F">
        <w:rPr>
          <w:rFonts w:ascii="Times New Roman" w:hAnsi="Times New Roman" w:cs="Times New Roman"/>
          <w:sz w:val="24"/>
          <w:szCs w:val="24"/>
          <w:lang w:val="es-PE"/>
        </w:rPr>
        <w:t>N°</w:t>
      </w:r>
      <w:r w:rsidRPr="5F5C875D" w:rsidR="00AA2A1F">
        <w:rPr>
          <w:rFonts w:ascii="Times New Roman" w:hAnsi="Times New Roman" w:cs="Times New Roman"/>
          <w:sz w:val="24"/>
          <w:szCs w:val="24"/>
          <w:lang w:val="es-PE"/>
        </w:rPr>
        <w:t xml:space="preserve"> </w:t>
      </w:r>
      <w:r w:rsidRPr="5F5C875D" w:rsidR="323899CE">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xml:space="preserve"> </w:t>
      </w:r>
      <w:r w:rsidRPr="5F5C875D" w:rsidR="57504DF9">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xml:space="preserve"> Seguros pidió al asegurado que recurra a la Fiscalía a fin de completar el Informe Policial ampliatorio e insertar la declaración de la testigo del accidente. Que, en ese sentido, el asegurado reitera que su impugnación está relacionada a que se deje a salvo su derecho a recurrir a la Defensoría en caso al cumplir con presentar el documento policial o fiscal se vea rechazado por </w:t>
      </w:r>
      <w:r w:rsidRPr="5F5C875D" w:rsidR="57504DF9">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xml:space="preserve"> Seguros. En ese caso el asegurado reitera su posición que en la resolución se incorpore que debe quedar a salvo su derecho para reclamar sobre el fondo del asunto un eventual rechazo de la cobertura.</w:t>
      </w:r>
    </w:p>
    <w:p w:rsidRPr="00AA2A1F" w:rsidR="00AA2A1F" w:rsidP="00AA2A1F" w:rsidRDefault="00AA2A1F" w14:paraId="4793181F" w14:textId="77777777">
      <w:pPr>
        <w:spacing w:line="240" w:lineRule="auto"/>
        <w:jc w:val="both"/>
        <w:rPr>
          <w:rFonts w:ascii="Times New Roman" w:hAnsi="Times New Roman" w:cs="Times New Roman"/>
          <w:sz w:val="24"/>
          <w:szCs w:val="24"/>
          <w:lang w:val="es-PE"/>
        </w:rPr>
      </w:pPr>
      <w:r w:rsidRPr="00AA2A1F">
        <w:rPr>
          <w:rFonts w:ascii="Times New Roman" w:hAnsi="Times New Roman" w:cs="Times New Roman"/>
          <w:sz w:val="24"/>
          <w:szCs w:val="24"/>
          <w:lang w:val="es-PE"/>
        </w:rPr>
        <w:t>Que, atendiendo a lo expuesto, esta Defensoría resuelve finalmente lo siguiente:</w:t>
      </w:r>
    </w:p>
    <w:p w:rsidRPr="00AA2A1F" w:rsidR="00AA2A1F" w:rsidP="00AA2A1F" w:rsidRDefault="00AA2A1F" w14:paraId="71112C3C" w14:textId="7E5361F4">
      <w:pPr>
        <w:spacing w:line="240" w:lineRule="auto"/>
        <w:jc w:val="both"/>
        <w:rPr>
          <w:rFonts w:ascii="Times New Roman" w:hAnsi="Times New Roman" w:cs="Times New Roman"/>
          <w:sz w:val="24"/>
          <w:szCs w:val="24"/>
          <w:lang w:val="es-PE"/>
        </w:rPr>
      </w:pPr>
      <w:r w:rsidRPr="5F5C875D" w:rsidR="00AA2A1F">
        <w:rPr>
          <w:rFonts w:ascii="Times New Roman" w:hAnsi="Times New Roman" w:cs="Times New Roman"/>
          <w:b w:val="1"/>
          <w:bCs w:val="1"/>
          <w:sz w:val="24"/>
          <w:szCs w:val="24"/>
          <w:lang w:val="es-PE"/>
        </w:rPr>
        <w:t>PRIMERO:</w:t>
      </w:r>
      <w:r w:rsidRPr="5F5C875D" w:rsidR="00AA2A1F">
        <w:rPr>
          <w:rFonts w:ascii="Times New Roman" w:hAnsi="Times New Roman" w:cs="Times New Roman"/>
          <w:sz w:val="24"/>
          <w:szCs w:val="24"/>
          <w:lang w:val="es-PE"/>
        </w:rPr>
        <w:t xml:space="preserve"> Que el artículo 10 (Procedimiento) del Reglamento de la DEFASEG (</w:t>
      </w:r>
      <w:hyperlink r:id="R05a1dfd5e3c3437c">
        <w:r w:rsidRPr="5F5C875D" w:rsidR="00AA2A1F">
          <w:rPr>
            <w:rStyle w:val="Hipervnculo"/>
            <w:rFonts w:ascii="Times New Roman" w:hAnsi="Times New Roman" w:cs="Times New Roman"/>
            <w:sz w:val="24"/>
            <w:szCs w:val="24"/>
            <w:lang w:val="es-PE"/>
          </w:rPr>
          <w:t>http://www.defaseg.com.pe/reglamento</w:t>
        </w:r>
      </w:hyperlink>
      <w:r w:rsidRPr="5F5C875D" w:rsidR="00AA2A1F">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5F5C875D" w:rsidR="37827D8B">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AA2A1F" w:rsidR="00AA2A1F" w:rsidP="00AA2A1F" w:rsidRDefault="00AA2A1F" w14:paraId="3ADAE4DF" w14:textId="77777777">
      <w:pPr>
        <w:spacing w:line="240" w:lineRule="auto"/>
        <w:jc w:val="both"/>
        <w:rPr>
          <w:rFonts w:ascii="Times New Roman" w:hAnsi="Times New Roman" w:cs="Times New Roman"/>
          <w:sz w:val="24"/>
          <w:szCs w:val="24"/>
          <w:lang w:val="es-PE"/>
        </w:rPr>
      </w:pPr>
      <w:r w:rsidRPr="00AA2A1F">
        <w:rPr>
          <w:rFonts w:ascii="Times New Roman" w:hAnsi="Times New Roman" w:cs="Times New Roman"/>
          <w:b/>
          <w:sz w:val="24"/>
          <w:szCs w:val="24"/>
          <w:lang w:val="es-PE"/>
        </w:rPr>
        <w:t>SEGUNDO:</w:t>
      </w:r>
      <w:r w:rsidRPr="00AA2A1F">
        <w:rPr>
          <w:rFonts w:ascii="Times New Roman" w:hAnsi="Times New Roman" w:cs="Times New Roman"/>
          <w:sz w:val="24"/>
          <w:szCs w:val="24"/>
          <w:lang w:val="es-PE"/>
        </w:rPr>
        <w:t xml:space="preserve"> Que, de la lectura del Recurso Impugnativo interpuesto se aprecia que el asegurado lo que solicita es que la Defensoría del Asegurado mantenga en suspenso su resolución sobre el caso, hasta que el asegurado presente las conclusiones a las que llegue el Ministerio Público. Que, dado que hasta la fecha el caso continúa en investigación en el Ministerio Público, corresponde que la Defensoría del Asegurado, en cumplimiento de su Reglamento, aplicar el artículo 11 del mencionado Reglamento, que expresa literalmente lo siguiente:</w:t>
      </w:r>
    </w:p>
    <w:p w:rsidRPr="00AA2A1F" w:rsidR="00AA2A1F" w:rsidP="00AA2A1F" w:rsidRDefault="00AA2A1F" w14:paraId="7A8B0837" w14:textId="77777777">
      <w:pPr>
        <w:spacing w:line="240" w:lineRule="auto"/>
        <w:jc w:val="both"/>
        <w:rPr>
          <w:rFonts w:ascii="Times New Roman" w:hAnsi="Times New Roman" w:cs="Times New Roman"/>
          <w:b/>
          <w:bCs/>
          <w:sz w:val="24"/>
          <w:szCs w:val="24"/>
          <w:lang w:val="es-PE"/>
        </w:rPr>
      </w:pPr>
      <w:r w:rsidRPr="00AA2A1F">
        <w:rPr>
          <w:rFonts w:ascii="Times New Roman" w:hAnsi="Times New Roman" w:cs="Times New Roman"/>
          <w:b/>
          <w:bCs/>
          <w:sz w:val="24"/>
          <w:szCs w:val="24"/>
          <w:lang w:val="es-PE"/>
        </w:rPr>
        <w:t>“11. Sometimiento voluntario</w:t>
      </w:r>
    </w:p>
    <w:p w:rsidRPr="00AA2A1F" w:rsidR="00AA2A1F" w:rsidP="00AA2A1F" w:rsidRDefault="00AA2A1F" w14:paraId="42C71194" w14:textId="77777777">
      <w:pPr>
        <w:spacing w:line="240" w:lineRule="auto"/>
        <w:jc w:val="both"/>
        <w:rPr>
          <w:rFonts w:ascii="Times New Roman" w:hAnsi="Times New Roman" w:cs="Times New Roman"/>
          <w:i/>
          <w:iCs/>
          <w:sz w:val="24"/>
          <w:szCs w:val="24"/>
          <w:lang w:val="es-PE"/>
        </w:rPr>
      </w:pPr>
      <w:r w:rsidRPr="00AA2A1F">
        <w:rPr>
          <w:rFonts w:ascii="Times New Roman" w:hAnsi="Times New Roman" w:cs="Times New Roman"/>
          <w:i/>
          <w:iCs/>
          <w:sz w:val="24"/>
          <w:szCs w:val="24"/>
          <w:lang w:val="es-PE"/>
        </w:rPr>
        <w:lastRenderedPageBreak/>
        <w:t>El usuario de seguros recurre en forma voluntaria a la Defensoría. La presentación de un reclamo en esta vía no limita su derecho a  recurrir posteriormente ante el órgano administrativo o jurisdiccional que considere pertinente; sin embargo, si la materia controvertida está siendo conocida por una instancia administrativa, judicial, conciliatoria, arbitral o del Ministerio Publico, antes de que la Defensoría emita su decisión, ésta se abstendrá de decidir y archivará definitivamente el caso, salvo que el reclamante acredite haberse desistido de su reclamo ante dichas instancias”.</w:t>
      </w:r>
    </w:p>
    <w:p w:rsidRPr="00AA2A1F" w:rsidR="00AA2A1F" w:rsidP="00AA2A1F" w:rsidRDefault="00AA2A1F" w14:paraId="69FA2E4F" w14:textId="77777777">
      <w:pPr>
        <w:spacing w:line="240" w:lineRule="auto"/>
        <w:jc w:val="both"/>
        <w:rPr>
          <w:rFonts w:ascii="Times New Roman" w:hAnsi="Times New Roman" w:cs="Times New Roman"/>
          <w:sz w:val="24"/>
          <w:szCs w:val="24"/>
          <w:lang w:val="es-PE"/>
        </w:rPr>
      </w:pPr>
      <w:r w:rsidRPr="00AA2A1F">
        <w:rPr>
          <w:rFonts w:ascii="Times New Roman" w:hAnsi="Times New Roman" w:cs="Times New Roman"/>
          <w:sz w:val="24"/>
          <w:szCs w:val="24"/>
          <w:lang w:val="es-PE"/>
        </w:rPr>
        <w:t>Por consiguiente, este colegiado reitera su análisis contenido en la resolución recurrida.</w:t>
      </w:r>
    </w:p>
    <w:p w:rsidRPr="00AA2A1F" w:rsidR="00AA2A1F" w:rsidP="00AA2A1F" w:rsidRDefault="00AA2A1F" w14:paraId="3DCF7AD8" w14:textId="77777777">
      <w:pPr>
        <w:spacing w:line="240" w:lineRule="auto"/>
        <w:jc w:val="both"/>
        <w:rPr>
          <w:rFonts w:ascii="Times New Roman" w:hAnsi="Times New Roman" w:cs="Times New Roman"/>
          <w:sz w:val="24"/>
          <w:szCs w:val="24"/>
          <w:lang w:val="es-PE"/>
        </w:rPr>
      </w:pPr>
      <w:r w:rsidRPr="00AA2A1F">
        <w:rPr>
          <w:rFonts w:ascii="Times New Roman" w:hAnsi="Times New Roman" w:cs="Times New Roman"/>
          <w:sz w:val="24"/>
          <w:szCs w:val="24"/>
          <w:lang w:val="es-PE"/>
        </w:rPr>
        <w:t>En atención a las consideraciones precedentes, este colegiado no aprecia mérito ni razón objetiva para revocar la resolución recurrida y, por lo tanto</w:t>
      </w:r>
    </w:p>
    <w:p w:rsidRPr="00AA2A1F" w:rsidR="00AA2A1F" w:rsidP="00AA2A1F" w:rsidRDefault="00AA2A1F" w14:paraId="5BA88AC2" w14:textId="77777777">
      <w:pPr>
        <w:spacing w:line="240" w:lineRule="auto"/>
        <w:jc w:val="both"/>
        <w:rPr>
          <w:rFonts w:ascii="Times New Roman" w:hAnsi="Times New Roman" w:cs="Times New Roman"/>
          <w:b/>
          <w:sz w:val="24"/>
          <w:szCs w:val="24"/>
          <w:lang w:val="es-PE"/>
        </w:rPr>
      </w:pPr>
      <w:r w:rsidRPr="00AA2A1F">
        <w:rPr>
          <w:rFonts w:ascii="Times New Roman" w:hAnsi="Times New Roman" w:cs="Times New Roman"/>
          <w:b/>
          <w:sz w:val="24"/>
          <w:szCs w:val="24"/>
          <w:lang w:val="es-PE"/>
        </w:rPr>
        <w:t xml:space="preserve">RESUELVE: </w:t>
      </w:r>
    </w:p>
    <w:p w:rsidRPr="00AA2A1F" w:rsidR="00AA2A1F" w:rsidP="00AA2A1F" w:rsidRDefault="00AA2A1F" w14:paraId="6BE00998" w14:textId="405FAD24">
      <w:pPr>
        <w:spacing w:line="240" w:lineRule="auto"/>
        <w:jc w:val="both"/>
        <w:rPr>
          <w:rFonts w:ascii="Times New Roman" w:hAnsi="Times New Roman" w:cs="Times New Roman"/>
          <w:sz w:val="24"/>
          <w:szCs w:val="24"/>
          <w:lang w:val="es-PE"/>
        </w:rPr>
      </w:pPr>
      <w:r w:rsidRPr="5F5C875D" w:rsidR="00AA2A1F">
        <w:rPr>
          <w:rFonts w:ascii="Times New Roman" w:hAnsi="Times New Roman" w:cs="Times New Roman"/>
          <w:sz w:val="24"/>
          <w:szCs w:val="24"/>
          <w:lang w:val="es-PE"/>
        </w:rPr>
        <w:t xml:space="preserve">Declarar </w:t>
      </w:r>
      <w:r w:rsidRPr="5F5C875D" w:rsidR="00AA2A1F">
        <w:rPr>
          <w:rFonts w:ascii="Times New Roman" w:hAnsi="Times New Roman" w:cs="Times New Roman"/>
          <w:b w:val="1"/>
          <w:bCs w:val="1"/>
          <w:sz w:val="24"/>
          <w:szCs w:val="24"/>
          <w:lang w:val="es-PE"/>
        </w:rPr>
        <w:t>IMPROCEDENT</w:t>
      </w:r>
      <w:r w:rsidRPr="5F5C875D" w:rsidR="00AA2A1F">
        <w:rPr>
          <w:rFonts w:ascii="Times New Roman" w:hAnsi="Times New Roman" w:cs="Times New Roman"/>
          <w:sz w:val="24"/>
          <w:szCs w:val="24"/>
          <w:lang w:val="es-PE"/>
        </w:rPr>
        <w:t>E</w:t>
      </w:r>
      <w:r w:rsidRPr="5F5C875D" w:rsidR="00AA2A1F">
        <w:rPr>
          <w:rFonts w:ascii="Times New Roman" w:hAnsi="Times New Roman" w:cs="Times New Roman"/>
          <w:sz w:val="24"/>
          <w:szCs w:val="24"/>
          <w:lang w:val="es-PE"/>
        </w:rPr>
        <w:t xml:space="preserve"> el Recurso Impugnativo interpuesto y, por consiguiente, RATIFICAR la Resolución </w:t>
      </w:r>
      <w:r w:rsidRPr="5F5C875D" w:rsidR="00AA2A1F">
        <w:rPr>
          <w:rFonts w:ascii="Times New Roman" w:hAnsi="Times New Roman" w:cs="Times New Roman"/>
          <w:sz w:val="24"/>
          <w:szCs w:val="24"/>
          <w:lang w:val="es-PE"/>
        </w:rPr>
        <w:t>N°</w:t>
      </w:r>
      <w:r w:rsidRPr="5F5C875D" w:rsidR="00AA2A1F">
        <w:rPr>
          <w:rFonts w:ascii="Times New Roman" w:hAnsi="Times New Roman" w:cs="Times New Roman"/>
          <w:sz w:val="24"/>
          <w:szCs w:val="24"/>
          <w:lang w:val="es-PE"/>
        </w:rPr>
        <w:t xml:space="preserve"> 084/21 que declaró </w:t>
      </w:r>
      <w:r w:rsidRPr="5F5C875D" w:rsidR="00AA2A1F">
        <w:rPr>
          <w:rFonts w:ascii="Times New Roman" w:hAnsi="Times New Roman" w:cs="Times New Roman"/>
          <w:b w:val="1"/>
          <w:bCs w:val="1"/>
          <w:sz w:val="24"/>
          <w:szCs w:val="24"/>
          <w:lang w:val="es-PE"/>
        </w:rPr>
        <w:t>IMPROCEDENTE</w:t>
      </w:r>
      <w:r w:rsidRPr="5F5C875D" w:rsidR="00AA2A1F">
        <w:rPr>
          <w:rFonts w:ascii="Times New Roman" w:hAnsi="Times New Roman" w:cs="Times New Roman"/>
          <w:sz w:val="24"/>
          <w:szCs w:val="24"/>
          <w:lang w:val="es-PE"/>
        </w:rPr>
        <w:t xml:space="preserve"> la reclamación interpuesta por </w:t>
      </w:r>
      <w:r w:rsidRPr="5F5C875D" w:rsidR="37827D8B">
        <w:rPr>
          <w:rFonts w:ascii="Times New Roman" w:hAnsi="Times New Roman" w:cs="Times New Roman"/>
          <w:sz w:val="24"/>
          <w:szCs w:val="24"/>
          <w:lang w:val="es-PE"/>
        </w:rPr>
        <w:t>................................................</w:t>
      </w:r>
      <w:r w:rsidRPr="5F5C875D" w:rsidR="00AA2A1F">
        <w:rPr>
          <w:rFonts w:ascii="Times New Roman" w:hAnsi="Times New Roman" w:cs="Times New Roman"/>
          <w:sz w:val="24"/>
          <w:szCs w:val="24"/>
          <w:lang w:val="es-PE"/>
        </w:rPr>
        <w:t>.</w:t>
      </w:r>
    </w:p>
    <w:p w:rsidRPr="00AA2A1F"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AA2A1F" w:rsidR="00C671F5" w:rsidP="005E398E" w:rsidRDefault="0091528B" w14:paraId="486C3F46" w14:textId="6C3EB2AD">
      <w:pPr>
        <w:suppressAutoHyphens/>
        <w:spacing w:after="0" w:line="240" w:lineRule="auto"/>
        <w:jc w:val="right"/>
        <w:outlineLvl w:val="0"/>
        <w:rPr>
          <w:rFonts w:ascii="Times New Roman" w:hAnsi="Times New Roman" w:eastAsia="Arial Unicode MS" w:cs="Times New Roman"/>
          <w:sz w:val="24"/>
          <w:szCs w:val="24"/>
          <w:lang w:val="es-PE" w:eastAsia="ar-SA"/>
        </w:rPr>
      </w:pPr>
      <w:r w:rsidRPr="00AA2A1F">
        <w:rPr>
          <w:rFonts w:ascii="Times New Roman" w:hAnsi="Times New Roman" w:eastAsia="Arial Unicode MS" w:cs="Times New Roman"/>
          <w:sz w:val="24"/>
          <w:szCs w:val="24"/>
          <w:lang w:val="es-PE" w:eastAsia="ar-SA"/>
        </w:rPr>
        <w:t xml:space="preserve">Lima, </w:t>
      </w:r>
      <w:r w:rsidRPr="00AA2A1F" w:rsidR="005B1AC5">
        <w:rPr>
          <w:rFonts w:ascii="Times New Roman" w:hAnsi="Times New Roman" w:eastAsia="Arial Unicode MS" w:cs="Times New Roman"/>
          <w:sz w:val="24"/>
          <w:szCs w:val="24"/>
          <w:lang w:val="es-PE" w:eastAsia="ar-SA"/>
        </w:rPr>
        <w:t>16</w:t>
      </w:r>
      <w:r w:rsidRPr="00AA2A1F" w:rsidR="00CF69DD">
        <w:rPr>
          <w:rFonts w:ascii="Times New Roman" w:hAnsi="Times New Roman" w:eastAsia="Arial Unicode MS" w:cs="Times New Roman"/>
          <w:sz w:val="24"/>
          <w:szCs w:val="24"/>
          <w:lang w:val="es-PE" w:eastAsia="ar-SA"/>
        </w:rPr>
        <w:t xml:space="preserve"> </w:t>
      </w:r>
      <w:r w:rsidRPr="00AA2A1F" w:rsidR="00707C99">
        <w:rPr>
          <w:rFonts w:ascii="Times New Roman" w:hAnsi="Times New Roman" w:eastAsia="Arial Unicode MS" w:cs="Times New Roman"/>
          <w:sz w:val="24"/>
          <w:szCs w:val="24"/>
          <w:lang w:val="es-PE" w:eastAsia="ar-SA"/>
        </w:rPr>
        <w:t>de</w:t>
      </w:r>
      <w:r w:rsidRPr="00AA2A1F" w:rsidR="00864B0B">
        <w:rPr>
          <w:rFonts w:ascii="Times New Roman" w:hAnsi="Times New Roman" w:eastAsia="Arial Unicode MS" w:cs="Times New Roman"/>
          <w:sz w:val="24"/>
          <w:szCs w:val="24"/>
          <w:lang w:val="es-PE" w:eastAsia="ar-SA"/>
        </w:rPr>
        <w:t xml:space="preserve"> </w:t>
      </w:r>
      <w:r w:rsidRPr="00AA2A1F" w:rsidR="005B1AC5">
        <w:rPr>
          <w:rFonts w:ascii="Times New Roman" w:hAnsi="Times New Roman" w:eastAsia="Arial Unicode MS" w:cs="Times New Roman"/>
          <w:sz w:val="24"/>
          <w:szCs w:val="24"/>
          <w:lang w:val="es-PE" w:eastAsia="ar-SA"/>
        </w:rPr>
        <w:t>agosto</w:t>
      </w:r>
      <w:r w:rsidRPr="00AA2A1F" w:rsidR="00F06498">
        <w:rPr>
          <w:rFonts w:ascii="Times New Roman" w:hAnsi="Times New Roman" w:eastAsia="Arial Unicode MS" w:cs="Times New Roman"/>
          <w:sz w:val="24"/>
          <w:szCs w:val="24"/>
          <w:lang w:val="es-PE" w:eastAsia="ar-SA"/>
        </w:rPr>
        <w:t xml:space="preserve"> de 202</w:t>
      </w:r>
      <w:r w:rsidRPr="00AA2A1F" w:rsidR="00231C58">
        <w:rPr>
          <w:rFonts w:ascii="Times New Roman" w:hAnsi="Times New Roman" w:eastAsia="Arial Unicode MS" w:cs="Times New Roman"/>
          <w:sz w:val="24"/>
          <w:szCs w:val="24"/>
          <w:lang w:val="es-PE" w:eastAsia="ar-SA"/>
        </w:rPr>
        <w:t>1</w:t>
      </w:r>
      <w:r w:rsidRPr="00AA2A1F" w:rsidR="00707C99">
        <w:rPr>
          <w:rFonts w:ascii="Times New Roman" w:hAnsi="Times New Roman" w:eastAsia="Times New Roman" w:cs="Times New Roman"/>
          <w:sz w:val="24"/>
          <w:szCs w:val="24"/>
          <w:lang w:val="es-PE" w:eastAsia="ar-SA"/>
        </w:rPr>
        <w:t xml:space="preserve"> </w:t>
      </w:r>
    </w:p>
    <w:p w:rsidRPr="00AA2A1F"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A2A1F"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AA2A1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A2A1F" w:rsidR="00C671F5" w:rsidP="004A374A" w:rsidRDefault="00C671F5" w14:paraId="3408E6CE" w14:textId="77777777">
      <w:pPr>
        <w:spacing w:after="0" w:line="240" w:lineRule="auto"/>
        <w:jc w:val="both"/>
        <w:rPr>
          <w:rFonts w:ascii="Times New Roman" w:hAnsi="Times New Roman" w:cs="Times New Roman"/>
          <w:b/>
          <w:bCs/>
          <w:i/>
          <w:iCs/>
          <w:sz w:val="24"/>
          <w:szCs w:val="24"/>
          <w:lang w:val="es-PE"/>
        </w:rPr>
      </w:pPr>
    </w:p>
    <w:p w:rsidRPr="00AA2A1F" w:rsidR="00C671F5" w:rsidP="004A374A" w:rsidRDefault="0032345B" w14:paraId="548B3E5B" w14:textId="2BD7B1B7">
      <w:pPr>
        <w:spacing w:after="0" w:line="360" w:lineRule="auto"/>
        <w:jc w:val="center"/>
        <w:rPr>
          <w:rFonts w:ascii="Times New Roman" w:hAnsi="Times New Roman" w:cs="Times New Roman"/>
          <w:b/>
          <w:bCs/>
          <w:sz w:val="24"/>
          <w:szCs w:val="24"/>
          <w:lang w:val="es-PE"/>
        </w:rPr>
      </w:pPr>
      <w:r w:rsidRPr="00AA2A1F">
        <w:rPr>
          <w:rFonts w:ascii="Times New Roman" w:hAnsi="Times New Roman" w:cs="Times New Roman"/>
          <w:b/>
          <w:bCs/>
          <w:sz w:val="24"/>
          <w:szCs w:val="24"/>
          <w:lang w:val="es-PE"/>
        </w:rPr>
        <w:t xml:space="preserve">Marco Antonio Ortega Piana </w:t>
      </w:r>
      <w:r w:rsidRPr="00AA2A1F" w:rsidR="00C671F5">
        <w:rPr>
          <w:rFonts w:ascii="Times New Roman" w:hAnsi="Times New Roman" w:cs="Times New Roman"/>
          <w:b/>
          <w:bCs/>
          <w:sz w:val="24"/>
          <w:szCs w:val="24"/>
          <w:lang w:val="es-PE"/>
        </w:rPr>
        <w:t xml:space="preserve">– </w:t>
      </w:r>
      <w:proofErr w:type="gramStart"/>
      <w:r w:rsidRPr="00AA2A1F" w:rsidR="00C671F5">
        <w:rPr>
          <w:rFonts w:ascii="Times New Roman" w:hAnsi="Times New Roman" w:cs="Times New Roman"/>
          <w:b/>
          <w:bCs/>
          <w:sz w:val="24"/>
          <w:szCs w:val="24"/>
          <w:lang w:val="es-PE"/>
        </w:rPr>
        <w:t>Presidente</w:t>
      </w:r>
      <w:proofErr w:type="gramEnd"/>
    </w:p>
    <w:p w:rsidRPr="00AA2A1F" w:rsidR="0032345B" w:rsidP="004A374A" w:rsidRDefault="0032345B" w14:paraId="033E3E13" w14:textId="7196E86D">
      <w:pPr>
        <w:spacing w:after="0" w:line="360" w:lineRule="auto"/>
        <w:jc w:val="center"/>
        <w:rPr>
          <w:rFonts w:ascii="Times New Roman" w:hAnsi="Times New Roman" w:cs="Times New Roman"/>
          <w:b/>
          <w:bCs/>
          <w:sz w:val="24"/>
          <w:szCs w:val="24"/>
          <w:lang w:val="es-PE"/>
        </w:rPr>
      </w:pPr>
      <w:r w:rsidRPr="00AA2A1F">
        <w:rPr>
          <w:rFonts w:ascii="Times New Roman" w:hAnsi="Times New Roman" w:cs="Times New Roman"/>
          <w:b/>
          <w:bCs/>
          <w:sz w:val="24"/>
          <w:szCs w:val="24"/>
          <w:lang w:val="es-PE"/>
        </w:rPr>
        <w:t>María Eugenia Valdez Fernández Baca– Vocal</w:t>
      </w:r>
    </w:p>
    <w:p w:rsidRPr="00AA2A1F" w:rsidR="00292018" w:rsidP="004A374A" w:rsidRDefault="00292018" w14:paraId="3006BA35" w14:textId="7871895F">
      <w:pPr>
        <w:spacing w:after="0" w:line="360" w:lineRule="auto"/>
        <w:jc w:val="center"/>
        <w:rPr>
          <w:rFonts w:ascii="Times New Roman" w:hAnsi="Times New Roman" w:cs="Times New Roman"/>
          <w:b/>
          <w:bCs/>
          <w:sz w:val="24"/>
          <w:szCs w:val="24"/>
          <w:lang w:val="es-PE"/>
        </w:rPr>
      </w:pPr>
      <w:r w:rsidRPr="00AA2A1F">
        <w:rPr>
          <w:rFonts w:ascii="Times New Roman" w:hAnsi="Times New Roman" w:cs="Times New Roman"/>
          <w:b/>
          <w:bCs/>
          <w:sz w:val="24"/>
          <w:szCs w:val="24"/>
          <w:lang w:val="es-PE"/>
        </w:rPr>
        <w:t xml:space="preserve">Rolando Eyzaguirre </w:t>
      </w:r>
      <w:proofErr w:type="spellStart"/>
      <w:r w:rsidRPr="00AA2A1F">
        <w:rPr>
          <w:rFonts w:ascii="Times New Roman" w:hAnsi="Times New Roman" w:cs="Times New Roman"/>
          <w:b/>
          <w:bCs/>
          <w:sz w:val="24"/>
          <w:szCs w:val="24"/>
          <w:lang w:val="es-PE"/>
        </w:rPr>
        <w:t>Maccan</w:t>
      </w:r>
      <w:proofErr w:type="spellEnd"/>
      <w:r w:rsidRPr="00AA2A1F">
        <w:rPr>
          <w:rFonts w:ascii="Times New Roman" w:hAnsi="Times New Roman" w:cs="Times New Roman"/>
          <w:b/>
          <w:bCs/>
          <w:sz w:val="24"/>
          <w:szCs w:val="24"/>
          <w:lang w:val="es-PE"/>
        </w:rPr>
        <w:t xml:space="preserve"> – Vocal</w:t>
      </w:r>
    </w:p>
    <w:p w:rsidRPr="00AA2A1F"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AA2A1F">
        <w:rPr>
          <w:rFonts w:ascii="Times New Roman" w:hAnsi="Times New Roman" w:cs="Times New Roman"/>
          <w:b/>
          <w:bCs/>
          <w:sz w:val="24"/>
          <w:szCs w:val="24"/>
          <w:lang w:val="es-PE"/>
        </w:rPr>
        <w:t xml:space="preserve">Gonzalo Abad del Busto </w:t>
      </w:r>
      <w:r w:rsidRPr="00AA2A1F" w:rsidR="00231C58">
        <w:rPr>
          <w:rFonts w:ascii="Times New Roman" w:hAnsi="Times New Roman" w:cs="Times New Roman"/>
          <w:b/>
          <w:bCs/>
          <w:sz w:val="24"/>
          <w:szCs w:val="24"/>
          <w:lang w:val="es-PE"/>
        </w:rPr>
        <w:t xml:space="preserve">– </w:t>
      </w:r>
      <w:r w:rsidRPr="00AA2A1F">
        <w:rPr>
          <w:rFonts w:ascii="Times New Roman" w:hAnsi="Times New Roman" w:cs="Times New Roman"/>
          <w:b/>
          <w:bCs/>
          <w:sz w:val="24"/>
          <w:szCs w:val="24"/>
          <w:lang w:val="es-PE"/>
        </w:rPr>
        <w:t>Vocal</w:t>
      </w:r>
    </w:p>
    <w:p w:rsidRPr="005B1AC5"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32345B"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32345B"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03DCE" w:rsidP="00784355" w:rsidRDefault="00E03DCE" w14:paraId="3EABCBF0" w14:textId="77777777">
      <w:pPr>
        <w:spacing w:after="0" w:line="240" w:lineRule="auto"/>
      </w:pPr>
      <w:r>
        <w:separator/>
      </w:r>
    </w:p>
  </w:endnote>
  <w:endnote w:type="continuationSeparator" w:id="0">
    <w:p w:rsidR="00E03DCE" w:rsidP="00784355" w:rsidRDefault="00E03DCE" w14:paraId="36D104E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03DCE" w:rsidP="00784355" w:rsidRDefault="00E03DCE" w14:paraId="481BA064" w14:textId="77777777">
      <w:pPr>
        <w:spacing w:after="0" w:line="240" w:lineRule="auto"/>
      </w:pPr>
      <w:r>
        <w:separator/>
      </w:r>
    </w:p>
  </w:footnote>
  <w:footnote w:type="continuationSeparator" w:id="0">
    <w:p w:rsidR="00E03DCE" w:rsidP="00784355" w:rsidRDefault="00E03DCE" w14:paraId="7A2BF12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7922"/>
    <w:rsid w:val="0004480C"/>
    <w:rsid w:val="0004492D"/>
    <w:rsid w:val="00053D16"/>
    <w:rsid w:val="00056D9F"/>
    <w:rsid w:val="00062040"/>
    <w:rsid w:val="00063183"/>
    <w:rsid w:val="0006548C"/>
    <w:rsid w:val="00070DB6"/>
    <w:rsid w:val="00071A25"/>
    <w:rsid w:val="00072C60"/>
    <w:rsid w:val="000752E4"/>
    <w:rsid w:val="0007539A"/>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4B0E"/>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323899CE"/>
    <w:rsid w:val="3627EDE8"/>
    <w:rsid w:val="37827D8B"/>
    <w:rsid w:val="57504DF9"/>
    <w:rsid w:val="5F5C8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05a1dfd5e3c3437c" Type="http://schemas.openxmlformats.org/officeDocument/2006/relationships/hyperlink" Target="http://www.defaseg.com.pe/reglament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97AE449-C07E-4A4D-BA26-13B8E3B9F0D8}"/>
</file>

<file path=customXml/itemProps3.xml><?xml version="1.0" encoding="utf-8"?>
<ds:datastoreItem xmlns:ds="http://schemas.openxmlformats.org/officeDocument/2006/customXml" ds:itemID="{68AF1FB6-B1C3-4DC9-9F52-04DBE3E1240F}"/>
</file>

<file path=customXml/itemProps4.xml><?xml version="1.0" encoding="utf-8"?>
<ds:datastoreItem xmlns:ds="http://schemas.openxmlformats.org/officeDocument/2006/customXml" ds:itemID="{956B2F5C-6E56-40E3-97FF-6323F1A9BD2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71</cp:revision>
  <cp:lastPrinted>2021-08-17T14:46:00Z</cp:lastPrinted>
  <dcterms:created xsi:type="dcterms:W3CDTF">2020-12-18T20:17:00Z</dcterms:created>
  <dcterms:modified xsi:type="dcterms:W3CDTF">2026-02-04T19:08:24Z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