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F3DD4" w:rsidR="00EF0B7F" w:rsidP="00EF0B7F" w:rsidRDefault="00201C0D" w14:paraId="632C635A" w14:textId="42CD654E">
      <w:pPr>
        <w:pStyle w:val="Ttulo2"/>
        <w:jc w:val="center"/>
        <w:rPr>
          <w:rFonts w:ascii="Times New Roman" w:hAnsi="Times New Roman" w:cs="Times New Roman"/>
          <w:b/>
          <w:bCs/>
          <w:color w:val="auto"/>
          <w:sz w:val="24"/>
          <w:szCs w:val="24"/>
          <w:lang w:val="es-PE" w:eastAsia="ar-SA"/>
        </w:rPr>
      </w:pPr>
      <w:r w:rsidRPr="009F3DD4">
        <w:rPr>
          <w:rFonts w:ascii="Times New Roman" w:hAnsi="Times New Roman" w:cs="Times New Roman"/>
          <w:b/>
          <w:bCs/>
          <w:color w:val="auto"/>
          <w:sz w:val="24"/>
          <w:szCs w:val="24"/>
          <w:lang w:val="es-PE" w:eastAsia="ar-SA"/>
        </w:rPr>
        <w:t xml:space="preserve">RESOLUCIÓN DE RECURSO IMPUGNATIVO </w:t>
      </w:r>
      <w:proofErr w:type="spellStart"/>
      <w:r w:rsidRPr="009F3DD4" w:rsidR="00707C99">
        <w:rPr>
          <w:rFonts w:ascii="Times New Roman" w:hAnsi="Times New Roman" w:cs="Times New Roman"/>
          <w:b/>
          <w:bCs/>
          <w:color w:val="auto"/>
          <w:sz w:val="24"/>
          <w:szCs w:val="24"/>
          <w:lang w:val="es-PE" w:eastAsia="ar-SA"/>
        </w:rPr>
        <w:t>N°</w:t>
      </w:r>
      <w:proofErr w:type="spellEnd"/>
      <w:r w:rsidRPr="009F3DD4" w:rsidR="00707C99">
        <w:rPr>
          <w:rFonts w:ascii="Times New Roman" w:hAnsi="Times New Roman" w:cs="Times New Roman"/>
          <w:b/>
          <w:bCs/>
          <w:color w:val="auto"/>
          <w:sz w:val="24"/>
          <w:szCs w:val="24"/>
          <w:lang w:val="es-PE" w:eastAsia="ar-SA"/>
        </w:rPr>
        <w:t xml:space="preserve"> </w:t>
      </w:r>
      <w:r w:rsidRPr="009F3DD4" w:rsidR="00C671F5">
        <w:rPr>
          <w:rFonts w:ascii="Times New Roman" w:hAnsi="Times New Roman" w:cs="Times New Roman"/>
          <w:b/>
          <w:bCs/>
          <w:color w:val="auto"/>
          <w:sz w:val="24"/>
          <w:szCs w:val="24"/>
          <w:lang w:val="es-PE" w:eastAsia="ar-SA"/>
        </w:rPr>
        <w:t>0</w:t>
      </w:r>
      <w:r w:rsidRPr="009F3DD4" w:rsidR="00EF0B7F">
        <w:rPr>
          <w:rFonts w:ascii="Times New Roman" w:hAnsi="Times New Roman" w:cs="Times New Roman"/>
          <w:b/>
          <w:bCs/>
          <w:color w:val="auto"/>
          <w:sz w:val="24"/>
          <w:szCs w:val="24"/>
          <w:lang w:val="es-PE" w:eastAsia="ar-SA"/>
        </w:rPr>
        <w:t>4</w:t>
      </w:r>
      <w:r w:rsidRPr="009F3DD4" w:rsidR="009F3DD4">
        <w:rPr>
          <w:rFonts w:ascii="Times New Roman" w:hAnsi="Times New Roman" w:cs="Times New Roman"/>
          <w:b/>
          <w:bCs/>
          <w:color w:val="auto"/>
          <w:sz w:val="24"/>
          <w:szCs w:val="24"/>
          <w:lang w:val="es-PE" w:eastAsia="ar-SA"/>
        </w:rPr>
        <w:t>9</w:t>
      </w:r>
      <w:r w:rsidRPr="009F3DD4" w:rsidR="00517CFF">
        <w:rPr>
          <w:rFonts w:ascii="Times New Roman" w:hAnsi="Times New Roman" w:cs="Times New Roman"/>
          <w:b/>
          <w:bCs/>
          <w:color w:val="auto"/>
          <w:sz w:val="24"/>
          <w:szCs w:val="24"/>
          <w:lang w:val="es-PE" w:eastAsia="ar-SA"/>
        </w:rPr>
        <w:t>/</w:t>
      </w:r>
      <w:r w:rsidRPr="009F3DD4" w:rsidR="00C671F5">
        <w:rPr>
          <w:rFonts w:ascii="Times New Roman" w:hAnsi="Times New Roman" w:cs="Times New Roman"/>
          <w:b/>
          <w:bCs/>
          <w:color w:val="auto"/>
          <w:sz w:val="24"/>
          <w:szCs w:val="24"/>
          <w:lang w:val="es-PE" w:eastAsia="ar-SA"/>
        </w:rPr>
        <w:t>2</w:t>
      </w:r>
      <w:r w:rsidRPr="009F3DD4" w:rsidR="00231C58">
        <w:rPr>
          <w:rFonts w:ascii="Times New Roman" w:hAnsi="Times New Roman" w:cs="Times New Roman"/>
          <w:b/>
          <w:bCs/>
          <w:color w:val="auto"/>
          <w:sz w:val="24"/>
          <w:szCs w:val="24"/>
          <w:lang w:val="es-PE" w:eastAsia="ar-SA"/>
        </w:rPr>
        <w:t>1</w:t>
      </w:r>
    </w:p>
    <w:p w:rsidRPr="009F3DD4" w:rsidR="00AA2A1F" w:rsidP="00AA2A1F" w:rsidRDefault="00AA2A1F" w14:paraId="0AD814ED" w14:textId="77777777">
      <w:pPr>
        <w:spacing w:after="0" w:line="240" w:lineRule="auto"/>
        <w:rPr>
          <w:rFonts w:ascii="Times New Roman" w:hAnsi="Times New Roman" w:cs="Times New Roman"/>
          <w:sz w:val="24"/>
          <w:szCs w:val="24"/>
          <w:lang w:val="es-PE"/>
        </w:rPr>
      </w:pPr>
    </w:p>
    <w:p w:rsidRPr="009F3DD4" w:rsidR="009F3DD4" w:rsidP="009F3DD4" w:rsidRDefault="009F3DD4" w14:paraId="112E7262" w14:textId="77777777">
      <w:pPr>
        <w:jc w:val="both"/>
        <w:outlineLvl w:val="0"/>
        <w:rPr>
          <w:rFonts w:ascii="Times New Roman" w:hAnsi="Times New Roman" w:cs="Times New Roman"/>
          <w:b/>
          <w:sz w:val="24"/>
          <w:szCs w:val="24"/>
          <w:lang w:val="es-PE"/>
        </w:rPr>
      </w:pPr>
      <w:r w:rsidRPr="009F3DD4">
        <w:rPr>
          <w:rFonts w:ascii="Times New Roman" w:hAnsi="Times New Roman" w:cs="Times New Roman"/>
          <w:b/>
          <w:sz w:val="24"/>
          <w:szCs w:val="24"/>
          <w:lang w:val="es-PE"/>
        </w:rPr>
        <w:t>VISTOS:</w:t>
      </w:r>
    </w:p>
    <w:p w:rsidRPr="009F3DD4" w:rsidR="009F3DD4" w:rsidP="0BBC1B91" w:rsidRDefault="009F3DD4" w14:paraId="5CB4CEA6" w14:textId="7AE7D3D9">
      <w:pPr>
        <w:jc w:val="both"/>
        <w:rPr>
          <w:rFonts w:ascii="Times New Roman" w:hAnsi="Times New Roman" w:cs="Times New Roman"/>
          <w:sz w:val="24"/>
          <w:szCs w:val="24"/>
          <w:lang w:val="es-PE"/>
        </w:rPr>
      </w:pPr>
      <w:r w:rsidRPr="0BBC1B91" w:rsidR="009F3DD4">
        <w:rPr>
          <w:rFonts w:ascii="Times New Roman" w:hAnsi="Times New Roman" w:cs="Times New Roman"/>
          <w:sz w:val="24"/>
          <w:szCs w:val="24"/>
          <w:lang w:val="es-PE"/>
        </w:rPr>
        <w:t xml:space="preserve">El recurso de impugnación presentado el 04 de agosto de 2021 por </w:t>
      </w:r>
      <w:r w:rsidRPr="0BBC1B91" w:rsidR="680E3FB7">
        <w:rPr>
          <w:rFonts w:ascii="Times New Roman" w:hAnsi="Times New Roman" w:cs="Times New Roman"/>
          <w:sz w:val="24"/>
          <w:szCs w:val="24"/>
          <w:lang w:val="es-PE"/>
        </w:rPr>
        <w:t>.........................................</w:t>
      </w:r>
      <w:r w:rsidRPr="0BBC1B91" w:rsidR="009F3DD4">
        <w:rPr>
          <w:rFonts w:ascii="Times New Roman" w:hAnsi="Times New Roman" w:cs="Times New Roman"/>
          <w:sz w:val="24"/>
          <w:szCs w:val="24"/>
          <w:lang w:val="es-PE"/>
        </w:rPr>
        <w:t xml:space="preserve"> respecto de la Resolución Nro. 092/21 de fecha 26 de julio de 2021, expedida por esta Defensoría del Asegurado (DEFASEG), conforme a la cual se declaró </w:t>
      </w:r>
      <w:r w:rsidRPr="0BBC1B91" w:rsidR="009F3DD4">
        <w:rPr>
          <w:rFonts w:ascii="Times New Roman" w:hAnsi="Times New Roman" w:cs="Times New Roman"/>
          <w:b w:val="1"/>
          <w:bCs w:val="1"/>
          <w:sz w:val="24"/>
          <w:szCs w:val="24"/>
          <w:lang w:val="es-PE"/>
        </w:rPr>
        <w:t xml:space="preserve">FUNDADA </w:t>
      </w:r>
      <w:r w:rsidRPr="0BBC1B91" w:rsidR="009F3DD4">
        <w:rPr>
          <w:rFonts w:ascii="Times New Roman" w:hAnsi="Times New Roman" w:cs="Times New Roman"/>
          <w:sz w:val="24"/>
          <w:szCs w:val="24"/>
          <w:lang w:val="es-PE"/>
        </w:rPr>
        <w:t xml:space="preserve">la reclamación interpuesta por doña </w:t>
      </w:r>
      <w:r w:rsidRPr="0BBC1B91" w:rsidR="1020DD85">
        <w:rPr>
          <w:rFonts w:ascii="Times New Roman" w:hAnsi="Times New Roman" w:cs="Times New Roman"/>
          <w:sz w:val="24"/>
          <w:szCs w:val="24"/>
          <w:lang w:val="es-PE"/>
        </w:rPr>
        <w:t>.........................................</w:t>
      </w:r>
      <w:r w:rsidRPr="0BBC1B91" w:rsidR="009F3DD4">
        <w:rPr>
          <w:rFonts w:ascii="Times New Roman" w:hAnsi="Times New Roman" w:cs="Times New Roman"/>
          <w:sz w:val="24"/>
          <w:szCs w:val="24"/>
          <w:lang w:val="es-PE"/>
        </w:rPr>
        <w:t xml:space="preserve"> respecto de la Póliza Protección Familiar Plus (Plan PJ) </w:t>
      </w:r>
      <w:r w:rsidRPr="0BBC1B91" w:rsidR="009F3DD4">
        <w:rPr>
          <w:rFonts w:ascii="Times New Roman" w:hAnsi="Times New Roman" w:cs="Times New Roman"/>
          <w:sz w:val="24"/>
          <w:szCs w:val="24"/>
          <w:lang w:val="es-PE"/>
        </w:rPr>
        <w:t>N°</w:t>
      </w:r>
      <w:r w:rsidRPr="0BBC1B91" w:rsidR="009F3DD4">
        <w:rPr>
          <w:rFonts w:ascii="Times New Roman" w:hAnsi="Times New Roman" w:cs="Times New Roman"/>
          <w:sz w:val="24"/>
          <w:szCs w:val="24"/>
          <w:lang w:val="es-PE"/>
        </w:rPr>
        <w:t xml:space="preserve"> </w:t>
      </w:r>
      <w:r w:rsidRPr="0BBC1B91" w:rsidR="35899F8D">
        <w:rPr>
          <w:rFonts w:ascii="Times New Roman" w:hAnsi="Times New Roman" w:cs="Times New Roman"/>
          <w:sz w:val="24"/>
          <w:szCs w:val="24"/>
          <w:lang w:val="es-PE"/>
        </w:rPr>
        <w:t>.........................................</w:t>
      </w:r>
      <w:r w:rsidRPr="0BBC1B91" w:rsidR="009F3DD4">
        <w:rPr>
          <w:rFonts w:ascii="Times New Roman" w:hAnsi="Times New Roman" w:cs="Times New Roman"/>
          <w:sz w:val="24"/>
          <w:szCs w:val="24"/>
          <w:lang w:val="es-PE"/>
        </w:rPr>
        <w:t xml:space="preserve">, cobertura por el fallecimiento del asegurado señor </w:t>
      </w:r>
      <w:r w:rsidRPr="0BBC1B91" w:rsidR="73A66454">
        <w:rPr>
          <w:rFonts w:ascii="Times New Roman" w:hAnsi="Times New Roman" w:cs="Times New Roman"/>
          <w:sz w:val="24"/>
          <w:szCs w:val="24"/>
          <w:lang w:val="es-PE"/>
        </w:rPr>
        <w:t>.........................................</w:t>
      </w:r>
      <w:r w:rsidRPr="0BBC1B91" w:rsidR="009F3DD4">
        <w:rPr>
          <w:rFonts w:ascii="Times New Roman" w:hAnsi="Times New Roman" w:cs="Times New Roman"/>
          <w:sz w:val="24"/>
          <w:szCs w:val="24"/>
          <w:lang w:val="es-PE"/>
        </w:rPr>
        <w:t xml:space="preserve">. </w:t>
      </w:r>
    </w:p>
    <w:p w:rsidRPr="009F3DD4" w:rsidR="009F3DD4" w:rsidP="009F3DD4" w:rsidRDefault="009F3DD4" w14:paraId="0B48F7C7" w14:textId="77777777">
      <w:pPr>
        <w:pStyle w:val="Textoindependiente"/>
        <w:rPr>
          <w:lang w:val="es-PE"/>
        </w:rPr>
      </w:pPr>
      <w:r w:rsidRPr="009F3DD4">
        <w:rPr>
          <w:lang w:val="es-PE"/>
        </w:rPr>
        <w:t>Que, el indicado recurso se sustenta resumidamente en lo siguiente: a) la DEFASEG declaró fundado el reclamo por cuanto no se acreditó la preexistencia adjuntando parte pertinente de la historia clínica, así como tampoco la solicitud de seguro suscrito por el asegurado; lo que cumplen con adjuntar como anexos de su recurso impugnatorio por lo que solicitan se revoque la resolución impugnada y se declare infundado el reclamo.</w:t>
      </w:r>
    </w:p>
    <w:p w:rsidRPr="009F3DD4" w:rsidR="009F3DD4" w:rsidP="009F3DD4" w:rsidRDefault="009F3DD4" w14:paraId="09564AE3" w14:textId="77777777">
      <w:pPr>
        <w:pStyle w:val="Textoindependiente"/>
        <w:rPr>
          <w:lang w:val="es-PE"/>
        </w:rPr>
      </w:pPr>
    </w:p>
    <w:p w:rsidRPr="009F3DD4" w:rsidR="009F3DD4" w:rsidP="009F3DD4" w:rsidRDefault="009F3DD4" w14:paraId="4E83A5C7" w14:textId="77777777">
      <w:pPr>
        <w:pStyle w:val="Default"/>
        <w:jc w:val="both"/>
        <w:rPr>
          <w:rFonts w:ascii="Times New Roman" w:hAnsi="Times New Roman" w:cs="Times New Roman"/>
          <w:bCs/>
        </w:rPr>
      </w:pPr>
      <w:r w:rsidRPr="009F3DD4">
        <w:rPr>
          <w:rFonts w:ascii="Times New Roman" w:hAnsi="Times New Roman" w:cs="Times New Roman"/>
          <w:bCs/>
        </w:rPr>
        <w:t xml:space="preserve">Que, habiéndose corrido traslado de la respectiva impugnación a la parte reclamante, </w:t>
      </w:r>
      <w:proofErr w:type="spellStart"/>
      <w:r w:rsidRPr="009F3DD4">
        <w:rPr>
          <w:rFonts w:ascii="Times New Roman" w:hAnsi="Times New Roman" w:cs="Times New Roman"/>
          <w:bCs/>
        </w:rPr>
        <w:t>esta</w:t>
      </w:r>
      <w:proofErr w:type="spellEnd"/>
      <w:r w:rsidRPr="009F3DD4">
        <w:rPr>
          <w:rFonts w:ascii="Times New Roman" w:hAnsi="Times New Roman" w:cs="Times New Roman"/>
          <w:bCs/>
        </w:rPr>
        <w:t xml:space="preserve"> la absolvió el 17 de agosto de 2021 señalando resumidamente lo siguiente:  a) la aseguradora pretende a través de su recurso impugnatorio subsanar la documentación que le fue requerida dentro del plazo de 03 días hábiles en audiencia oral, lo que no proceder dado que las etapas precluyen conforme a la ley del procedimiento administrativo general; b) que no se ha probado con ningún documento objetivo, que su esposo haya tenido algún diagnostico anterior a la contratación del seguro, mediante el cual se haya determinado de que padecía enfermedad relacionada a la causa de su muerte; siendo incluso que lo mencionado por la aseguradora hace referencia a diagnósticos de fecha 12 de Junio del año 2020 y 23 de Abril del año 2018, es decir de fecha reciente.</w:t>
      </w:r>
    </w:p>
    <w:p w:rsidRPr="009F3DD4" w:rsidR="009F3DD4" w:rsidP="009F3DD4" w:rsidRDefault="009F3DD4" w14:paraId="2B7BAFCA" w14:textId="77777777">
      <w:pPr>
        <w:pStyle w:val="Default"/>
        <w:jc w:val="both"/>
        <w:rPr>
          <w:rFonts w:ascii="Times New Roman" w:hAnsi="Times New Roman" w:cs="Times New Roman"/>
          <w:bCs/>
        </w:rPr>
      </w:pPr>
    </w:p>
    <w:p w:rsidRPr="009F3DD4" w:rsidR="009F3DD4" w:rsidP="009F3DD4" w:rsidRDefault="009F3DD4" w14:paraId="4313B2D2" w14:textId="77777777">
      <w:pPr>
        <w:pStyle w:val="Textoindependiente"/>
        <w:tabs>
          <w:tab w:val="left" w:pos="930"/>
        </w:tabs>
        <w:rPr>
          <w:lang w:val="es-PE"/>
        </w:rPr>
      </w:pPr>
      <w:r w:rsidRPr="009F3DD4">
        <w:rPr>
          <w:lang w:val="es-PE"/>
        </w:rPr>
        <w:t>Atendiendo a lo expuesto, esta Defensoría resuelve finalmente lo siguiente:</w:t>
      </w:r>
    </w:p>
    <w:p w:rsidRPr="009F3DD4" w:rsidR="009F3DD4" w:rsidP="009F3DD4" w:rsidRDefault="009F3DD4" w14:paraId="65C00558" w14:textId="77777777">
      <w:pPr>
        <w:pStyle w:val="Default"/>
        <w:jc w:val="both"/>
        <w:rPr>
          <w:rFonts w:ascii="Times New Roman" w:hAnsi="Times New Roman" w:cs="Times New Roman"/>
          <w:bCs/>
        </w:rPr>
      </w:pPr>
    </w:p>
    <w:p w:rsidRPr="009F3DD4" w:rsidR="009F3DD4" w:rsidP="009F3DD4" w:rsidRDefault="009F3DD4" w14:paraId="1299DFC2" w14:textId="77777777">
      <w:pPr>
        <w:jc w:val="both"/>
        <w:rPr>
          <w:rFonts w:ascii="Times New Roman" w:hAnsi="Times New Roman" w:cs="Times New Roman"/>
          <w:bCs/>
          <w:sz w:val="24"/>
          <w:szCs w:val="24"/>
          <w:lang w:val="es-PE"/>
        </w:rPr>
      </w:pPr>
      <w:r w:rsidRPr="009F3DD4">
        <w:rPr>
          <w:rFonts w:ascii="Times New Roman" w:hAnsi="Times New Roman" w:cs="Times New Roman"/>
          <w:b/>
          <w:sz w:val="24"/>
          <w:szCs w:val="24"/>
          <w:u w:val="single"/>
          <w:lang w:val="es-PE"/>
        </w:rPr>
        <w:t>PRIMERO</w:t>
      </w:r>
      <w:r w:rsidRPr="009F3DD4">
        <w:rPr>
          <w:rFonts w:ascii="Times New Roman" w:hAnsi="Times New Roman" w:cs="Times New Roman"/>
          <w:b/>
          <w:sz w:val="24"/>
          <w:szCs w:val="24"/>
          <w:lang w:val="es-PE"/>
        </w:rPr>
        <w:t>:</w:t>
      </w:r>
      <w:r w:rsidRPr="009F3DD4">
        <w:rPr>
          <w:rFonts w:ascii="Times New Roman" w:hAnsi="Times New Roman" w:cs="Times New Roman"/>
          <w:bCs/>
          <w:sz w:val="24"/>
          <w:szCs w:val="24"/>
          <w:lang w:val="es-PE"/>
        </w:rPr>
        <w:t xml:space="preserve"> El artículo 10 (Procedimiento) del Reglamento de la DEFASEG </w:t>
      </w:r>
      <w:r w:rsidRPr="009F3DD4">
        <w:rPr>
          <w:rFonts w:ascii="Times New Roman" w:hAnsi="Times New Roman" w:eastAsia="Arial Unicode MS" w:cs="Times New Roman"/>
          <w:bCs/>
          <w:sz w:val="24"/>
          <w:szCs w:val="24"/>
          <w:lang w:val="es-PE"/>
        </w:rPr>
        <w:t>(http://www.defaseg.com.pe/reglamento)</w:t>
      </w:r>
      <w:r w:rsidRPr="009F3DD4">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9F3DD4" w:rsidR="009F3DD4" w:rsidP="009F3DD4" w:rsidRDefault="009F3DD4" w14:paraId="40C4792F" w14:textId="77777777">
      <w:pPr>
        <w:jc w:val="both"/>
        <w:rPr>
          <w:rFonts w:ascii="Times New Roman" w:hAnsi="Times New Roman" w:cs="Times New Roman"/>
          <w:bCs/>
          <w:sz w:val="24"/>
          <w:szCs w:val="24"/>
          <w:lang w:val="es-PE"/>
        </w:rPr>
      </w:pPr>
      <w:r w:rsidRPr="009F3DD4">
        <w:rPr>
          <w:rFonts w:ascii="Times New Roman" w:hAnsi="Times New Roman" w:cs="Times New Roman"/>
          <w:bCs/>
          <w:sz w:val="24"/>
          <w:szCs w:val="24"/>
          <w:lang w:val="es-PE"/>
        </w:rPr>
        <w:t>Conforme a ello, en el caso concreto, al interponer el recurso de impugnación la aseguradora ha ejercido formalmente su derecho a contradecir lo resuelto por la Defensoría.</w:t>
      </w:r>
    </w:p>
    <w:p w:rsidRPr="009F3DD4" w:rsidR="009F3DD4" w:rsidP="009F3DD4" w:rsidRDefault="009F3DD4" w14:paraId="15D0C10D" w14:textId="77777777">
      <w:pPr>
        <w:jc w:val="both"/>
        <w:rPr>
          <w:rFonts w:ascii="Times New Roman" w:hAnsi="Times New Roman" w:cs="Times New Roman"/>
          <w:sz w:val="24"/>
          <w:szCs w:val="24"/>
          <w:lang w:val="es-PE"/>
        </w:rPr>
      </w:pPr>
      <w:r w:rsidRPr="009F3DD4">
        <w:rPr>
          <w:rFonts w:ascii="Times New Roman" w:hAnsi="Times New Roman" w:cs="Times New Roman"/>
          <w:b/>
          <w:sz w:val="24"/>
          <w:szCs w:val="24"/>
          <w:u w:val="single"/>
          <w:lang w:val="es-PE"/>
        </w:rPr>
        <w:t>SEGUNDO:</w:t>
      </w:r>
      <w:r w:rsidRPr="009F3DD4">
        <w:rPr>
          <w:rFonts w:ascii="Times New Roman" w:hAnsi="Times New Roman" w:cs="Times New Roman"/>
          <w:bCs/>
          <w:sz w:val="24"/>
          <w:szCs w:val="24"/>
          <w:lang w:val="es-PE"/>
        </w:rPr>
        <w:t xml:space="preserve">  </w:t>
      </w:r>
      <w:r w:rsidRPr="009F3DD4">
        <w:rPr>
          <w:rFonts w:ascii="Times New Roman" w:hAnsi="Times New Roman" w:cs="Times New Roman"/>
          <w:sz w:val="24"/>
          <w:szCs w:val="24"/>
          <w:lang w:val="es-PE"/>
        </w:rPr>
        <w:t>Que la aseguradora adjunta la solicitud de seguro suscrito por la aseguradora y con ello acredita que efectivamente el asegurado no declaró haber padecido enfermedad alguna al momento de contratación del seguro en el año 2014, levantando este extremo de la resolución impugnada.</w:t>
      </w:r>
    </w:p>
    <w:p w:rsidRPr="009F3DD4" w:rsidR="009F3DD4" w:rsidP="009F3DD4" w:rsidRDefault="009F3DD4" w14:paraId="5B8620A7" w14:textId="77777777">
      <w:pPr>
        <w:jc w:val="both"/>
        <w:rPr>
          <w:rFonts w:ascii="Times New Roman" w:hAnsi="Times New Roman" w:cs="Times New Roman"/>
          <w:sz w:val="24"/>
          <w:szCs w:val="24"/>
          <w:lang w:val="es-PE"/>
        </w:rPr>
      </w:pPr>
      <w:r w:rsidRPr="009F3DD4">
        <w:rPr>
          <w:rFonts w:ascii="Times New Roman" w:hAnsi="Times New Roman" w:cs="Times New Roman"/>
          <w:sz w:val="24"/>
          <w:szCs w:val="24"/>
          <w:lang w:val="es-PE"/>
        </w:rPr>
        <w:t>No obstante, la resolución impugnada señaló que para justificar el rechazo no solo se requería presentar la solicitud de seguro, sino que además se requería presentar la historia clínica de fecha anterior a la contratación de seguro conforme se indicó en el séptimo considerando de la resolución impugnada que a continuación transcribimos (parte pertinente):</w:t>
      </w:r>
    </w:p>
    <w:p w:rsidRPr="009F3DD4" w:rsidR="009F3DD4" w:rsidP="009F3DD4" w:rsidRDefault="009F3DD4" w14:paraId="439F9650" w14:textId="77777777">
      <w:pPr>
        <w:jc w:val="both"/>
        <w:rPr>
          <w:rFonts w:ascii="Times New Roman" w:hAnsi="Times New Roman" w:cs="Times New Roman"/>
          <w:sz w:val="24"/>
          <w:szCs w:val="24"/>
          <w:lang w:val="es-PE"/>
        </w:rPr>
      </w:pPr>
    </w:p>
    <w:p w:rsidRPr="009F3DD4" w:rsidR="009F3DD4" w:rsidP="009F3DD4" w:rsidRDefault="009F3DD4" w14:paraId="5C564743" w14:textId="77777777">
      <w:pPr>
        <w:autoSpaceDE w:val="0"/>
        <w:autoSpaceDN w:val="0"/>
        <w:adjustRightInd w:val="0"/>
        <w:ind w:left="720"/>
        <w:jc w:val="both"/>
        <w:rPr>
          <w:rFonts w:ascii="Times New Roman" w:hAnsi="Times New Roman" w:cs="Times New Roman"/>
          <w:i/>
          <w:iCs/>
          <w:color w:val="000000"/>
          <w:sz w:val="24"/>
          <w:szCs w:val="24"/>
          <w:lang w:val="es-PE"/>
        </w:rPr>
      </w:pPr>
      <w:r w:rsidRPr="009F3DD4">
        <w:rPr>
          <w:rFonts w:ascii="Times New Roman" w:hAnsi="Times New Roman" w:cs="Times New Roman"/>
          <w:i/>
          <w:iCs/>
          <w:color w:val="000000"/>
          <w:sz w:val="24"/>
          <w:szCs w:val="24"/>
          <w:lang w:val="es-PE"/>
        </w:rPr>
        <w:t xml:space="preserve">“Este colegiado no ha podido verificar el contenido la redacción de la exclusión por cuanto la póliza completa no obra en el expediente. No obstante, asumiendo que la exclusión está redactada en los términos que refiere la aseguradora, no bastaría que estemos ante una enfermedad preexistente para que proceda el rechazo de cobertura de seguro, sino que debería tratarse de una enfermedad preexistente “NO DECLARADA” al momento de afiliarse al seguro, y a efectos de verificar dicha falta de declaración, la aseguradora debería presentar la solicitud de seguro, lo que no ha cumplido hasta la fecha. </w:t>
      </w:r>
    </w:p>
    <w:p w:rsidRPr="009F3DD4" w:rsidR="009F3DD4" w:rsidP="009F3DD4" w:rsidRDefault="009F3DD4" w14:paraId="74F8CB20" w14:textId="77777777">
      <w:pPr>
        <w:autoSpaceDE w:val="0"/>
        <w:autoSpaceDN w:val="0"/>
        <w:adjustRightInd w:val="0"/>
        <w:ind w:left="720"/>
        <w:jc w:val="both"/>
        <w:rPr>
          <w:rFonts w:ascii="Times New Roman" w:hAnsi="Times New Roman" w:cs="Times New Roman"/>
          <w:i/>
          <w:iCs/>
          <w:color w:val="000000"/>
          <w:sz w:val="24"/>
          <w:szCs w:val="24"/>
          <w:lang w:val="es-PE"/>
        </w:rPr>
      </w:pPr>
      <w:r w:rsidRPr="009F3DD4">
        <w:rPr>
          <w:rFonts w:ascii="Times New Roman" w:hAnsi="Times New Roman" w:cs="Times New Roman"/>
          <w:i/>
          <w:iCs/>
          <w:color w:val="000000"/>
          <w:sz w:val="24"/>
          <w:szCs w:val="24"/>
          <w:lang w:val="es-PE"/>
        </w:rPr>
        <w:t xml:space="preserve">En el presente caso, no solo no se ha presentado la póliza ni certificado de seguro, lo cual tampoco permite acreditar que la exclusión invocada fue puesta en conocimiento del asegurado en forma previa al siniestro, sino que tampoco se ha acreditado que se hubiera configurado la exclusión conforme a lo antes indicado. </w:t>
      </w:r>
    </w:p>
    <w:p w:rsidRPr="009F3DD4" w:rsidR="009F3DD4" w:rsidP="009F3DD4" w:rsidRDefault="009F3DD4" w14:paraId="07957926" w14:textId="77777777">
      <w:pPr>
        <w:autoSpaceDE w:val="0"/>
        <w:autoSpaceDN w:val="0"/>
        <w:adjustRightInd w:val="0"/>
        <w:ind w:left="720"/>
        <w:jc w:val="both"/>
        <w:rPr>
          <w:rFonts w:ascii="Times New Roman" w:hAnsi="Times New Roman" w:cs="Times New Roman"/>
          <w:i/>
          <w:iCs/>
          <w:color w:val="000000"/>
          <w:sz w:val="24"/>
          <w:szCs w:val="24"/>
          <w:lang w:val="es-PE"/>
        </w:rPr>
      </w:pPr>
      <w:r w:rsidRPr="009F3DD4">
        <w:rPr>
          <w:rFonts w:ascii="Times New Roman" w:hAnsi="Times New Roman" w:cs="Times New Roman"/>
          <w:i/>
          <w:iCs/>
          <w:color w:val="000000"/>
          <w:sz w:val="24"/>
          <w:szCs w:val="24"/>
          <w:lang w:val="es-PE"/>
        </w:rPr>
        <w:t xml:space="preserve">No obstante, como vía impugnación, la aseguradora podría cumplir con lo requerido, a continuación, analizamos si de los documentos que obran en el expediente se encuentra acreditada dicha condición supuestamente preexistente, es decir previa al año 2014, año de contratación del seguro. </w:t>
      </w:r>
    </w:p>
    <w:p w:rsidRPr="009F3DD4" w:rsidR="009F3DD4" w:rsidP="009F3DD4" w:rsidRDefault="009F3DD4" w14:paraId="0C555749" w14:textId="77777777">
      <w:pPr>
        <w:ind w:left="720"/>
        <w:jc w:val="both"/>
        <w:rPr>
          <w:rFonts w:ascii="Times New Roman" w:hAnsi="Times New Roman" w:cs="Times New Roman"/>
          <w:i/>
          <w:iCs/>
          <w:sz w:val="24"/>
          <w:szCs w:val="24"/>
          <w:lang w:val="es-PE"/>
        </w:rPr>
      </w:pPr>
      <w:r w:rsidRPr="009F3DD4">
        <w:rPr>
          <w:rFonts w:ascii="Times New Roman" w:hAnsi="Times New Roman" w:cs="Times New Roman"/>
          <w:i/>
          <w:iCs/>
          <w:color w:val="000000"/>
          <w:sz w:val="24"/>
          <w:szCs w:val="24"/>
          <w:lang w:val="es-PE"/>
        </w:rPr>
        <w:t xml:space="preserve">Al respecto, la aseguradora basa la preexistencia en una referencia en la historia clínica, efectuada en fecha posterior a la contratación del seguro, referencia que supuestamente transcribe en su carta de rechazo y que refiere una antigüedad de 10 años; sin embargo, no solo no adjunta parte pertinente de la historia </w:t>
      </w:r>
      <w:proofErr w:type="gramStart"/>
      <w:r w:rsidRPr="009F3DD4">
        <w:rPr>
          <w:rFonts w:ascii="Times New Roman" w:hAnsi="Times New Roman" w:cs="Times New Roman"/>
          <w:i/>
          <w:iCs/>
          <w:color w:val="000000"/>
          <w:sz w:val="24"/>
          <w:szCs w:val="24"/>
          <w:lang w:val="es-PE"/>
        </w:rPr>
        <w:t>clínica</w:t>
      </w:r>
      <w:proofErr w:type="gramEnd"/>
      <w:r w:rsidRPr="009F3DD4">
        <w:rPr>
          <w:rFonts w:ascii="Times New Roman" w:hAnsi="Times New Roman" w:cs="Times New Roman"/>
          <w:i/>
          <w:iCs/>
          <w:color w:val="000000"/>
          <w:sz w:val="24"/>
          <w:szCs w:val="24"/>
          <w:lang w:val="es-PE"/>
        </w:rPr>
        <w:t xml:space="preserve"> sino que tampoco se trata de una referencia realizada en fecha anterior a setiembre de 2014, mes de contratación del seguro. Tampoco el certificado de defunción hace referencia a antigüedad alguna, todo lo cual no genera convicción en esta Defensoría.”</w:t>
      </w:r>
    </w:p>
    <w:p w:rsidRPr="009F3DD4" w:rsidR="009F3DD4" w:rsidP="009F3DD4" w:rsidRDefault="009F3DD4" w14:paraId="11370BC8" w14:textId="77777777">
      <w:pPr>
        <w:jc w:val="both"/>
        <w:rPr>
          <w:rFonts w:ascii="Times New Roman" w:hAnsi="Times New Roman" w:cs="Times New Roman"/>
          <w:sz w:val="24"/>
          <w:szCs w:val="24"/>
          <w:lang w:val="es-PE"/>
        </w:rPr>
      </w:pPr>
      <w:r w:rsidRPr="009F3DD4">
        <w:rPr>
          <w:rFonts w:ascii="Times New Roman" w:hAnsi="Times New Roman" w:cs="Times New Roman"/>
          <w:sz w:val="24"/>
          <w:szCs w:val="24"/>
          <w:lang w:val="es-PE"/>
        </w:rPr>
        <w:t>Al respecto, la aseguradora ha adjuntado a su recurso impugnatorio una hoja de atención médica (sin logo) de fecha 23/04/2018, que refiere antecedentes de HAT de “hace más o menos 10 años”, no se trata por tanto de la historia clínica de fecha anterior a la contratación del seguro que se dio en el 2014, sino de una referencia genérica realizada en una cita médica, pero que no genera convicción en este Colegiado. Asimismo, la aseguradora ha adjuntado el certificado de defunción, pero el mismo no hace referencia alguna a la antigüedad de la enfermedad que produjo el fallecimiento, lo que determina que se presenten elementos suficientes que permitan a este Colegiado revocar la resolución impugnada</w:t>
      </w:r>
    </w:p>
    <w:p w:rsidRPr="009F3DD4" w:rsidR="009F3DD4" w:rsidP="009F3DD4" w:rsidRDefault="009F3DD4" w14:paraId="2D3454B9" w14:textId="77777777">
      <w:pPr>
        <w:jc w:val="both"/>
        <w:rPr>
          <w:rFonts w:ascii="Times New Roman" w:hAnsi="Times New Roman" w:cs="Times New Roman"/>
          <w:sz w:val="24"/>
          <w:szCs w:val="24"/>
          <w:lang w:val="es-PE"/>
        </w:rPr>
      </w:pPr>
      <w:r w:rsidRPr="009F3DD4">
        <w:rPr>
          <w:rFonts w:ascii="Times New Roman" w:hAnsi="Times New Roman" w:cs="Times New Roman"/>
          <w:sz w:val="24"/>
          <w:szCs w:val="24"/>
          <w:lang w:val="es-PE"/>
        </w:rPr>
        <w:t xml:space="preserve">A </w:t>
      </w:r>
      <w:proofErr w:type="gramStart"/>
      <w:r w:rsidRPr="009F3DD4">
        <w:rPr>
          <w:rFonts w:ascii="Times New Roman" w:hAnsi="Times New Roman" w:cs="Times New Roman"/>
          <w:sz w:val="24"/>
          <w:szCs w:val="24"/>
          <w:lang w:val="es-PE"/>
        </w:rPr>
        <w:t>continuación</w:t>
      </w:r>
      <w:proofErr w:type="gramEnd"/>
      <w:r w:rsidRPr="009F3DD4">
        <w:rPr>
          <w:rFonts w:ascii="Times New Roman" w:hAnsi="Times New Roman" w:cs="Times New Roman"/>
          <w:sz w:val="24"/>
          <w:szCs w:val="24"/>
          <w:lang w:val="es-PE"/>
        </w:rPr>
        <w:t xml:space="preserve"> copiamos parte pertinente del Certificado de Defunción:</w:t>
      </w:r>
    </w:p>
    <w:p w:rsidRPr="009F3DD4" w:rsidR="009F3DD4" w:rsidP="009F3DD4" w:rsidRDefault="009F3DD4" w14:paraId="4BA2F567" w14:textId="5E3271E7">
      <w:pPr>
        <w:jc w:val="both"/>
      </w:pPr>
      <w:r w:rsidR="51897B0B">
        <w:rPr/>
        <w:t>...............................................................................................................................................................</w:t>
      </w:r>
    </w:p>
    <w:p w:rsidRPr="009F3DD4" w:rsidR="009F3DD4" w:rsidP="009F3DD4" w:rsidRDefault="009F3DD4" w14:paraId="45AD5319" w14:textId="77777777">
      <w:pPr>
        <w:jc w:val="both"/>
        <w:rPr>
          <w:rFonts w:ascii="Times New Roman" w:hAnsi="Times New Roman" w:cs="Times New Roman"/>
          <w:sz w:val="24"/>
          <w:szCs w:val="24"/>
          <w:lang w:val="es-PE"/>
        </w:rPr>
      </w:pPr>
    </w:p>
    <w:p w:rsidRPr="009F3DD4" w:rsidR="009F3DD4" w:rsidP="009F3DD4" w:rsidRDefault="009F3DD4" w14:paraId="2559C864" w14:textId="77777777">
      <w:pPr>
        <w:jc w:val="both"/>
        <w:rPr>
          <w:rFonts w:ascii="Times New Roman" w:hAnsi="Times New Roman" w:cs="Times New Roman"/>
          <w:sz w:val="24"/>
          <w:szCs w:val="24"/>
          <w:lang w:val="es-PE"/>
        </w:rPr>
      </w:pPr>
      <w:r w:rsidRPr="009F3DD4">
        <w:rPr>
          <w:rFonts w:ascii="Times New Roman" w:hAnsi="Times New Roman" w:cs="Times New Roman"/>
          <w:sz w:val="24"/>
          <w:szCs w:val="24"/>
          <w:lang w:val="es-PE"/>
        </w:rPr>
        <w:lastRenderedPageBreak/>
        <w:t>De otro lado, y con relación a lo expuesto por la reclamante en la absolución del recurso impugnatorio, es importante precisar que la Defensoría del Asegurado es una entidad privada y por ende no constituye una instancia administrativa regida por la ley del procedimiento administrativo general. La Defensoría se rige por su propio reglamento (</w:t>
      </w:r>
      <w:hyperlink w:history="1" r:id="rId9">
        <w:r w:rsidRPr="009F3DD4">
          <w:rPr>
            <w:rStyle w:val="Hipervnculo"/>
            <w:rFonts w:ascii="Times New Roman" w:hAnsi="Times New Roman" w:cs="Times New Roman"/>
            <w:sz w:val="24"/>
            <w:szCs w:val="24"/>
            <w:lang w:val="es-PE"/>
          </w:rPr>
          <w:t>http://www.defaseg.com.pe/reglamento-de-defaseg/</w:t>
        </w:r>
      </w:hyperlink>
      <w:r w:rsidRPr="009F3DD4">
        <w:rPr>
          <w:rFonts w:ascii="Times New Roman" w:hAnsi="Times New Roman" w:cs="Times New Roman"/>
          <w:sz w:val="24"/>
          <w:szCs w:val="24"/>
          <w:lang w:val="es-PE"/>
        </w:rPr>
        <w:t xml:space="preserve">), que expresamente establece respecto al procedimiento que </w:t>
      </w:r>
      <w:r w:rsidRPr="009F3DD4">
        <w:rPr>
          <w:rFonts w:ascii="Times New Roman" w:hAnsi="Times New Roman" w:cs="Times New Roman"/>
          <w:i/>
          <w:iCs/>
          <w:sz w:val="24"/>
          <w:szCs w:val="24"/>
          <w:lang w:val="es-PE"/>
        </w:rPr>
        <w:t>“Las partes podrán aportar pruebas documentales en cualquier estado del procedimiento.”</w:t>
      </w:r>
      <w:r w:rsidRPr="009F3DD4">
        <w:rPr>
          <w:rFonts w:ascii="Times New Roman" w:hAnsi="Times New Roman" w:cs="Times New Roman"/>
          <w:sz w:val="24"/>
          <w:szCs w:val="24"/>
          <w:lang w:val="es-PE"/>
        </w:rPr>
        <w:t xml:space="preserve">  Por lo </w:t>
      </w:r>
      <w:proofErr w:type="gramStart"/>
      <w:r w:rsidRPr="009F3DD4">
        <w:rPr>
          <w:rFonts w:ascii="Times New Roman" w:hAnsi="Times New Roman" w:cs="Times New Roman"/>
          <w:sz w:val="24"/>
          <w:szCs w:val="24"/>
          <w:lang w:val="es-PE"/>
        </w:rPr>
        <w:t>que</w:t>
      </w:r>
      <w:proofErr w:type="gramEnd"/>
      <w:r w:rsidRPr="009F3DD4">
        <w:rPr>
          <w:rFonts w:ascii="Times New Roman" w:hAnsi="Times New Roman" w:cs="Times New Roman"/>
          <w:sz w:val="24"/>
          <w:szCs w:val="24"/>
          <w:lang w:val="es-PE"/>
        </w:rPr>
        <w:t xml:space="preserve"> de haberse presentado en esta etapa del procedimiento, parte pertinente de la historia clínica de fecha anterior a la contratación del seguro que hubiera acreditado la preexistencia de la enfermedad invocada como preexistente, esta sí podría haber sido merituada, como lo ha sido la solicitud de seguro, aun cuando esta última resulta insuficiente por si sola para justificar el rechazo de cobertura.</w:t>
      </w:r>
    </w:p>
    <w:p w:rsidRPr="009F3DD4" w:rsidR="009F3DD4" w:rsidP="009F3DD4" w:rsidRDefault="009F3DD4" w14:paraId="662636D0" w14:textId="77777777">
      <w:pPr>
        <w:jc w:val="both"/>
        <w:rPr>
          <w:rFonts w:ascii="Times New Roman" w:hAnsi="Times New Roman" w:cs="Times New Roman"/>
          <w:b/>
          <w:sz w:val="24"/>
          <w:szCs w:val="24"/>
          <w:lang w:val="es-PE"/>
        </w:rPr>
      </w:pPr>
      <w:r w:rsidRPr="009F3DD4">
        <w:rPr>
          <w:rFonts w:ascii="Times New Roman" w:hAnsi="Times New Roman" w:cs="Times New Roman"/>
          <w:b/>
          <w:sz w:val="24"/>
          <w:szCs w:val="24"/>
          <w:lang w:val="es-PE"/>
        </w:rPr>
        <w:t>Atendiendo a lo expresado, conforme a su Reglamento, este colegiado resuelve:</w:t>
      </w:r>
    </w:p>
    <w:p w:rsidRPr="009F3DD4" w:rsidR="009F3DD4" w:rsidP="0BBC1B91" w:rsidRDefault="009F3DD4" w14:paraId="3B511174" w14:textId="0867DC07">
      <w:pPr>
        <w:jc w:val="both"/>
        <w:rPr>
          <w:rFonts w:ascii="Times New Roman" w:hAnsi="Times New Roman" w:cs="Times New Roman"/>
          <w:sz w:val="24"/>
          <w:szCs w:val="24"/>
          <w:lang w:val="es-PE"/>
        </w:rPr>
      </w:pPr>
      <w:r w:rsidRPr="0BBC1B91" w:rsidR="009F3DD4">
        <w:rPr>
          <w:rFonts w:ascii="Times New Roman" w:hAnsi="Times New Roman" w:eastAsia="Arial Unicode MS" w:cs="Times New Roman"/>
          <w:sz w:val="24"/>
          <w:szCs w:val="24"/>
          <w:lang w:val="es-PE"/>
        </w:rPr>
        <w:t xml:space="preserve">Declarar </w:t>
      </w:r>
      <w:r w:rsidRPr="0BBC1B91" w:rsidR="009F3DD4">
        <w:rPr>
          <w:rFonts w:ascii="Times New Roman" w:hAnsi="Times New Roman" w:eastAsia="Arial Unicode MS" w:cs="Times New Roman"/>
          <w:b w:val="1"/>
          <w:bCs w:val="1"/>
          <w:sz w:val="24"/>
          <w:szCs w:val="24"/>
          <w:lang w:val="es-PE"/>
        </w:rPr>
        <w:t xml:space="preserve">INFUNDADO </w:t>
      </w:r>
      <w:r w:rsidRPr="0BBC1B91" w:rsidR="009F3DD4">
        <w:rPr>
          <w:rFonts w:ascii="Times New Roman" w:hAnsi="Times New Roman" w:eastAsia="Arial Unicode MS" w:cs="Times New Roman"/>
          <w:sz w:val="24"/>
          <w:szCs w:val="24"/>
          <w:lang w:val="es-PE"/>
        </w:rPr>
        <w:t xml:space="preserve">el recurso de impugnación interpuesto y confirmar la Resolución </w:t>
      </w:r>
      <w:r w:rsidRPr="0BBC1B91" w:rsidR="009F3DD4">
        <w:rPr>
          <w:rFonts w:ascii="Times New Roman" w:hAnsi="Times New Roman" w:eastAsia="Arial Unicode MS" w:cs="Times New Roman"/>
          <w:sz w:val="24"/>
          <w:szCs w:val="24"/>
          <w:lang w:val="es-PE"/>
        </w:rPr>
        <w:t>Nº</w:t>
      </w:r>
      <w:r w:rsidRPr="0BBC1B91" w:rsidR="009F3DD4">
        <w:rPr>
          <w:rFonts w:ascii="Times New Roman" w:hAnsi="Times New Roman" w:eastAsia="Arial Unicode MS" w:cs="Times New Roman"/>
          <w:sz w:val="24"/>
          <w:szCs w:val="24"/>
          <w:lang w:val="es-PE"/>
        </w:rPr>
        <w:t xml:space="preserve"> </w:t>
      </w:r>
      <w:r w:rsidRPr="0BBC1B91" w:rsidR="009F3DD4">
        <w:rPr>
          <w:rFonts w:ascii="Times New Roman" w:hAnsi="Times New Roman" w:cs="Times New Roman"/>
          <w:sz w:val="24"/>
          <w:szCs w:val="24"/>
          <w:lang w:val="es-PE"/>
        </w:rPr>
        <w:t xml:space="preserve">092/21 de fecha 26 de julio de 2021 que declaró fundado el reclamo interpuesto por doña </w:t>
      </w:r>
      <w:r w:rsidRPr="0BBC1B91" w:rsidR="1020DD85">
        <w:rPr>
          <w:rFonts w:ascii="Times New Roman" w:hAnsi="Times New Roman" w:cs="Times New Roman"/>
          <w:sz w:val="24"/>
          <w:szCs w:val="24"/>
          <w:lang w:val="es-PE"/>
        </w:rPr>
        <w:t>.........................................</w:t>
      </w:r>
      <w:r w:rsidRPr="0BBC1B91" w:rsidR="009F3DD4">
        <w:rPr>
          <w:rFonts w:ascii="Times New Roman" w:hAnsi="Times New Roman" w:cs="Times New Roman"/>
          <w:sz w:val="24"/>
          <w:szCs w:val="24"/>
          <w:lang w:val="es-PE"/>
        </w:rPr>
        <w:t xml:space="preserve"> contra </w:t>
      </w:r>
      <w:r w:rsidRPr="0BBC1B91" w:rsidR="24BA8190">
        <w:rPr>
          <w:rFonts w:ascii="Times New Roman" w:hAnsi="Times New Roman" w:cs="Times New Roman"/>
          <w:sz w:val="24"/>
          <w:szCs w:val="24"/>
          <w:lang w:val="es-PE"/>
        </w:rPr>
        <w:t>.........................................</w:t>
      </w:r>
      <w:r w:rsidRPr="0BBC1B91" w:rsidR="009F3DD4">
        <w:rPr>
          <w:rFonts w:ascii="Times New Roman" w:hAnsi="Times New Roman" w:cs="Times New Roman"/>
          <w:sz w:val="24"/>
          <w:szCs w:val="24"/>
          <w:lang w:val="es-PE"/>
        </w:rPr>
        <w:t xml:space="preserve"> respecto de la póliza de Protección Familiar Plus (Plan PJ) </w:t>
      </w:r>
      <w:r w:rsidRPr="0BBC1B91" w:rsidR="009F3DD4">
        <w:rPr>
          <w:rFonts w:ascii="Times New Roman" w:hAnsi="Times New Roman" w:cs="Times New Roman"/>
          <w:sz w:val="24"/>
          <w:szCs w:val="24"/>
          <w:lang w:val="es-PE"/>
        </w:rPr>
        <w:t>N°</w:t>
      </w:r>
      <w:r w:rsidRPr="0BBC1B91" w:rsidR="009F3DD4">
        <w:rPr>
          <w:rFonts w:ascii="Times New Roman" w:hAnsi="Times New Roman" w:cs="Times New Roman"/>
          <w:sz w:val="24"/>
          <w:szCs w:val="24"/>
          <w:lang w:val="es-PE"/>
        </w:rPr>
        <w:t xml:space="preserve"> </w:t>
      </w:r>
      <w:r w:rsidRPr="0BBC1B91" w:rsidR="35899F8D">
        <w:rPr>
          <w:rFonts w:ascii="Times New Roman" w:hAnsi="Times New Roman" w:cs="Times New Roman"/>
          <w:sz w:val="24"/>
          <w:szCs w:val="24"/>
          <w:lang w:val="es-PE"/>
        </w:rPr>
        <w:t>.........................................</w:t>
      </w:r>
      <w:r w:rsidRPr="0BBC1B91" w:rsidR="009F3DD4">
        <w:rPr>
          <w:rFonts w:ascii="Times New Roman" w:hAnsi="Times New Roman" w:cs="Times New Roman"/>
          <w:sz w:val="24"/>
          <w:szCs w:val="24"/>
          <w:lang w:val="es-PE"/>
        </w:rPr>
        <w:t>.</w:t>
      </w:r>
    </w:p>
    <w:p w:rsidRPr="009F3DD4"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9F3DD4" w:rsidR="00C671F5" w:rsidP="005E398E" w:rsidRDefault="0091528B" w14:paraId="486C3F46" w14:textId="7C2BAD5B">
      <w:pPr>
        <w:suppressAutoHyphens/>
        <w:spacing w:after="0" w:line="240" w:lineRule="auto"/>
        <w:jc w:val="right"/>
        <w:outlineLvl w:val="0"/>
        <w:rPr>
          <w:rFonts w:ascii="Times New Roman" w:hAnsi="Times New Roman" w:eastAsia="Arial Unicode MS" w:cs="Times New Roman"/>
          <w:sz w:val="24"/>
          <w:szCs w:val="24"/>
          <w:lang w:val="es-PE" w:eastAsia="ar-SA"/>
        </w:rPr>
      </w:pPr>
      <w:r w:rsidRPr="009F3DD4">
        <w:rPr>
          <w:rFonts w:ascii="Times New Roman" w:hAnsi="Times New Roman" w:eastAsia="Arial Unicode MS" w:cs="Times New Roman"/>
          <w:sz w:val="24"/>
          <w:szCs w:val="24"/>
          <w:lang w:val="es-PE" w:eastAsia="ar-SA"/>
        </w:rPr>
        <w:t xml:space="preserve">Lima, </w:t>
      </w:r>
      <w:r w:rsidRPr="009F3DD4" w:rsidR="005B1AC5">
        <w:rPr>
          <w:rFonts w:ascii="Times New Roman" w:hAnsi="Times New Roman" w:eastAsia="Arial Unicode MS" w:cs="Times New Roman"/>
          <w:sz w:val="24"/>
          <w:szCs w:val="24"/>
          <w:lang w:val="es-PE" w:eastAsia="ar-SA"/>
        </w:rPr>
        <w:t>1</w:t>
      </w:r>
      <w:r w:rsidRPr="009F3DD4" w:rsidR="009F3DD4">
        <w:rPr>
          <w:rFonts w:ascii="Times New Roman" w:hAnsi="Times New Roman" w:eastAsia="Arial Unicode MS" w:cs="Times New Roman"/>
          <w:sz w:val="24"/>
          <w:szCs w:val="24"/>
          <w:lang w:val="es-PE" w:eastAsia="ar-SA"/>
        </w:rPr>
        <w:t>5</w:t>
      </w:r>
      <w:r w:rsidRPr="009F3DD4" w:rsidR="00CF69DD">
        <w:rPr>
          <w:rFonts w:ascii="Times New Roman" w:hAnsi="Times New Roman" w:eastAsia="Arial Unicode MS" w:cs="Times New Roman"/>
          <w:sz w:val="24"/>
          <w:szCs w:val="24"/>
          <w:lang w:val="es-PE" w:eastAsia="ar-SA"/>
        </w:rPr>
        <w:t xml:space="preserve"> </w:t>
      </w:r>
      <w:r w:rsidRPr="009F3DD4" w:rsidR="00707C99">
        <w:rPr>
          <w:rFonts w:ascii="Times New Roman" w:hAnsi="Times New Roman" w:eastAsia="Arial Unicode MS" w:cs="Times New Roman"/>
          <w:sz w:val="24"/>
          <w:szCs w:val="24"/>
          <w:lang w:val="es-PE" w:eastAsia="ar-SA"/>
        </w:rPr>
        <w:t>de</w:t>
      </w:r>
      <w:r w:rsidRPr="009F3DD4" w:rsidR="00864B0B">
        <w:rPr>
          <w:rFonts w:ascii="Times New Roman" w:hAnsi="Times New Roman" w:eastAsia="Arial Unicode MS" w:cs="Times New Roman"/>
          <w:sz w:val="24"/>
          <w:szCs w:val="24"/>
          <w:lang w:val="es-PE" w:eastAsia="ar-SA"/>
        </w:rPr>
        <w:t xml:space="preserve"> </w:t>
      </w:r>
      <w:r w:rsidRPr="009F3DD4" w:rsidR="009F3DD4">
        <w:rPr>
          <w:rFonts w:ascii="Times New Roman" w:hAnsi="Times New Roman" w:eastAsia="Arial Unicode MS" w:cs="Times New Roman"/>
          <w:sz w:val="24"/>
          <w:szCs w:val="24"/>
          <w:lang w:val="es-PE" w:eastAsia="ar-SA"/>
        </w:rPr>
        <w:t>septiembre</w:t>
      </w:r>
      <w:r w:rsidRPr="009F3DD4" w:rsidR="00F06498">
        <w:rPr>
          <w:rFonts w:ascii="Times New Roman" w:hAnsi="Times New Roman" w:eastAsia="Arial Unicode MS" w:cs="Times New Roman"/>
          <w:sz w:val="24"/>
          <w:szCs w:val="24"/>
          <w:lang w:val="es-PE" w:eastAsia="ar-SA"/>
        </w:rPr>
        <w:t xml:space="preserve"> de 202</w:t>
      </w:r>
      <w:r w:rsidRPr="009F3DD4" w:rsidR="00231C58">
        <w:rPr>
          <w:rFonts w:ascii="Times New Roman" w:hAnsi="Times New Roman" w:eastAsia="Arial Unicode MS" w:cs="Times New Roman"/>
          <w:sz w:val="24"/>
          <w:szCs w:val="24"/>
          <w:lang w:val="es-PE" w:eastAsia="ar-SA"/>
        </w:rPr>
        <w:t>1</w:t>
      </w:r>
      <w:r w:rsidRPr="009F3DD4" w:rsidR="00707C99">
        <w:rPr>
          <w:rFonts w:ascii="Times New Roman" w:hAnsi="Times New Roman" w:eastAsia="Times New Roman" w:cs="Times New Roman"/>
          <w:sz w:val="24"/>
          <w:szCs w:val="24"/>
          <w:lang w:val="es-PE" w:eastAsia="ar-SA"/>
        </w:rPr>
        <w:t xml:space="preserve"> </w:t>
      </w:r>
    </w:p>
    <w:p w:rsidRPr="009F3DD4"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9F3DD4"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9F3DD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9F3DD4" w:rsidR="00C671F5" w:rsidP="004A374A" w:rsidRDefault="00C671F5" w14:paraId="3408E6CE" w14:textId="34A8A6C1">
      <w:pPr>
        <w:spacing w:after="0" w:line="240" w:lineRule="auto"/>
        <w:jc w:val="both"/>
        <w:rPr>
          <w:rFonts w:ascii="Times New Roman" w:hAnsi="Times New Roman" w:cs="Times New Roman"/>
          <w:b/>
          <w:bCs/>
          <w:i/>
          <w:iCs/>
          <w:sz w:val="24"/>
          <w:szCs w:val="24"/>
          <w:lang w:val="es-PE"/>
        </w:rPr>
      </w:pPr>
    </w:p>
    <w:p w:rsidRPr="009F3DD4" w:rsidR="009F3DD4" w:rsidP="009F3DD4" w:rsidRDefault="009F3DD4" w14:paraId="451211B4" w14:textId="7C22B670">
      <w:pPr>
        <w:spacing w:after="0" w:line="360" w:lineRule="auto"/>
        <w:jc w:val="center"/>
        <w:rPr>
          <w:rFonts w:ascii="Times New Roman" w:hAnsi="Times New Roman" w:cs="Times New Roman"/>
          <w:b/>
          <w:bCs/>
          <w:sz w:val="24"/>
          <w:szCs w:val="24"/>
          <w:lang w:val="es-PE"/>
        </w:rPr>
      </w:pPr>
      <w:r w:rsidRPr="009F3DD4">
        <w:rPr>
          <w:rFonts w:ascii="Times New Roman" w:hAnsi="Times New Roman" w:cs="Times New Roman"/>
          <w:b/>
          <w:bCs/>
          <w:sz w:val="24"/>
          <w:szCs w:val="24"/>
          <w:lang w:val="es-PE"/>
        </w:rPr>
        <w:t xml:space="preserve">Rolando Eyzaguirre </w:t>
      </w:r>
      <w:proofErr w:type="spellStart"/>
      <w:r w:rsidRPr="009F3DD4">
        <w:rPr>
          <w:rFonts w:ascii="Times New Roman" w:hAnsi="Times New Roman" w:cs="Times New Roman"/>
          <w:b/>
          <w:bCs/>
          <w:sz w:val="24"/>
          <w:szCs w:val="24"/>
          <w:lang w:val="es-PE"/>
        </w:rPr>
        <w:t>Maccan</w:t>
      </w:r>
      <w:proofErr w:type="spellEnd"/>
      <w:r w:rsidRPr="009F3DD4">
        <w:rPr>
          <w:rFonts w:ascii="Times New Roman" w:hAnsi="Times New Roman" w:cs="Times New Roman"/>
          <w:b/>
          <w:bCs/>
          <w:sz w:val="24"/>
          <w:szCs w:val="24"/>
          <w:lang w:val="es-PE"/>
        </w:rPr>
        <w:t xml:space="preserve"> – </w:t>
      </w:r>
      <w:proofErr w:type="gramStart"/>
      <w:r w:rsidRPr="009F3DD4">
        <w:rPr>
          <w:rFonts w:ascii="Times New Roman" w:hAnsi="Times New Roman" w:cs="Times New Roman"/>
          <w:b/>
          <w:bCs/>
          <w:sz w:val="24"/>
          <w:szCs w:val="24"/>
          <w:lang w:val="es-PE"/>
        </w:rPr>
        <w:t>Presidente</w:t>
      </w:r>
      <w:proofErr w:type="gramEnd"/>
    </w:p>
    <w:p w:rsidRPr="009F3DD4" w:rsidR="0032345B" w:rsidP="004A374A" w:rsidRDefault="0032345B" w14:paraId="033E3E13" w14:textId="0AB92EBA">
      <w:pPr>
        <w:spacing w:after="0" w:line="360" w:lineRule="auto"/>
        <w:jc w:val="center"/>
        <w:rPr>
          <w:rFonts w:ascii="Times New Roman" w:hAnsi="Times New Roman" w:cs="Times New Roman"/>
          <w:b/>
          <w:bCs/>
          <w:sz w:val="24"/>
          <w:szCs w:val="24"/>
          <w:lang w:val="es-PE"/>
        </w:rPr>
      </w:pPr>
      <w:r w:rsidRPr="009F3DD4">
        <w:rPr>
          <w:rFonts w:ascii="Times New Roman" w:hAnsi="Times New Roman" w:cs="Times New Roman"/>
          <w:b/>
          <w:bCs/>
          <w:sz w:val="24"/>
          <w:szCs w:val="24"/>
          <w:lang w:val="es-PE"/>
        </w:rPr>
        <w:t>María Eugenia Valdez Fernández Baca– Vocal</w:t>
      </w:r>
    </w:p>
    <w:p w:rsidRPr="009F3DD4" w:rsidR="009F3DD4" w:rsidP="009F3DD4" w:rsidRDefault="009F3DD4" w14:paraId="7D425A6D" w14:textId="6D9D2A80">
      <w:pPr>
        <w:spacing w:after="0" w:line="360" w:lineRule="auto"/>
        <w:jc w:val="center"/>
        <w:rPr>
          <w:rFonts w:ascii="Times New Roman" w:hAnsi="Times New Roman" w:cs="Times New Roman"/>
          <w:sz w:val="24"/>
          <w:szCs w:val="24"/>
          <w:lang w:val="es-PE"/>
        </w:rPr>
      </w:pPr>
      <w:r w:rsidRPr="009F3DD4">
        <w:rPr>
          <w:rFonts w:ascii="Times New Roman" w:hAnsi="Times New Roman" w:cs="Times New Roman"/>
          <w:b/>
          <w:bCs/>
          <w:sz w:val="24"/>
          <w:szCs w:val="24"/>
          <w:lang w:val="es-PE"/>
        </w:rPr>
        <w:t>Marco Antonio Ortega Piana – Vocal</w:t>
      </w:r>
    </w:p>
    <w:p w:rsidRPr="009F3DD4"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9F3DD4">
        <w:rPr>
          <w:rFonts w:ascii="Times New Roman" w:hAnsi="Times New Roman" w:cs="Times New Roman"/>
          <w:b/>
          <w:bCs/>
          <w:sz w:val="24"/>
          <w:szCs w:val="24"/>
          <w:lang w:val="es-PE"/>
        </w:rPr>
        <w:t xml:space="preserve">Gonzalo Abad del Busto </w:t>
      </w:r>
      <w:r w:rsidRPr="009F3DD4" w:rsidR="00231C58">
        <w:rPr>
          <w:rFonts w:ascii="Times New Roman" w:hAnsi="Times New Roman" w:cs="Times New Roman"/>
          <w:b/>
          <w:bCs/>
          <w:sz w:val="24"/>
          <w:szCs w:val="24"/>
          <w:lang w:val="es-PE"/>
        </w:rPr>
        <w:t xml:space="preserve">– </w:t>
      </w:r>
      <w:r w:rsidRPr="009F3DD4">
        <w:rPr>
          <w:rFonts w:ascii="Times New Roman" w:hAnsi="Times New Roman" w:cs="Times New Roman"/>
          <w:b/>
          <w:bCs/>
          <w:sz w:val="24"/>
          <w:szCs w:val="24"/>
          <w:lang w:val="es-PE"/>
        </w:rPr>
        <w:t>Vocal</w:t>
      </w:r>
    </w:p>
    <w:p w:rsidRPr="009F3DD4"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32345B"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32345B" w:rsidR="00C671F5" w:rsidSect="00077B6F">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80E45" w:rsidP="00784355" w:rsidRDefault="00080E45" w14:paraId="268AF466" w14:textId="77777777">
      <w:pPr>
        <w:spacing w:after="0" w:line="240" w:lineRule="auto"/>
      </w:pPr>
      <w:r>
        <w:separator/>
      </w:r>
    </w:p>
  </w:endnote>
  <w:endnote w:type="continuationSeparator" w:id="0">
    <w:p w:rsidR="00080E45" w:rsidP="00784355" w:rsidRDefault="00080E45" w14:paraId="0663745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80E45" w:rsidP="00784355" w:rsidRDefault="00080E45" w14:paraId="164C6052" w14:textId="77777777">
      <w:pPr>
        <w:spacing w:after="0" w:line="240" w:lineRule="auto"/>
      </w:pPr>
      <w:r>
        <w:separator/>
      </w:r>
    </w:p>
  </w:footnote>
  <w:footnote w:type="continuationSeparator" w:id="0">
    <w:p w:rsidR="00080E45" w:rsidP="00784355" w:rsidRDefault="00080E45" w14:paraId="2D09317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4B0E"/>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BBC1B91"/>
    <w:rsid w:val="1020DD85"/>
    <w:rsid w:val="24BA8190"/>
    <w:rsid w:val="35899F8D"/>
    <w:rsid w:val="51897B0B"/>
    <w:rsid w:val="64D5F11B"/>
    <w:rsid w:val="680E3FB7"/>
    <w:rsid w:val="73A66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efaseg.com.pe/reglamento-de-defaseg/"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E7ECFF7-00C4-4BCA-A594-850F07ED94A6}"/>
</file>

<file path=customXml/itemProps3.xml><?xml version="1.0" encoding="utf-8"?>
<ds:datastoreItem xmlns:ds="http://schemas.openxmlformats.org/officeDocument/2006/customXml" ds:itemID="{A98E5D74-DFD5-4A2F-90A4-EE853A2FF43F}"/>
</file>

<file path=customXml/itemProps4.xml><?xml version="1.0" encoding="utf-8"?>
<ds:datastoreItem xmlns:ds="http://schemas.openxmlformats.org/officeDocument/2006/customXml" ds:itemID="{BC01C157-912C-49ED-BB44-DDBBFA842E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72</cp:revision>
  <cp:lastPrinted>2021-09-16T13:46:00Z</cp:lastPrinted>
  <dcterms:created xsi:type="dcterms:W3CDTF">2020-12-18T20:17:00Z</dcterms:created>
  <dcterms:modified xsi:type="dcterms:W3CDTF">2026-02-04T19:17:49Z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