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Pr="00C1601D" w:rsidR="00EF0B7F" w:rsidP="00EF0B7F" w:rsidRDefault="00201C0D" w14:paraId="632C635A" w14:textId="6ECB0075">
      <w:pPr>
        <w:pStyle w:val="Ttulo2"/>
        <w:jc w:val="center"/>
        <w:rPr>
          <w:rFonts w:ascii="Times New Roman" w:hAnsi="Times New Roman" w:cs="Times New Roman"/>
          <w:b/>
          <w:bCs/>
          <w:color w:val="auto"/>
          <w:sz w:val="24"/>
          <w:szCs w:val="24"/>
          <w:lang w:val="es-PE" w:eastAsia="ar-SA"/>
        </w:rPr>
      </w:pPr>
      <w:r w:rsidRPr="00C1601D">
        <w:rPr>
          <w:rFonts w:ascii="Times New Roman" w:hAnsi="Times New Roman" w:cs="Times New Roman"/>
          <w:b/>
          <w:bCs/>
          <w:color w:val="auto"/>
          <w:sz w:val="24"/>
          <w:szCs w:val="24"/>
          <w:lang w:val="es-PE" w:eastAsia="ar-SA"/>
        </w:rPr>
        <w:t xml:space="preserve">RESOLUCIÓN DE RECURSO IMPUGNATIVO </w:t>
      </w:r>
      <w:proofErr w:type="spellStart"/>
      <w:r w:rsidRPr="00C1601D" w:rsidR="00707C99">
        <w:rPr>
          <w:rFonts w:ascii="Times New Roman" w:hAnsi="Times New Roman" w:cs="Times New Roman"/>
          <w:b/>
          <w:bCs/>
          <w:color w:val="auto"/>
          <w:sz w:val="24"/>
          <w:szCs w:val="24"/>
          <w:lang w:val="es-PE" w:eastAsia="ar-SA"/>
        </w:rPr>
        <w:t>N°</w:t>
      </w:r>
      <w:proofErr w:type="spellEnd"/>
      <w:r w:rsidRPr="00C1601D" w:rsidR="00707C99">
        <w:rPr>
          <w:rFonts w:ascii="Times New Roman" w:hAnsi="Times New Roman" w:cs="Times New Roman"/>
          <w:b/>
          <w:bCs/>
          <w:color w:val="auto"/>
          <w:sz w:val="24"/>
          <w:szCs w:val="24"/>
          <w:lang w:val="es-PE" w:eastAsia="ar-SA"/>
        </w:rPr>
        <w:t xml:space="preserve"> </w:t>
      </w:r>
      <w:r w:rsidRPr="00C1601D" w:rsidR="00C671F5">
        <w:rPr>
          <w:rFonts w:ascii="Times New Roman" w:hAnsi="Times New Roman" w:cs="Times New Roman"/>
          <w:b/>
          <w:bCs/>
          <w:color w:val="auto"/>
          <w:sz w:val="24"/>
          <w:szCs w:val="24"/>
          <w:lang w:val="es-PE" w:eastAsia="ar-SA"/>
        </w:rPr>
        <w:t>0</w:t>
      </w:r>
      <w:r w:rsidRPr="00C1601D" w:rsidR="00DD21B2">
        <w:rPr>
          <w:rFonts w:ascii="Times New Roman" w:hAnsi="Times New Roman" w:cs="Times New Roman"/>
          <w:b/>
          <w:bCs/>
          <w:color w:val="auto"/>
          <w:sz w:val="24"/>
          <w:szCs w:val="24"/>
          <w:lang w:val="es-PE" w:eastAsia="ar-SA"/>
        </w:rPr>
        <w:t>5</w:t>
      </w:r>
      <w:r w:rsidRPr="00C1601D" w:rsidR="00C1601D">
        <w:rPr>
          <w:rFonts w:ascii="Times New Roman" w:hAnsi="Times New Roman" w:cs="Times New Roman"/>
          <w:b/>
          <w:bCs/>
          <w:color w:val="auto"/>
          <w:sz w:val="24"/>
          <w:szCs w:val="24"/>
          <w:lang w:val="es-PE" w:eastAsia="ar-SA"/>
        </w:rPr>
        <w:t>1</w:t>
      </w:r>
      <w:r w:rsidRPr="00C1601D" w:rsidR="00517CFF">
        <w:rPr>
          <w:rFonts w:ascii="Times New Roman" w:hAnsi="Times New Roman" w:cs="Times New Roman"/>
          <w:b/>
          <w:bCs/>
          <w:color w:val="auto"/>
          <w:sz w:val="24"/>
          <w:szCs w:val="24"/>
          <w:lang w:val="es-PE" w:eastAsia="ar-SA"/>
        </w:rPr>
        <w:t>/</w:t>
      </w:r>
      <w:r w:rsidRPr="00C1601D" w:rsidR="00C671F5">
        <w:rPr>
          <w:rFonts w:ascii="Times New Roman" w:hAnsi="Times New Roman" w:cs="Times New Roman"/>
          <w:b/>
          <w:bCs/>
          <w:color w:val="auto"/>
          <w:sz w:val="24"/>
          <w:szCs w:val="24"/>
          <w:lang w:val="es-PE" w:eastAsia="ar-SA"/>
        </w:rPr>
        <w:t>2</w:t>
      </w:r>
      <w:r w:rsidRPr="00C1601D" w:rsidR="00231C58">
        <w:rPr>
          <w:rFonts w:ascii="Times New Roman" w:hAnsi="Times New Roman" w:cs="Times New Roman"/>
          <w:b/>
          <w:bCs/>
          <w:color w:val="auto"/>
          <w:sz w:val="24"/>
          <w:szCs w:val="24"/>
          <w:lang w:val="es-PE" w:eastAsia="ar-SA"/>
        </w:rPr>
        <w:t>1</w:t>
      </w:r>
    </w:p>
    <w:p w:rsidRPr="00C1601D" w:rsidR="00AA2A1F" w:rsidP="00AA2A1F" w:rsidRDefault="00AA2A1F" w14:paraId="0AD814ED" w14:textId="77777777">
      <w:pPr>
        <w:spacing w:after="0" w:line="240" w:lineRule="auto"/>
        <w:rPr>
          <w:rFonts w:ascii="Times New Roman" w:hAnsi="Times New Roman" w:cs="Times New Roman"/>
          <w:sz w:val="24"/>
          <w:szCs w:val="24"/>
          <w:lang w:val="es-PE"/>
        </w:rPr>
      </w:pPr>
    </w:p>
    <w:p w:rsidRPr="00C1601D" w:rsidR="00C1601D" w:rsidP="00C1601D" w:rsidRDefault="00C1601D" w14:paraId="2D537352" w14:textId="567D556A">
      <w:pPr>
        <w:jc w:val="both"/>
        <w:outlineLvl w:val="0"/>
        <w:rPr>
          <w:rFonts w:ascii="Times New Roman" w:hAnsi="Times New Roman" w:cs="Times New Roman"/>
          <w:b/>
          <w:bCs/>
          <w:sz w:val="24"/>
          <w:szCs w:val="24"/>
          <w:lang w:val="es-MX"/>
        </w:rPr>
      </w:pPr>
      <w:r w:rsidRPr="00C1601D">
        <w:rPr>
          <w:rFonts w:ascii="Times New Roman" w:hAnsi="Times New Roman" w:cs="Times New Roman"/>
          <w:b/>
          <w:bCs/>
          <w:sz w:val="24"/>
          <w:szCs w:val="24"/>
          <w:lang w:val="es-MX"/>
        </w:rPr>
        <w:t>VISTOS:</w:t>
      </w:r>
    </w:p>
    <w:p w:rsidRPr="00C1601D" w:rsidR="00C1601D" w:rsidP="00C1601D" w:rsidRDefault="00C1601D" w14:paraId="29B7A445" w14:textId="2F384440">
      <w:pPr>
        <w:pStyle w:val="Default"/>
        <w:jc w:val="both"/>
        <w:rPr>
          <w:rFonts w:ascii="Times New Roman" w:hAnsi="Times New Roman" w:cs="Times New Roman"/>
        </w:rPr>
      </w:pPr>
      <w:r w:rsidRPr="11D8FBFA" w:rsidR="00C1601D">
        <w:rPr>
          <w:rFonts w:ascii="Times New Roman" w:hAnsi="Times New Roman" w:cs="Times New Roman"/>
        </w:rPr>
        <w:t xml:space="preserve">El recurso de impugnación de fecha 9 de agosto de 2021, presentado por </w:t>
      </w:r>
      <w:r w:rsidRPr="11D8FBFA" w:rsidR="0347D264">
        <w:rPr>
          <w:rFonts w:ascii="Times New Roman" w:hAnsi="Times New Roman" w:cs="Times New Roman"/>
          <w:b w:val="1"/>
          <w:bCs w:val="1"/>
        </w:rPr>
        <w:t>...................................</w:t>
      </w:r>
      <w:r w:rsidRPr="11D8FBFA" w:rsidR="00C1601D">
        <w:rPr>
          <w:rFonts w:ascii="Times New Roman" w:hAnsi="Times New Roman" w:cs="Times New Roman"/>
          <w:b w:val="1"/>
          <w:bCs w:val="1"/>
        </w:rPr>
        <w:t xml:space="preserve"> </w:t>
      </w:r>
      <w:r w:rsidRPr="11D8FBFA" w:rsidR="00C1601D">
        <w:rPr>
          <w:rFonts w:ascii="Times New Roman" w:hAnsi="Times New Roman" w:cs="Times New Roman"/>
        </w:rPr>
        <w:t xml:space="preserve">respecto de la Resolución Nro. 099/21, expedida por esta Defensoría del Asegurado y, conforme a la cual se declaró FUNDADA EN PARTE la reclamación interpuesta contra </w:t>
      </w:r>
      <w:r w:rsidRPr="11D8FBFA" w:rsidR="4FAEA4CA">
        <w:rPr>
          <w:rFonts w:ascii="Times New Roman" w:hAnsi="Times New Roman" w:cs="Times New Roman"/>
          <w:b w:val="1"/>
          <w:bCs w:val="1"/>
          <w:lang w:val="es-MX"/>
        </w:rPr>
        <w:t>...................................</w:t>
      </w:r>
      <w:r w:rsidRPr="11D8FBFA" w:rsidR="00C1601D">
        <w:rPr>
          <w:rFonts w:ascii="Times New Roman" w:hAnsi="Times New Roman" w:cs="Times New Roman"/>
        </w:rPr>
        <w:t xml:space="preserve">, </w:t>
      </w:r>
      <w:r w:rsidRPr="11D8FBFA" w:rsidR="00C1601D">
        <w:rPr>
          <w:rFonts w:ascii="Times New Roman" w:hAnsi="Times New Roman" w:cs="Times New Roman"/>
        </w:rPr>
        <w:t>en relación al</w:t>
      </w:r>
      <w:r w:rsidRPr="11D8FBFA" w:rsidR="00C1601D">
        <w:rPr>
          <w:rFonts w:ascii="Times New Roman" w:hAnsi="Times New Roman" w:cs="Times New Roman"/>
        </w:rPr>
        <w:t xml:space="preserve"> </w:t>
      </w:r>
      <w:r w:rsidRPr="11D8FBFA" w:rsidR="00C1601D">
        <w:rPr>
          <w:rFonts w:ascii="Times New Roman" w:hAnsi="Times New Roman" w:cs="Times New Roman"/>
          <w:b w:val="1"/>
          <w:bCs w:val="1"/>
        </w:rPr>
        <w:t xml:space="preserve">SEGURO DE SALUD RED PREFERENTE - PÓLIZA No </w:t>
      </w:r>
      <w:r w:rsidRPr="11D8FBFA" w:rsidR="0E2F43BE">
        <w:rPr>
          <w:rFonts w:ascii="Times New Roman" w:hAnsi="Times New Roman" w:cs="Times New Roman"/>
          <w:b w:val="1"/>
          <w:bCs w:val="1"/>
        </w:rPr>
        <w:t>...................................</w:t>
      </w:r>
      <w:r w:rsidRPr="11D8FBFA" w:rsidR="00C1601D">
        <w:rPr>
          <w:rFonts w:ascii="Times New Roman" w:hAnsi="Times New Roman" w:cs="Times New Roman"/>
        </w:rPr>
        <w:t>;</w:t>
      </w:r>
    </w:p>
    <w:p w:rsidRPr="00C1601D" w:rsidR="00C1601D" w:rsidP="00C1601D" w:rsidRDefault="00C1601D" w14:paraId="0525C31C" w14:textId="77777777">
      <w:pPr>
        <w:pStyle w:val="Default"/>
        <w:jc w:val="both"/>
        <w:rPr>
          <w:rFonts w:ascii="Times New Roman" w:hAnsi="Times New Roman" w:cs="Times New Roman"/>
        </w:rPr>
      </w:pPr>
    </w:p>
    <w:p w:rsidRPr="00C1601D" w:rsidR="00C1601D" w:rsidP="00C1601D" w:rsidRDefault="00C1601D" w14:paraId="14BACD0F" w14:textId="13FB0A01">
      <w:pPr>
        <w:pStyle w:val="Textoindependiente"/>
      </w:pPr>
      <w:r w:rsidR="00C1601D">
        <w:rPr/>
        <w:t>Que, el indicado recurso se sustenta resumidamente en lo siguiente: (1) la resolución apelada vulnera el debido proceso ya que hace una interpretación errada de los hechos acreditados en el expediente, llegando a una conclusión ilógica; (2) asume</w:t>
      </w:r>
      <w:r w:rsidRPr="11D8FBFA" w:rsidR="00C1601D">
        <w:rPr>
          <w:color w:val="000000" w:themeColor="text1" w:themeTint="FF" w:themeShade="FF"/>
          <w:lang w:val="es-PE" w:eastAsia="es-PE"/>
        </w:rPr>
        <w:t xml:space="preserve"> sin mayor análisis que al haberse diagnosticado al paciente Neumonía Grave por </w:t>
      </w:r>
      <w:r w:rsidRPr="11D8FBFA" w:rsidR="00C1601D">
        <w:rPr>
          <w:color w:val="000000" w:themeColor="text1" w:themeTint="FF" w:themeShade="FF"/>
          <w:lang w:val="es-PE" w:eastAsia="es-PE"/>
        </w:rPr>
        <w:t>Pneumocystis</w:t>
      </w:r>
      <w:r w:rsidRPr="11D8FBFA" w:rsidR="00C1601D">
        <w:rPr>
          <w:color w:val="000000" w:themeColor="text1" w:themeTint="FF" w:themeShade="FF"/>
          <w:lang w:val="es-PE" w:eastAsia="es-PE"/>
        </w:rPr>
        <w:t xml:space="preserve"> </w:t>
      </w:r>
      <w:r w:rsidRPr="11D8FBFA" w:rsidR="00C1601D">
        <w:rPr>
          <w:color w:val="000000" w:themeColor="text1" w:themeTint="FF" w:themeShade="FF"/>
          <w:lang w:val="es-PE" w:eastAsia="es-PE"/>
        </w:rPr>
        <w:t>Jiroveci</w:t>
      </w:r>
      <w:r w:rsidRPr="11D8FBFA" w:rsidR="00C1601D">
        <w:rPr>
          <w:color w:val="000000" w:themeColor="text1" w:themeTint="FF" w:themeShade="FF"/>
          <w:lang w:val="es-PE" w:eastAsia="es-PE"/>
        </w:rPr>
        <w:t xml:space="preserve"> (26 de noviembre de 2020) la causa de dicha hospitalización es resultante de la enfermedad por VIH, lo que queda corroborado con la Epicrisis del egreso del paciente; (3) asume erradamente que la Neumonía Grave por </w:t>
      </w:r>
      <w:r w:rsidRPr="11D8FBFA" w:rsidR="00C1601D">
        <w:rPr>
          <w:color w:val="000000" w:themeColor="text1" w:themeTint="FF" w:themeShade="FF"/>
          <w:lang w:val="es-PE" w:eastAsia="es-PE"/>
        </w:rPr>
        <w:t>Pneumocystis</w:t>
      </w:r>
      <w:r w:rsidRPr="11D8FBFA" w:rsidR="00C1601D">
        <w:rPr>
          <w:color w:val="000000" w:themeColor="text1" w:themeTint="FF" w:themeShade="FF"/>
          <w:lang w:val="es-PE" w:eastAsia="es-PE"/>
        </w:rPr>
        <w:t xml:space="preserve"> </w:t>
      </w:r>
      <w:r w:rsidRPr="11D8FBFA" w:rsidR="00C1601D">
        <w:rPr>
          <w:color w:val="000000" w:themeColor="text1" w:themeTint="FF" w:themeShade="FF"/>
          <w:lang w:val="es-PE" w:eastAsia="es-PE"/>
        </w:rPr>
        <w:t>Jiroveci</w:t>
      </w:r>
      <w:r w:rsidRPr="11D8FBFA" w:rsidR="00C1601D">
        <w:rPr>
          <w:color w:val="000000" w:themeColor="text1" w:themeTint="FF" w:themeShade="FF"/>
          <w:lang w:val="es-PE" w:eastAsia="es-PE"/>
        </w:rPr>
        <w:t xml:space="preserve"> es excluyente de cualquier otra causa que no sea resultante de la enfermedad por VIH; (4) el error consiste en suponer que la única causa de Neumonía Grave por </w:t>
      </w:r>
      <w:r w:rsidRPr="11D8FBFA" w:rsidR="00C1601D">
        <w:rPr>
          <w:color w:val="000000" w:themeColor="text1" w:themeTint="FF" w:themeShade="FF"/>
          <w:lang w:val="es-PE" w:eastAsia="es-PE"/>
        </w:rPr>
        <w:t>Pneumocystis</w:t>
      </w:r>
      <w:r w:rsidRPr="11D8FBFA" w:rsidR="00C1601D">
        <w:rPr>
          <w:color w:val="000000" w:themeColor="text1" w:themeTint="FF" w:themeShade="FF"/>
          <w:lang w:val="es-PE" w:eastAsia="es-PE"/>
        </w:rPr>
        <w:t xml:space="preserve"> </w:t>
      </w:r>
      <w:r w:rsidRPr="11D8FBFA" w:rsidR="00C1601D">
        <w:rPr>
          <w:color w:val="000000" w:themeColor="text1" w:themeTint="FF" w:themeShade="FF"/>
          <w:lang w:val="es-PE" w:eastAsia="es-PE"/>
        </w:rPr>
        <w:t>Jiroveci</w:t>
      </w:r>
      <w:r w:rsidRPr="11D8FBFA" w:rsidR="00C1601D">
        <w:rPr>
          <w:color w:val="000000" w:themeColor="text1" w:themeTint="FF" w:themeShade="FF"/>
          <w:lang w:val="es-PE" w:eastAsia="es-PE"/>
        </w:rPr>
        <w:t xml:space="preserve"> es la enfermedad por VIH y no SARS-CoV-2; ello debido a que ninguno de sus miembros tiene formación o especialización en salud; (5) existen diversos artículos relacionados con la </w:t>
      </w:r>
      <w:r w:rsidRPr="11D8FBFA" w:rsidR="00C1601D">
        <w:rPr>
          <w:color w:val="000000" w:themeColor="text1" w:themeTint="FF" w:themeShade="FF"/>
          <w:lang w:val="es-PE" w:eastAsia="es-PE"/>
        </w:rPr>
        <w:t xml:space="preserve">coinfección que se presenta entre SARS-CoV-2 (Coronavirus) y otros patógenos, como P. </w:t>
      </w:r>
      <w:r w:rsidRPr="11D8FBFA" w:rsidR="00C1601D">
        <w:rPr>
          <w:color w:val="000000" w:themeColor="text1" w:themeTint="FF" w:themeShade="FF"/>
          <w:lang w:val="es-PE" w:eastAsia="es-PE"/>
        </w:rPr>
        <w:t>jirovecii</w:t>
      </w:r>
      <w:r w:rsidRPr="11D8FBFA" w:rsidR="00C1601D">
        <w:rPr>
          <w:color w:val="000000" w:themeColor="text1" w:themeTint="FF" w:themeShade="FF"/>
          <w:lang w:val="es-PE" w:eastAsia="es-PE"/>
        </w:rPr>
        <w:t xml:space="preserve">, allí argumentan que la infección por SARS-CoV-2 condujo posiblemente a un estado de inmunosupresión basado en que los casos no presentaban inmunodeficiencia, comorbilidades o factores de riesgo asociados a la condición de neumonía por P. </w:t>
      </w:r>
      <w:r w:rsidRPr="11D8FBFA" w:rsidR="00C1601D">
        <w:rPr>
          <w:color w:val="000000" w:themeColor="text1" w:themeTint="FF" w:themeShade="FF"/>
          <w:lang w:val="es-PE" w:eastAsia="es-PE"/>
        </w:rPr>
        <w:t>jirovecii</w:t>
      </w:r>
      <w:r w:rsidRPr="11D8FBFA" w:rsidR="00C1601D">
        <w:rPr>
          <w:color w:val="000000" w:themeColor="text1" w:themeTint="FF" w:themeShade="FF"/>
          <w:lang w:val="es-PE" w:eastAsia="es-PE"/>
        </w:rPr>
        <w:t>; (6) diversos especialistas</w:t>
      </w:r>
      <w:r w:rsidR="00C1601D">
        <w:rPr/>
        <w:t xml:space="preserve">  recomiendan que es necesario realizar pruebas diagnósticas adicionales para P. </w:t>
      </w:r>
      <w:r w:rsidR="00C1601D">
        <w:rPr/>
        <w:t>jirovecii</w:t>
      </w:r>
      <w:r w:rsidR="00C1601D">
        <w:rPr/>
        <w:t xml:space="preserve"> en pacientes con infección por SARS-CoV-2, especialmente cuando se presenten otras características clínicas que pueden apoyar la coinfección, como hallazgos quísticos en la TC torácica y niveles elevados en sangre de 1,3-D-glucano, incluso en ausencia de factores de riesgo; (7) también </w:t>
      </w:r>
      <w:r w:rsidRPr="11D8FBFA" w:rsidR="00C1601D">
        <w:rPr>
          <w:color w:val="000000" w:themeColor="text1" w:themeTint="FF" w:themeShade="FF"/>
          <w:lang w:val="es-PE" w:eastAsia="es-PE"/>
        </w:rPr>
        <w:t xml:space="preserve">sin mayor análisis en la resolución se excluye otras causas de Neumonía Grave por </w:t>
      </w:r>
      <w:r w:rsidRPr="11D8FBFA" w:rsidR="00C1601D">
        <w:rPr>
          <w:color w:val="000000" w:themeColor="text1" w:themeTint="FF" w:themeShade="FF"/>
          <w:lang w:val="es-PE" w:eastAsia="es-PE"/>
        </w:rPr>
        <w:t>Pneumocystis</w:t>
      </w:r>
      <w:r w:rsidRPr="11D8FBFA" w:rsidR="00C1601D">
        <w:rPr>
          <w:color w:val="000000" w:themeColor="text1" w:themeTint="FF" w:themeShade="FF"/>
          <w:lang w:val="es-PE" w:eastAsia="es-PE"/>
        </w:rPr>
        <w:t xml:space="preserve"> </w:t>
      </w:r>
      <w:r w:rsidRPr="11D8FBFA" w:rsidR="00C1601D">
        <w:rPr>
          <w:color w:val="000000" w:themeColor="text1" w:themeTint="FF" w:themeShade="FF"/>
          <w:lang w:val="es-PE" w:eastAsia="es-PE"/>
        </w:rPr>
        <w:t>Jiroveci</w:t>
      </w:r>
      <w:r w:rsidRPr="11D8FBFA" w:rsidR="00C1601D">
        <w:rPr>
          <w:color w:val="000000" w:themeColor="text1" w:themeTint="FF" w:themeShade="FF"/>
          <w:lang w:val="es-PE" w:eastAsia="es-PE"/>
        </w:rPr>
        <w:t xml:space="preserve"> como es el caso de pacientes con cánceres hematológicos y pacientes que toman corticosteroides u otros fármacos inmunosupresores y que están en riesgo de desarrollar neumonía por P. </w:t>
      </w:r>
      <w:r w:rsidRPr="11D8FBFA" w:rsidR="00C1601D">
        <w:rPr>
          <w:color w:val="000000" w:themeColor="text1" w:themeTint="FF" w:themeShade="FF"/>
          <w:lang w:val="es-PE" w:eastAsia="es-PE"/>
        </w:rPr>
        <w:t>jirovecii</w:t>
      </w:r>
      <w:r w:rsidRPr="11D8FBFA" w:rsidR="00C1601D">
        <w:rPr>
          <w:color w:val="000000" w:themeColor="text1" w:themeTint="FF" w:themeShade="FF"/>
          <w:lang w:val="es-PE" w:eastAsia="es-PE"/>
        </w:rPr>
        <w:t xml:space="preserve">; (8) se </w:t>
      </w:r>
      <w:r w:rsidRPr="11D8FBFA" w:rsidR="00C1601D">
        <w:rPr>
          <w:color w:val="000000" w:themeColor="text1" w:themeTint="FF" w:themeShade="FF"/>
          <w:lang w:val="es-PE" w:eastAsia="es-PE"/>
        </w:rPr>
        <w:t xml:space="preserve">ha omitido también pronunciarse en sobre la relación causa-efecto existe entre la administración de corticoides por la infección por SARS-CoV-2 y que bien pudo ser la causa de la Neumonía Grave por </w:t>
      </w:r>
      <w:r w:rsidRPr="11D8FBFA" w:rsidR="00C1601D">
        <w:rPr>
          <w:color w:val="000000" w:themeColor="text1" w:themeTint="FF" w:themeShade="FF"/>
          <w:lang w:val="es-PE" w:eastAsia="es-PE"/>
        </w:rPr>
        <w:t>Pneumocystis</w:t>
      </w:r>
      <w:r w:rsidRPr="11D8FBFA" w:rsidR="00C1601D">
        <w:rPr>
          <w:color w:val="000000" w:themeColor="text1" w:themeTint="FF" w:themeShade="FF"/>
          <w:lang w:val="es-PE" w:eastAsia="es-PE"/>
        </w:rPr>
        <w:t xml:space="preserve"> </w:t>
      </w:r>
      <w:r w:rsidRPr="11D8FBFA" w:rsidR="00C1601D">
        <w:rPr>
          <w:color w:val="000000" w:themeColor="text1" w:themeTint="FF" w:themeShade="FF"/>
          <w:lang w:val="es-PE" w:eastAsia="es-PE"/>
        </w:rPr>
        <w:t>Jiroveci</w:t>
      </w:r>
      <w:r w:rsidRPr="11D8FBFA" w:rsidR="00C1601D">
        <w:rPr>
          <w:color w:val="000000" w:themeColor="text1" w:themeTint="FF" w:themeShade="FF"/>
          <w:lang w:val="es-PE" w:eastAsia="es-PE"/>
        </w:rPr>
        <w:t xml:space="preserve">; (9) no ha considerado que las neumonías por COVID-19 y P. </w:t>
      </w:r>
      <w:r w:rsidRPr="11D8FBFA" w:rsidR="00C1601D">
        <w:rPr>
          <w:color w:val="000000" w:themeColor="text1" w:themeTint="FF" w:themeShade="FF"/>
          <w:lang w:val="es-PE" w:eastAsia="es-PE"/>
        </w:rPr>
        <w:t>jirovecii</w:t>
      </w:r>
      <w:r w:rsidRPr="11D8FBFA" w:rsidR="00C1601D">
        <w:rPr>
          <w:color w:val="000000" w:themeColor="text1" w:themeTint="FF" w:themeShade="FF"/>
          <w:lang w:val="es-PE" w:eastAsia="es-PE"/>
        </w:rPr>
        <w:t xml:space="preserve">, comparten características clínicas como infiltrados multifocales bilaterales e hipoxemia profunda; (10) </w:t>
      </w:r>
      <w:r w:rsidR="00C1601D">
        <w:rPr/>
        <w:t xml:space="preserve">no se ha valorado lo señalado por los médicos en la Epicrisis; (11) no se ha considerado que las lesiones como la erupción vesicular generalizada, se relacionan con el COVID. Estas lesiones no han desaparecido el 26 de noviembre de 2020; (12) según la Epicrisis, se ha evidenciado la presencia en el paciente cuadro de trombosis de la subclavia izquierda, característico de </w:t>
      </w:r>
      <w:r w:rsidR="00C1601D">
        <w:rPr/>
        <w:t>Covid</w:t>
      </w:r>
      <w:r w:rsidR="00C1601D">
        <w:rPr/>
        <w:t xml:space="preserve">; (13) existe error en el detalle de la evolución y tratamiento, el paciencia ingresa a UCI por COVID el 14 de noviembre de 2020 y sale el 19 de Diciembre de 2020, no el 26 de noviembre de 2020 como erróneamente se consignó en la resolución de la Defensoría; (14) el motivo de la hospitalización del paciente </w:t>
      </w:r>
      <w:r w:rsidR="072616AE">
        <w:rPr/>
        <w:t>...................................</w:t>
      </w:r>
      <w:r w:rsidR="00C1601D">
        <w:rPr/>
        <w:t xml:space="preserve"> después del 26 de noviembre de 2020 no está relacionada exclusivamente a la enfermedad expresamente excluida de cobertura, ya que existe evidencia científica, que el SARS-CoV-2 también provoca enfermedades como la Neumonía Grave por </w:t>
      </w:r>
      <w:r w:rsidR="00C1601D">
        <w:rPr/>
        <w:t>Pneumocystis</w:t>
      </w:r>
      <w:r w:rsidR="00C1601D">
        <w:rPr/>
        <w:t xml:space="preserve"> </w:t>
      </w:r>
      <w:r w:rsidR="00C1601D">
        <w:rPr/>
        <w:t>Jiroveci</w:t>
      </w:r>
      <w:r w:rsidR="00C1601D">
        <w:rPr/>
        <w:t xml:space="preserve"> que la aseguradora sí está obligada a cubrir al 100%.</w:t>
      </w:r>
    </w:p>
    <w:p w:rsidRPr="00C1601D" w:rsidR="00C1601D" w:rsidP="00C1601D" w:rsidRDefault="00C1601D" w14:paraId="5D5981A7" w14:textId="77777777">
      <w:pPr>
        <w:pStyle w:val="Textoindependiente"/>
      </w:pPr>
    </w:p>
    <w:p w:rsidRPr="00C1601D" w:rsidR="00C1601D" w:rsidP="00C1601D" w:rsidRDefault="00C1601D" w14:paraId="4DCFCF44" w14:textId="77777777">
      <w:pPr>
        <w:pStyle w:val="Textoindependiente"/>
      </w:pPr>
      <w:r w:rsidRPr="00C1601D">
        <w:t xml:space="preserve">Que, la aseguradora absolvió el traslado del recurso impugnatorio manifestando, en síntesis, lo siguiente: (1) respecto al diagnóstico efectuado al asegurado el día 26 de noviembre del 2020, según los documentos médicos de sustento se diagnosticó al paciente con Neumonía Grave por </w:t>
      </w:r>
      <w:proofErr w:type="spellStart"/>
      <w:r w:rsidRPr="00C1601D">
        <w:t>Pneumocystis</w:t>
      </w:r>
      <w:proofErr w:type="spellEnd"/>
      <w:r w:rsidRPr="00C1601D">
        <w:t xml:space="preserve"> y HIV estadio SIDA; (2) la epicrisis del asegurado mostró como diagnóstico de egreso el de Neumonía Grave por </w:t>
      </w:r>
      <w:proofErr w:type="spellStart"/>
      <w:r w:rsidRPr="00C1601D">
        <w:t>Pneumocystis</w:t>
      </w:r>
      <w:proofErr w:type="spellEnd"/>
      <w:r w:rsidRPr="00C1601D">
        <w:t xml:space="preserve"> resultante de la enfermedad por VIH; (3)  es totalmente falso lo sostenido por el asegurado respecto a que la DEFASEG no habría analizado correctamente la causa de la Neumonía Grave por </w:t>
      </w:r>
      <w:proofErr w:type="spellStart"/>
      <w:r w:rsidRPr="00C1601D">
        <w:t>Pneumocystis</w:t>
      </w:r>
      <w:proofErr w:type="spellEnd"/>
      <w:r w:rsidRPr="00C1601D">
        <w:t xml:space="preserve">; todo lo contrario, el sustento de la causa de esto se encontraba en los documentos médicos y epicrisis que obran en el expediente y señalan como causa a la enfermedad por VIH; (4) el asegurado únicamente señala que la Neumonía Grave por </w:t>
      </w:r>
      <w:proofErr w:type="spellStart"/>
      <w:r w:rsidRPr="00C1601D">
        <w:t>Pneumocystis</w:t>
      </w:r>
      <w:proofErr w:type="spellEnd"/>
      <w:r w:rsidRPr="00C1601D">
        <w:t xml:space="preserve"> puede ser causada no solo por la enfermedad del SIDA, sino también por el COVID-19 según algunos estudios médicos recientes; no obstante, lo manifestado por el asegurado es únicamente algo abstracto </w:t>
      </w:r>
      <w:r w:rsidRPr="00C1601D">
        <w:rPr>
          <w:b/>
          <w:bCs w:val="0"/>
        </w:rPr>
        <w:t xml:space="preserve"> </w:t>
      </w:r>
      <w:r w:rsidRPr="00C1601D">
        <w:t xml:space="preserve">y no se concretiza en su caso en particular; (5) lo señalado por el asegurado es una mera especulación sin sustento cierto para su caso, siendo que, por el contrario, los documentos médicos indican que para su situación en particular la causa de la Neumonía Grave por </w:t>
      </w:r>
      <w:proofErr w:type="spellStart"/>
      <w:r w:rsidRPr="00C1601D">
        <w:t>Pneumocystis</w:t>
      </w:r>
      <w:proofErr w:type="spellEnd"/>
      <w:r w:rsidRPr="00C1601D">
        <w:t xml:space="preserve"> fue la enfermedad de SIDA. </w:t>
      </w:r>
    </w:p>
    <w:p w:rsidRPr="00C1601D" w:rsidR="00C1601D" w:rsidP="00C1601D" w:rsidRDefault="00C1601D" w14:paraId="384F3740" w14:textId="77777777">
      <w:pPr>
        <w:pStyle w:val="Textoindependiente"/>
      </w:pPr>
    </w:p>
    <w:p w:rsidRPr="00C1601D" w:rsidR="00C1601D" w:rsidP="00C1601D" w:rsidRDefault="00C1601D" w14:paraId="52075A08" w14:textId="77777777">
      <w:pPr>
        <w:pStyle w:val="Textoindependiente"/>
        <w:tabs>
          <w:tab w:val="left" w:pos="930"/>
        </w:tabs>
      </w:pPr>
      <w:r w:rsidRPr="00C1601D">
        <w:t>Que, atendiendo a lo expuesto, esta Defensoría resuelve finalmente lo siguiente:</w:t>
      </w:r>
    </w:p>
    <w:p w:rsidRPr="00C1601D" w:rsidR="00C1601D" w:rsidP="00C1601D" w:rsidRDefault="00C1601D" w14:paraId="3F49D50A" w14:textId="77777777">
      <w:pPr>
        <w:jc w:val="both"/>
        <w:rPr>
          <w:rFonts w:ascii="Times New Roman" w:hAnsi="Times New Roman" w:cs="Times New Roman"/>
          <w:b/>
          <w:sz w:val="24"/>
          <w:szCs w:val="24"/>
          <w:u w:val="single"/>
          <w:lang w:val="es-PE"/>
        </w:rPr>
      </w:pPr>
    </w:p>
    <w:p w:rsidRPr="00C1601D" w:rsidR="00C1601D" w:rsidP="00C1601D" w:rsidRDefault="00C1601D" w14:paraId="505EBF99" w14:textId="432360EA">
      <w:pPr>
        <w:jc w:val="both"/>
        <w:rPr>
          <w:rFonts w:ascii="Times New Roman" w:hAnsi="Times New Roman" w:cs="Times New Roman"/>
          <w:sz w:val="24"/>
          <w:szCs w:val="24"/>
          <w:lang w:val="es-PE"/>
        </w:rPr>
      </w:pPr>
      <w:r w:rsidRPr="00C1601D">
        <w:rPr>
          <w:rFonts w:ascii="Times New Roman" w:hAnsi="Times New Roman" w:cs="Times New Roman"/>
          <w:b/>
          <w:sz w:val="24"/>
          <w:szCs w:val="24"/>
          <w:u w:val="single"/>
          <w:lang w:val="es-PE"/>
        </w:rPr>
        <w:t>PRIMERO</w:t>
      </w:r>
      <w:r w:rsidRPr="00C1601D">
        <w:rPr>
          <w:rFonts w:ascii="Times New Roman" w:hAnsi="Times New Roman" w:cs="Times New Roman"/>
          <w:b/>
          <w:sz w:val="24"/>
          <w:szCs w:val="24"/>
          <w:lang w:val="es-PE"/>
        </w:rPr>
        <w:t>:</w:t>
      </w:r>
      <w:r w:rsidRPr="00C1601D">
        <w:rPr>
          <w:rFonts w:ascii="Times New Roman" w:hAnsi="Times New Roman" w:cs="Times New Roman"/>
          <w:sz w:val="24"/>
          <w:szCs w:val="24"/>
          <w:lang w:val="es-PE"/>
        </w:rPr>
        <w:t xml:space="preserve"> El artículo 10 (Procedimiento) del Reglamento de la DEFASEG </w:t>
      </w:r>
      <w:r w:rsidRPr="00C1601D">
        <w:rPr>
          <w:rFonts w:ascii="Times New Roman" w:hAnsi="Times New Roman" w:eastAsia="Arial Unicode MS" w:cs="Times New Roman"/>
          <w:sz w:val="24"/>
          <w:szCs w:val="24"/>
          <w:lang w:val="es-PE"/>
        </w:rPr>
        <w:t>(http://www.defaseg.com.pe/reglamento)</w:t>
      </w:r>
      <w:r w:rsidRPr="00C1601D">
        <w:rPr>
          <w:rFonts w:ascii="Times New Roman" w:hAnsi="Times New Roman" w:cs="Times New Roman"/>
          <w:sz w:val="24"/>
          <w:szCs w:val="24"/>
          <w:lang w:val="es-PE"/>
        </w:rPr>
        <w:t xml:space="preserve"> establece que cualquiera de las partes que no se encuentre de acuerdo con la decisión adoptada por el colegiado sobre la materia reclamada, podrá impugnarla, interponiendo el correspondiente recurso de impugnación. </w:t>
      </w:r>
    </w:p>
    <w:p w:rsidRPr="00C1601D" w:rsidR="00C1601D" w:rsidP="00C1601D" w:rsidRDefault="00C1601D" w14:paraId="67F8FC3B" w14:textId="292D77EE">
      <w:pPr>
        <w:jc w:val="both"/>
        <w:rPr>
          <w:rFonts w:ascii="Times New Roman" w:hAnsi="Times New Roman" w:cs="Times New Roman"/>
          <w:sz w:val="24"/>
          <w:szCs w:val="24"/>
          <w:lang w:val="es-PE"/>
        </w:rPr>
      </w:pPr>
      <w:r w:rsidRPr="00C1601D">
        <w:rPr>
          <w:rFonts w:ascii="Times New Roman" w:hAnsi="Times New Roman" w:cs="Times New Roman"/>
          <w:b/>
          <w:bCs/>
          <w:sz w:val="24"/>
          <w:szCs w:val="24"/>
          <w:u w:val="single"/>
          <w:lang w:val="es-PE"/>
        </w:rPr>
        <w:t>SEGUNDO</w:t>
      </w:r>
      <w:r w:rsidRPr="00C1601D">
        <w:rPr>
          <w:rFonts w:ascii="Times New Roman" w:hAnsi="Times New Roman" w:cs="Times New Roman"/>
          <w:b/>
          <w:bCs/>
          <w:sz w:val="24"/>
          <w:szCs w:val="24"/>
          <w:lang w:val="es-PE"/>
        </w:rPr>
        <w:t>:</w:t>
      </w:r>
      <w:r w:rsidRPr="00C1601D">
        <w:rPr>
          <w:rFonts w:ascii="Times New Roman" w:hAnsi="Times New Roman" w:cs="Times New Roman"/>
          <w:bCs/>
          <w:sz w:val="24"/>
          <w:szCs w:val="24"/>
          <w:lang w:val="es-PE"/>
        </w:rPr>
        <w:t xml:space="preserve"> </w:t>
      </w:r>
      <w:r w:rsidRPr="00C1601D">
        <w:rPr>
          <w:rFonts w:ascii="Times New Roman" w:hAnsi="Times New Roman" w:cs="Times New Roman"/>
          <w:sz w:val="24"/>
          <w:szCs w:val="24"/>
          <w:lang w:val="es-PE"/>
        </w:rPr>
        <w:t xml:space="preserve">Conforme a ello, en el caso concreto, el reclamante </w:t>
      </w:r>
      <w:r w:rsidRPr="00C1601D">
        <w:rPr>
          <w:rFonts w:ascii="Times New Roman" w:hAnsi="Times New Roman" w:cs="Times New Roman"/>
          <w:bCs/>
          <w:sz w:val="24"/>
          <w:szCs w:val="24"/>
          <w:lang w:val="es-PE"/>
        </w:rPr>
        <w:t>sustenta su impugnación en insistir en la argumentación que fue analizada y desestimada por esta Defensoría.</w:t>
      </w:r>
    </w:p>
    <w:p w:rsidRPr="00C1601D" w:rsidR="00C1601D" w:rsidP="00C1601D" w:rsidRDefault="00C1601D" w14:paraId="55F14870" w14:textId="77777777">
      <w:pPr>
        <w:pStyle w:val="Textoindependiente"/>
        <w:rPr>
          <w:bCs w:val="0"/>
        </w:rPr>
      </w:pPr>
      <w:r w:rsidRPr="00C1601D">
        <w:rPr>
          <w:bCs w:val="0"/>
        </w:rPr>
        <w:t xml:space="preserve">En efecto, el recurrente no aporta medio de prueba que demuestre documentación médica que concluya como diagnóstico que la </w:t>
      </w:r>
      <w:r w:rsidRPr="00C1601D">
        <w:t xml:space="preserve">Neumonía Grave por </w:t>
      </w:r>
      <w:proofErr w:type="spellStart"/>
      <w:r w:rsidRPr="00C1601D">
        <w:t>Pneumocystis</w:t>
      </w:r>
      <w:proofErr w:type="spellEnd"/>
      <w:r w:rsidRPr="00C1601D">
        <w:t xml:space="preserve"> que padeció fue causada por el COVID 19 que padeció,</w:t>
      </w:r>
      <w:r w:rsidRPr="00C1601D">
        <w:rPr>
          <w:bCs w:val="0"/>
        </w:rPr>
        <w:t xml:space="preserve"> ni ha sustentado argumento distinto que demuestre un vicio o error en lo resuelto por esta Defensoría.</w:t>
      </w:r>
    </w:p>
    <w:p w:rsidRPr="00C1601D" w:rsidR="00C1601D" w:rsidP="00C1601D" w:rsidRDefault="00C1601D" w14:paraId="2474C4D5" w14:textId="77777777">
      <w:pPr>
        <w:pStyle w:val="Textoindependiente"/>
        <w:tabs>
          <w:tab w:val="left" w:pos="0"/>
          <w:tab w:val="left" w:pos="720"/>
        </w:tabs>
        <w:rPr>
          <w:u w:val="single"/>
          <w:lang w:val="es-PE"/>
        </w:rPr>
      </w:pPr>
    </w:p>
    <w:p w:rsidRPr="00C1601D" w:rsidR="00C1601D" w:rsidP="00C1601D" w:rsidRDefault="00C1601D" w14:paraId="2FDECC2E" w14:textId="79E8EB7A">
      <w:pPr>
        <w:jc w:val="both"/>
        <w:rPr>
          <w:rFonts w:ascii="Times New Roman" w:hAnsi="Times New Roman" w:cs="Times New Roman"/>
          <w:bCs/>
          <w:sz w:val="24"/>
          <w:szCs w:val="24"/>
          <w:lang w:val="es-PE"/>
        </w:rPr>
      </w:pPr>
      <w:r w:rsidRPr="00C1601D">
        <w:rPr>
          <w:rFonts w:ascii="Times New Roman" w:hAnsi="Times New Roman" w:cs="Times New Roman"/>
          <w:bCs/>
          <w:sz w:val="24"/>
          <w:szCs w:val="24"/>
          <w:lang w:val="es-PE"/>
        </w:rPr>
        <w:t xml:space="preserve">En ese sentido, el colegiado aprecia que el recurso de impugnación presentado por el reclamante constituye, más allá de evidenciar su desacuerdo con lo decidido, un pedido de revisión general. </w:t>
      </w:r>
    </w:p>
    <w:p w:rsidRPr="00C1601D" w:rsidR="00C1601D" w:rsidP="00C1601D" w:rsidRDefault="00C1601D" w14:paraId="529CBB18" w14:textId="6B339AA5">
      <w:pPr>
        <w:jc w:val="both"/>
        <w:rPr>
          <w:rFonts w:ascii="Times New Roman" w:hAnsi="Times New Roman" w:cs="Times New Roman"/>
          <w:color w:val="000000"/>
          <w:sz w:val="24"/>
          <w:szCs w:val="24"/>
          <w:lang w:val="es-PE" w:eastAsia="es-PE"/>
        </w:rPr>
      </w:pPr>
      <w:r w:rsidRPr="00C1601D">
        <w:rPr>
          <w:rFonts w:ascii="Times New Roman" w:hAnsi="Times New Roman" w:cs="Times New Roman"/>
          <w:bCs/>
          <w:sz w:val="24"/>
          <w:szCs w:val="24"/>
          <w:lang w:val="es-PE"/>
        </w:rPr>
        <w:t xml:space="preserve">De acuerdo a la resolución impugnada, se verificó en autos, que </w:t>
      </w:r>
      <w:r w:rsidRPr="00C1601D">
        <w:rPr>
          <w:rFonts w:ascii="Times New Roman" w:hAnsi="Times New Roman" w:cs="Times New Roman"/>
          <w:color w:val="000000"/>
          <w:sz w:val="24"/>
          <w:szCs w:val="24"/>
          <w:lang w:val="es-PE" w:eastAsia="es-PE"/>
        </w:rPr>
        <w:t xml:space="preserve">la hospitalización del asegurado a partir del 14 de noviembre de </w:t>
      </w:r>
      <w:proofErr w:type="gramStart"/>
      <w:r w:rsidRPr="00C1601D">
        <w:rPr>
          <w:rFonts w:ascii="Times New Roman" w:hAnsi="Times New Roman" w:cs="Times New Roman"/>
          <w:color w:val="000000"/>
          <w:sz w:val="24"/>
          <w:szCs w:val="24"/>
          <w:lang w:val="es-PE" w:eastAsia="es-PE"/>
        </w:rPr>
        <w:t>2020,</w:t>
      </w:r>
      <w:proofErr w:type="gramEnd"/>
      <w:r w:rsidRPr="00C1601D">
        <w:rPr>
          <w:rFonts w:ascii="Times New Roman" w:hAnsi="Times New Roman" w:cs="Times New Roman"/>
          <w:color w:val="000000"/>
          <w:sz w:val="24"/>
          <w:szCs w:val="24"/>
          <w:lang w:val="es-PE" w:eastAsia="es-PE"/>
        </w:rPr>
        <w:t xml:space="preserve"> tuvo como causa inicial el diagnóstico de Neumonía Intersticial Atípica secuela de Covid-19, y que el 26 de noviembre de 2020 al paciente se le diagnostica Neumonía Grave por </w:t>
      </w:r>
      <w:proofErr w:type="spellStart"/>
      <w:r w:rsidRPr="00C1601D">
        <w:rPr>
          <w:rFonts w:ascii="Times New Roman" w:hAnsi="Times New Roman" w:cs="Times New Roman"/>
          <w:color w:val="000000"/>
          <w:sz w:val="24"/>
          <w:szCs w:val="24"/>
          <w:lang w:val="es-PE" w:eastAsia="es-PE"/>
        </w:rPr>
        <w:t>Pneumocystis</w:t>
      </w:r>
      <w:proofErr w:type="spellEnd"/>
      <w:r w:rsidRPr="00C1601D">
        <w:rPr>
          <w:rFonts w:ascii="Times New Roman" w:hAnsi="Times New Roman" w:cs="Times New Roman"/>
          <w:color w:val="000000"/>
          <w:sz w:val="24"/>
          <w:szCs w:val="24"/>
          <w:lang w:val="es-PE" w:eastAsia="es-PE"/>
        </w:rPr>
        <w:t xml:space="preserve"> </w:t>
      </w:r>
      <w:proofErr w:type="spellStart"/>
      <w:r w:rsidRPr="00C1601D">
        <w:rPr>
          <w:rFonts w:ascii="Times New Roman" w:hAnsi="Times New Roman" w:cs="Times New Roman"/>
          <w:color w:val="000000"/>
          <w:sz w:val="24"/>
          <w:szCs w:val="24"/>
          <w:lang w:val="es-PE" w:eastAsia="es-PE"/>
        </w:rPr>
        <w:t>Jiroveci</w:t>
      </w:r>
      <w:proofErr w:type="spellEnd"/>
    </w:p>
    <w:p w:rsidR="00C1601D" w:rsidP="00C1601D" w:rsidRDefault="00C1601D" w14:paraId="7BDD1D52" w14:textId="71D1B2FF">
      <w:pPr>
        <w:jc w:val="both"/>
      </w:pPr>
      <w:r w:rsidR="5B8B8EB1">
        <w:rPr/>
        <w:t>...............................................................................................................................................................</w:t>
      </w:r>
    </w:p>
    <w:p w:rsidRPr="00C1601D" w:rsidR="00C1601D" w:rsidP="00C1601D" w:rsidRDefault="00C1601D" w14:paraId="4F22AC9E" w14:textId="77777777">
      <w:pPr>
        <w:jc w:val="both"/>
        <w:rPr>
          <w:rFonts w:ascii="Times New Roman" w:hAnsi="Times New Roman" w:cs="Times New Roman"/>
          <w:sz w:val="24"/>
          <w:szCs w:val="24"/>
          <w:lang w:val="es-PE"/>
        </w:rPr>
      </w:pPr>
    </w:p>
    <w:p w:rsidRPr="00C1601D" w:rsidR="00C1601D" w:rsidP="00C1601D" w:rsidRDefault="00C1601D" w14:paraId="5631AC89" w14:textId="6A542486">
      <w:pPr>
        <w:jc w:val="both"/>
        <w:rPr>
          <w:rFonts w:ascii="Times New Roman" w:hAnsi="Times New Roman" w:cs="Times New Roman"/>
          <w:color w:val="000000"/>
          <w:sz w:val="24"/>
          <w:szCs w:val="24"/>
          <w:lang w:val="es-PE" w:eastAsia="es-PE"/>
        </w:rPr>
      </w:pPr>
      <w:r w:rsidRPr="00C1601D">
        <w:rPr>
          <w:rFonts w:ascii="Times New Roman" w:hAnsi="Times New Roman" w:cs="Times New Roman"/>
          <w:sz w:val="24"/>
          <w:szCs w:val="24"/>
          <w:lang w:val="es-PE"/>
        </w:rPr>
        <w:t>Tal como se</w:t>
      </w:r>
      <w:r w:rsidRPr="00C1601D">
        <w:rPr>
          <w:rFonts w:ascii="Times New Roman" w:hAnsi="Times New Roman" w:cs="Times New Roman"/>
          <w:bCs/>
          <w:sz w:val="24"/>
          <w:szCs w:val="24"/>
          <w:lang w:val="es-PE"/>
        </w:rPr>
        <w:t xml:space="preserve"> desarrolla en los considerandos de la resolución en cuestión, como consecuencia de ese diagnóstico </w:t>
      </w:r>
      <w:r w:rsidRPr="00C1601D">
        <w:rPr>
          <w:rFonts w:ascii="Times New Roman" w:hAnsi="Times New Roman" w:cs="Times New Roman"/>
          <w:color w:val="000000"/>
          <w:sz w:val="24"/>
          <w:szCs w:val="24"/>
          <w:lang w:val="es-PE" w:eastAsia="es-PE"/>
        </w:rPr>
        <w:t xml:space="preserve">se le aplicó al paciente terapia antirretroviral, específica para SIDA (Efavirenz y </w:t>
      </w:r>
      <w:proofErr w:type="spellStart"/>
      <w:r w:rsidRPr="00C1601D">
        <w:rPr>
          <w:rFonts w:ascii="Times New Roman" w:hAnsi="Times New Roman" w:cs="Times New Roman"/>
          <w:color w:val="000000"/>
          <w:sz w:val="24"/>
          <w:szCs w:val="24"/>
          <w:lang w:val="es-PE" w:eastAsia="es-PE"/>
        </w:rPr>
        <w:t>Truvada</w:t>
      </w:r>
      <w:proofErr w:type="spellEnd"/>
      <w:r w:rsidRPr="00C1601D">
        <w:rPr>
          <w:rFonts w:ascii="Times New Roman" w:hAnsi="Times New Roman" w:cs="Times New Roman"/>
          <w:color w:val="000000"/>
          <w:sz w:val="24"/>
          <w:szCs w:val="24"/>
          <w:lang w:val="es-PE" w:eastAsia="es-PE"/>
        </w:rPr>
        <w:t>), a partir del 26 de noviembre del 2020.</w:t>
      </w:r>
    </w:p>
    <w:p w:rsidRPr="00C1601D" w:rsidR="00C1601D" w:rsidP="00C1601D" w:rsidRDefault="00C1601D" w14:paraId="4AB4F4B0" w14:textId="77777777">
      <w:pPr>
        <w:jc w:val="both"/>
        <w:rPr>
          <w:rFonts w:ascii="Times New Roman" w:hAnsi="Times New Roman" w:cs="Times New Roman"/>
          <w:bCs/>
          <w:sz w:val="24"/>
          <w:szCs w:val="24"/>
          <w:lang w:val="es-PE"/>
        </w:rPr>
      </w:pPr>
      <w:r w:rsidRPr="00C1601D">
        <w:rPr>
          <w:rFonts w:ascii="Times New Roman" w:hAnsi="Times New Roman" w:cs="Times New Roman"/>
          <w:color w:val="000000"/>
          <w:sz w:val="24"/>
          <w:szCs w:val="24"/>
          <w:lang w:val="es-PE" w:eastAsia="es-PE"/>
        </w:rPr>
        <w:t xml:space="preserve">De manera que se aprecia de la documentación médica sobre el paciente, la hospitalización del asegurado tuvo como causa adecuada el diagnóstico de Neumonía Grave por </w:t>
      </w:r>
      <w:proofErr w:type="spellStart"/>
      <w:r w:rsidRPr="00C1601D">
        <w:rPr>
          <w:rFonts w:ascii="Times New Roman" w:hAnsi="Times New Roman" w:cs="Times New Roman"/>
          <w:color w:val="000000"/>
          <w:sz w:val="24"/>
          <w:szCs w:val="24"/>
          <w:lang w:val="es-PE" w:eastAsia="es-PE"/>
        </w:rPr>
        <w:t>Pneumocystis</w:t>
      </w:r>
      <w:proofErr w:type="spellEnd"/>
      <w:r w:rsidRPr="00C1601D">
        <w:rPr>
          <w:rFonts w:ascii="Times New Roman" w:hAnsi="Times New Roman" w:cs="Times New Roman"/>
          <w:color w:val="000000"/>
          <w:sz w:val="24"/>
          <w:szCs w:val="24"/>
          <w:lang w:val="es-PE" w:eastAsia="es-PE"/>
        </w:rPr>
        <w:t xml:space="preserve"> resultante de la enfermedad por VIH del paciente, lo que queda corroborado por la Epicrisis de egreso del paciente, donde se registra como causa de la indicada neumonía la enfermedad por VIH</w:t>
      </w:r>
    </w:p>
    <w:p w:rsidRPr="00C1601D" w:rsidR="00C1601D" w:rsidP="00C1601D" w:rsidRDefault="00C1601D" w14:paraId="1B1BD384" w14:textId="77777777">
      <w:pPr>
        <w:jc w:val="both"/>
        <w:rPr>
          <w:rFonts w:ascii="Times New Roman" w:hAnsi="Times New Roman" w:cs="Times New Roman"/>
          <w:bCs/>
          <w:sz w:val="24"/>
          <w:szCs w:val="24"/>
          <w:lang w:val="es-PE"/>
        </w:rPr>
      </w:pPr>
    </w:p>
    <w:p w:rsidRPr="00C1601D" w:rsidR="00C1601D" w:rsidP="00C1601D" w:rsidRDefault="00C1601D" w14:paraId="083BEE1A" w14:textId="0A395A78">
      <w:pPr>
        <w:jc w:val="both"/>
      </w:pPr>
      <w:r w:rsidR="1A9E81A6">
        <w:rPr/>
        <w:t>...............................................................................................................................................................</w:t>
      </w:r>
    </w:p>
    <w:p w:rsidRPr="00C1601D" w:rsidR="00C1601D" w:rsidP="00C1601D" w:rsidRDefault="00C1601D" w14:paraId="309C2D9D" w14:textId="32CDF3E9">
      <w:pPr>
        <w:jc w:val="both"/>
        <w:rPr>
          <w:rFonts w:ascii="Times New Roman" w:hAnsi="Times New Roman" w:cs="Times New Roman"/>
          <w:sz w:val="24"/>
          <w:szCs w:val="24"/>
          <w:lang w:val="es-PE"/>
        </w:rPr>
      </w:pPr>
      <w:r w:rsidRPr="00C1601D">
        <w:rPr>
          <w:rFonts w:ascii="Times New Roman" w:hAnsi="Times New Roman" w:cs="Times New Roman"/>
          <w:bCs/>
          <w:sz w:val="24"/>
          <w:szCs w:val="24"/>
          <w:lang w:val="es-PE"/>
        </w:rPr>
        <w:t xml:space="preserve">El colegiado fundamenta su análisis en la documentación que obra en la historia clínica, específicamente en los diagnósticos que constan en ella. Si bien el reclamante ha aportado diversa literatura médica, en la que se analiza sobre otras causas que pueden causar la </w:t>
      </w:r>
      <w:r w:rsidRPr="00C1601D">
        <w:rPr>
          <w:rFonts w:ascii="Times New Roman" w:hAnsi="Times New Roman" w:cs="Times New Roman"/>
          <w:color w:val="000000"/>
          <w:sz w:val="24"/>
          <w:szCs w:val="24"/>
          <w:lang w:val="es-PE" w:eastAsia="es-PE"/>
        </w:rPr>
        <w:t xml:space="preserve">Neumonía Grave por </w:t>
      </w:r>
      <w:proofErr w:type="spellStart"/>
      <w:r w:rsidRPr="00C1601D">
        <w:rPr>
          <w:rFonts w:ascii="Times New Roman" w:hAnsi="Times New Roman" w:cs="Times New Roman"/>
          <w:color w:val="000000"/>
          <w:sz w:val="24"/>
          <w:szCs w:val="24"/>
          <w:lang w:val="es-PE" w:eastAsia="es-PE"/>
        </w:rPr>
        <w:t>Pneumocystis</w:t>
      </w:r>
      <w:proofErr w:type="spellEnd"/>
      <w:r w:rsidRPr="00C1601D">
        <w:rPr>
          <w:rFonts w:ascii="Times New Roman" w:hAnsi="Times New Roman" w:cs="Times New Roman"/>
          <w:color w:val="000000"/>
          <w:sz w:val="24"/>
          <w:szCs w:val="24"/>
          <w:lang w:val="es-PE" w:eastAsia="es-PE"/>
        </w:rPr>
        <w:t>, siendo una de ellas el COVID 19, empero, en el presente caso no existe diagnóstico cierto en la historia clínica que establezca una causalidad distinta a la registrada en la Epicrisis de Egreso del paciente.</w:t>
      </w:r>
    </w:p>
    <w:p w:rsidRPr="00C1601D" w:rsidR="00C1601D" w:rsidP="00C1601D" w:rsidRDefault="00C1601D" w14:paraId="640B4B42" w14:textId="2A0306AB">
      <w:pPr>
        <w:jc w:val="both"/>
        <w:rPr>
          <w:rFonts w:ascii="Times New Roman" w:hAnsi="Times New Roman" w:cs="Times New Roman"/>
          <w:sz w:val="24"/>
          <w:szCs w:val="24"/>
          <w:lang w:val="es-PE"/>
        </w:rPr>
      </w:pPr>
      <w:r w:rsidRPr="00C1601D">
        <w:rPr>
          <w:rFonts w:ascii="Times New Roman" w:hAnsi="Times New Roman" w:cs="Times New Roman"/>
          <w:sz w:val="24"/>
          <w:szCs w:val="24"/>
          <w:lang w:val="es-PE"/>
        </w:rPr>
        <w:t xml:space="preserve">En esa línea, la causalidad argumentada por </w:t>
      </w:r>
      <w:proofErr w:type="gramStart"/>
      <w:r w:rsidRPr="00C1601D">
        <w:rPr>
          <w:rFonts w:ascii="Times New Roman" w:hAnsi="Times New Roman" w:cs="Times New Roman"/>
          <w:sz w:val="24"/>
          <w:szCs w:val="24"/>
          <w:lang w:val="es-PE"/>
        </w:rPr>
        <w:t>el reclamante resulta meramente hipotética</w:t>
      </w:r>
      <w:proofErr w:type="gramEnd"/>
      <w:r w:rsidRPr="00C1601D">
        <w:rPr>
          <w:rFonts w:ascii="Times New Roman" w:hAnsi="Times New Roman" w:cs="Times New Roman"/>
          <w:sz w:val="24"/>
          <w:szCs w:val="24"/>
          <w:lang w:val="es-PE"/>
        </w:rPr>
        <w:t xml:space="preserve">, en la medida que de los actuados no existe evidencia que contradiga el diagnóstico que consta en la </w:t>
      </w:r>
      <w:r w:rsidRPr="00C1601D">
        <w:rPr>
          <w:rFonts w:ascii="Times New Roman" w:hAnsi="Times New Roman" w:cs="Times New Roman"/>
          <w:color w:val="000000"/>
          <w:sz w:val="24"/>
          <w:szCs w:val="24"/>
          <w:lang w:val="es-PE" w:eastAsia="es-PE"/>
        </w:rPr>
        <w:t>Epicrisis de Egreso del paciente</w:t>
      </w:r>
      <w:r w:rsidRPr="00C1601D">
        <w:rPr>
          <w:rFonts w:ascii="Times New Roman" w:hAnsi="Times New Roman" w:cs="Times New Roman"/>
          <w:sz w:val="24"/>
          <w:szCs w:val="24"/>
          <w:lang w:val="es-PE"/>
        </w:rPr>
        <w:t>.</w:t>
      </w:r>
    </w:p>
    <w:p w:rsidRPr="00C1601D" w:rsidR="00C1601D" w:rsidP="00C1601D" w:rsidRDefault="00C1601D" w14:paraId="2DC78C6C" w14:textId="1F315613">
      <w:pPr>
        <w:jc w:val="both"/>
        <w:rPr>
          <w:rFonts w:ascii="Times New Roman" w:hAnsi="Times New Roman" w:cs="Times New Roman"/>
          <w:sz w:val="24"/>
          <w:szCs w:val="24"/>
          <w:lang w:val="es-PE"/>
        </w:rPr>
      </w:pPr>
      <w:r w:rsidRPr="00C1601D">
        <w:rPr>
          <w:rFonts w:ascii="Times New Roman" w:hAnsi="Times New Roman" w:cs="Times New Roman"/>
          <w:b/>
          <w:sz w:val="24"/>
          <w:szCs w:val="24"/>
          <w:u w:val="single"/>
          <w:lang w:val="es-PE"/>
        </w:rPr>
        <w:lastRenderedPageBreak/>
        <w:t>TERCERO</w:t>
      </w:r>
      <w:r w:rsidRPr="00C1601D">
        <w:rPr>
          <w:rFonts w:ascii="Times New Roman" w:hAnsi="Times New Roman" w:cs="Times New Roman"/>
          <w:b/>
          <w:sz w:val="24"/>
          <w:szCs w:val="24"/>
          <w:lang w:val="es-PE"/>
        </w:rPr>
        <w:t>:</w:t>
      </w:r>
      <w:r w:rsidRPr="00C1601D">
        <w:rPr>
          <w:rFonts w:ascii="Times New Roman" w:hAnsi="Times New Roman" w:cs="Times New Roman"/>
          <w:sz w:val="24"/>
          <w:szCs w:val="24"/>
          <w:lang w:val="es-PE"/>
        </w:rPr>
        <w:t xml:space="preserve"> En atención a las consideraciones precedentes, este colegiado aprecia finalmente que no se ha evidenciado nueva prueba ni error ni falta de motivación, por lo que no existe mérito suficiente ni razón objetiva para revocar la resolución recurrida.</w:t>
      </w:r>
    </w:p>
    <w:p w:rsidRPr="00C1601D" w:rsidR="00C1601D" w:rsidP="00C1601D" w:rsidRDefault="00C1601D" w14:paraId="7AA7AAD5" w14:textId="6C891498">
      <w:pPr>
        <w:jc w:val="both"/>
        <w:rPr>
          <w:rFonts w:ascii="Times New Roman" w:hAnsi="Times New Roman" w:cs="Times New Roman"/>
          <w:b/>
          <w:sz w:val="24"/>
          <w:szCs w:val="24"/>
          <w:lang w:val="es-PE"/>
        </w:rPr>
      </w:pPr>
      <w:r w:rsidRPr="00C1601D">
        <w:rPr>
          <w:rFonts w:ascii="Times New Roman" w:hAnsi="Times New Roman" w:cs="Times New Roman"/>
          <w:b/>
          <w:sz w:val="24"/>
          <w:szCs w:val="24"/>
          <w:lang w:val="es-PE"/>
        </w:rPr>
        <w:t>RESUELVE:</w:t>
      </w:r>
    </w:p>
    <w:p w:rsidRPr="00C1601D" w:rsidR="00C1601D" w:rsidP="00C1601D" w:rsidRDefault="00C1601D" w14:paraId="0D51A0B2" w14:textId="77777777">
      <w:pPr>
        <w:jc w:val="both"/>
        <w:rPr>
          <w:rFonts w:ascii="Times New Roman" w:hAnsi="Times New Roman" w:cs="Times New Roman"/>
          <w:sz w:val="24"/>
          <w:szCs w:val="24"/>
          <w:lang w:val="es-PE"/>
        </w:rPr>
      </w:pPr>
      <w:r w:rsidRPr="00C1601D">
        <w:rPr>
          <w:rFonts w:ascii="Times New Roman" w:hAnsi="Times New Roman" w:eastAsia="Arial Unicode MS" w:cs="Times New Roman"/>
          <w:b/>
          <w:sz w:val="24"/>
          <w:szCs w:val="24"/>
          <w:lang w:val="es-PE"/>
        </w:rPr>
        <w:t>Declarar INFUNDADO el recurso de impugnación interpuesto por el reclamante y, por consiguiente, CONFIRMAR la Resolución Nro. 099/21</w:t>
      </w:r>
      <w:r w:rsidRPr="00C1601D">
        <w:rPr>
          <w:rFonts w:ascii="Times New Roman" w:hAnsi="Times New Roman" w:cs="Times New Roman"/>
          <w:sz w:val="24"/>
          <w:szCs w:val="24"/>
          <w:lang w:val="es-PE"/>
        </w:rPr>
        <w:t>.</w:t>
      </w:r>
    </w:p>
    <w:p w:rsidRPr="00C1601D" w:rsidR="005E398E" w:rsidP="00CF69DD" w:rsidRDefault="005E398E" w14:paraId="489525D7" w14:textId="77777777">
      <w:pPr>
        <w:suppressAutoHyphens/>
        <w:spacing w:after="0" w:line="240" w:lineRule="auto"/>
        <w:outlineLvl w:val="0"/>
        <w:rPr>
          <w:rFonts w:ascii="Times New Roman" w:hAnsi="Times New Roman" w:eastAsia="Arial Unicode MS" w:cs="Times New Roman"/>
          <w:bCs/>
          <w:sz w:val="24"/>
          <w:szCs w:val="24"/>
          <w:lang w:val="es-PE"/>
        </w:rPr>
      </w:pPr>
    </w:p>
    <w:p w:rsidRPr="00C1601D" w:rsidR="00C671F5" w:rsidP="005E398E" w:rsidRDefault="0091528B" w14:paraId="486C3F46" w14:textId="208CE120">
      <w:pPr>
        <w:suppressAutoHyphens/>
        <w:spacing w:after="0" w:line="240" w:lineRule="auto"/>
        <w:jc w:val="right"/>
        <w:outlineLvl w:val="0"/>
        <w:rPr>
          <w:rFonts w:ascii="Times New Roman" w:hAnsi="Times New Roman" w:eastAsia="Arial Unicode MS" w:cs="Times New Roman"/>
          <w:sz w:val="24"/>
          <w:szCs w:val="24"/>
          <w:lang w:val="es-PE" w:eastAsia="ar-SA"/>
        </w:rPr>
      </w:pPr>
      <w:r w:rsidRPr="00C1601D">
        <w:rPr>
          <w:rFonts w:ascii="Times New Roman" w:hAnsi="Times New Roman" w:eastAsia="Arial Unicode MS" w:cs="Times New Roman"/>
          <w:sz w:val="24"/>
          <w:szCs w:val="24"/>
          <w:lang w:val="es-PE" w:eastAsia="ar-SA"/>
        </w:rPr>
        <w:t xml:space="preserve">Lima, </w:t>
      </w:r>
      <w:r w:rsidRPr="00C1601D" w:rsidR="00DD21B2">
        <w:rPr>
          <w:rFonts w:ascii="Times New Roman" w:hAnsi="Times New Roman" w:eastAsia="Arial Unicode MS" w:cs="Times New Roman"/>
          <w:sz w:val="24"/>
          <w:szCs w:val="24"/>
          <w:lang w:val="es-PE" w:eastAsia="ar-SA"/>
        </w:rPr>
        <w:t xml:space="preserve">20 </w:t>
      </w:r>
      <w:r w:rsidRPr="00C1601D" w:rsidR="00707C99">
        <w:rPr>
          <w:rFonts w:ascii="Times New Roman" w:hAnsi="Times New Roman" w:eastAsia="Arial Unicode MS" w:cs="Times New Roman"/>
          <w:sz w:val="24"/>
          <w:szCs w:val="24"/>
          <w:lang w:val="es-PE" w:eastAsia="ar-SA"/>
        </w:rPr>
        <w:t>de</w:t>
      </w:r>
      <w:r w:rsidRPr="00C1601D" w:rsidR="00864B0B">
        <w:rPr>
          <w:rFonts w:ascii="Times New Roman" w:hAnsi="Times New Roman" w:eastAsia="Arial Unicode MS" w:cs="Times New Roman"/>
          <w:sz w:val="24"/>
          <w:szCs w:val="24"/>
          <w:lang w:val="es-PE" w:eastAsia="ar-SA"/>
        </w:rPr>
        <w:t xml:space="preserve"> </w:t>
      </w:r>
      <w:r w:rsidRPr="00C1601D" w:rsidR="009F3DD4">
        <w:rPr>
          <w:rFonts w:ascii="Times New Roman" w:hAnsi="Times New Roman" w:eastAsia="Arial Unicode MS" w:cs="Times New Roman"/>
          <w:sz w:val="24"/>
          <w:szCs w:val="24"/>
          <w:lang w:val="es-PE" w:eastAsia="ar-SA"/>
        </w:rPr>
        <w:t>septiembre</w:t>
      </w:r>
      <w:r w:rsidRPr="00C1601D" w:rsidR="00F06498">
        <w:rPr>
          <w:rFonts w:ascii="Times New Roman" w:hAnsi="Times New Roman" w:eastAsia="Arial Unicode MS" w:cs="Times New Roman"/>
          <w:sz w:val="24"/>
          <w:szCs w:val="24"/>
          <w:lang w:val="es-PE" w:eastAsia="ar-SA"/>
        </w:rPr>
        <w:t xml:space="preserve"> de 202</w:t>
      </w:r>
      <w:r w:rsidRPr="00C1601D" w:rsidR="00231C58">
        <w:rPr>
          <w:rFonts w:ascii="Times New Roman" w:hAnsi="Times New Roman" w:eastAsia="Arial Unicode MS" w:cs="Times New Roman"/>
          <w:sz w:val="24"/>
          <w:szCs w:val="24"/>
          <w:lang w:val="es-PE" w:eastAsia="ar-SA"/>
        </w:rPr>
        <w:t>1</w:t>
      </w:r>
      <w:r w:rsidRPr="00C1601D" w:rsidR="00707C99">
        <w:rPr>
          <w:rFonts w:ascii="Times New Roman" w:hAnsi="Times New Roman" w:eastAsia="Times New Roman" w:cs="Times New Roman"/>
          <w:sz w:val="24"/>
          <w:szCs w:val="24"/>
          <w:lang w:val="es-PE" w:eastAsia="ar-SA"/>
        </w:rPr>
        <w:t xml:space="preserve"> </w:t>
      </w:r>
    </w:p>
    <w:p w:rsidRPr="00C1601D" w:rsidR="00231C58" w:rsidP="004A374A" w:rsidRDefault="00231C58" w14:paraId="2B9BAAC8" w14:textId="77777777">
      <w:pPr>
        <w:suppressAutoHyphens/>
        <w:spacing w:after="0" w:line="240" w:lineRule="auto"/>
        <w:outlineLvl w:val="0"/>
        <w:rPr>
          <w:rFonts w:ascii="Times New Roman" w:hAnsi="Times New Roman" w:eastAsia="Times New Roman" w:cs="Times New Roman"/>
          <w:sz w:val="24"/>
          <w:szCs w:val="24"/>
          <w:lang w:val="es-PE" w:eastAsia="ar-SA"/>
        </w:rPr>
      </w:pPr>
    </w:p>
    <w:p w:rsidRPr="00C1601D" w:rsidR="00C671F5" w:rsidP="004A374A" w:rsidRDefault="00C671F5" w14:paraId="7BC448E0" w14:textId="77777777">
      <w:pPr>
        <w:spacing w:after="0" w:line="240" w:lineRule="auto"/>
        <w:jc w:val="both"/>
        <w:rPr>
          <w:rFonts w:ascii="Times New Roman" w:hAnsi="Times New Roman" w:cs="Times New Roman"/>
          <w:b/>
          <w:bCs/>
          <w:i/>
          <w:iCs/>
          <w:sz w:val="24"/>
          <w:szCs w:val="24"/>
          <w:lang w:val="es-PE"/>
        </w:rPr>
      </w:pPr>
      <w:r w:rsidRPr="00C1601D">
        <w:rPr>
          <w:rFonts w:ascii="Times New Roman" w:hAnsi="Times New Roman" w:cs="Times New Roman"/>
          <w:b/>
          <w:bCs/>
          <w:i/>
          <w:iCs/>
          <w:sz w:val="24"/>
          <w:szCs w:val="24"/>
          <w:lang w:val="es-PE"/>
        </w:rPr>
        <w:t>La Secretaría Técnica certifica que la presente resolución cuenta con el voto de los vocales cuyos nombres figuran en el presente documento.</w:t>
      </w:r>
    </w:p>
    <w:p w:rsidRPr="00C1601D" w:rsidR="00C671F5" w:rsidP="004A374A" w:rsidRDefault="00C671F5" w14:paraId="3408E6CE" w14:textId="34A8A6C1">
      <w:pPr>
        <w:spacing w:after="0" w:line="240" w:lineRule="auto"/>
        <w:jc w:val="both"/>
        <w:rPr>
          <w:rFonts w:ascii="Times New Roman" w:hAnsi="Times New Roman" w:cs="Times New Roman"/>
          <w:b/>
          <w:bCs/>
          <w:i/>
          <w:iCs/>
          <w:sz w:val="24"/>
          <w:szCs w:val="24"/>
          <w:lang w:val="es-PE"/>
        </w:rPr>
      </w:pPr>
    </w:p>
    <w:p w:rsidRPr="00C1601D" w:rsidR="009F3DD4" w:rsidP="009F3DD4" w:rsidRDefault="009F3DD4" w14:paraId="451211B4" w14:textId="7C22B670">
      <w:pPr>
        <w:spacing w:after="0" w:line="360" w:lineRule="auto"/>
        <w:jc w:val="center"/>
        <w:rPr>
          <w:rFonts w:ascii="Times New Roman" w:hAnsi="Times New Roman" w:cs="Times New Roman"/>
          <w:b/>
          <w:bCs/>
          <w:sz w:val="24"/>
          <w:szCs w:val="24"/>
          <w:lang w:val="es-PE"/>
        </w:rPr>
      </w:pPr>
      <w:r w:rsidRPr="00C1601D">
        <w:rPr>
          <w:rFonts w:ascii="Times New Roman" w:hAnsi="Times New Roman" w:cs="Times New Roman"/>
          <w:b/>
          <w:bCs/>
          <w:sz w:val="24"/>
          <w:szCs w:val="24"/>
          <w:lang w:val="es-PE"/>
        </w:rPr>
        <w:t xml:space="preserve">Rolando Eyzaguirre </w:t>
      </w:r>
      <w:proofErr w:type="spellStart"/>
      <w:r w:rsidRPr="00C1601D">
        <w:rPr>
          <w:rFonts w:ascii="Times New Roman" w:hAnsi="Times New Roman" w:cs="Times New Roman"/>
          <w:b/>
          <w:bCs/>
          <w:sz w:val="24"/>
          <w:szCs w:val="24"/>
          <w:lang w:val="es-PE"/>
        </w:rPr>
        <w:t>Maccan</w:t>
      </w:r>
      <w:proofErr w:type="spellEnd"/>
      <w:r w:rsidRPr="00C1601D">
        <w:rPr>
          <w:rFonts w:ascii="Times New Roman" w:hAnsi="Times New Roman" w:cs="Times New Roman"/>
          <w:b/>
          <w:bCs/>
          <w:sz w:val="24"/>
          <w:szCs w:val="24"/>
          <w:lang w:val="es-PE"/>
        </w:rPr>
        <w:t xml:space="preserve"> – </w:t>
      </w:r>
      <w:proofErr w:type="gramStart"/>
      <w:r w:rsidRPr="00C1601D">
        <w:rPr>
          <w:rFonts w:ascii="Times New Roman" w:hAnsi="Times New Roman" w:cs="Times New Roman"/>
          <w:b/>
          <w:bCs/>
          <w:sz w:val="24"/>
          <w:szCs w:val="24"/>
          <w:lang w:val="es-PE"/>
        </w:rPr>
        <w:t>Presidente</w:t>
      </w:r>
      <w:proofErr w:type="gramEnd"/>
    </w:p>
    <w:p w:rsidRPr="00C1601D" w:rsidR="0032345B" w:rsidP="004A374A" w:rsidRDefault="0032345B" w14:paraId="033E3E13" w14:textId="0AB92EBA">
      <w:pPr>
        <w:spacing w:after="0" w:line="360" w:lineRule="auto"/>
        <w:jc w:val="center"/>
        <w:rPr>
          <w:rFonts w:ascii="Times New Roman" w:hAnsi="Times New Roman" w:cs="Times New Roman"/>
          <w:b/>
          <w:bCs/>
          <w:sz w:val="24"/>
          <w:szCs w:val="24"/>
          <w:lang w:val="es-PE"/>
        </w:rPr>
      </w:pPr>
      <w:r w:rsidRPr="00C1601D">
        <w:rPr>
          <w:rFonts w:ascii="Times New Roman" w:hAnsi="Times New Roman" w:cs="Times New Roman"/>
          <w:b/>
          <w:bCs/>
          <w:sz w:val="24"/>
          <w:szCs w:val="24"/>
          <w:lang w:val="es-PE"/>
        </w:rPr>
        <w:t>María Eugenia Valdez Fernández Baca– Vocal</w:t>
      </w:r>
    </w:p>
    <w:p w:rsidRPr="00C1601D" w:rsidR="009F3DD4" w:rsidP="009F3DD4" w:rsidRDefault="009F3DD4" w14:paraId="7D425A6D" w14:textId="6D9D2A80">
      <w:pPr>
        <w:spacing w:after="0" w:line="360" w:lineRule="auto"/>
        <w:jc w:val="center"/>
        <w:rPr>
          <w:rFonts w:ascii="Times New Roman" w:hAnsi="Times New Roman" w:cs="Times New Roman"/>
          <w:sz w:val="24"/>
          <w:szCs w:val="24"/>
          <w:lang w:val="es-PE"/>
        </w:rPr>
      </w:pPr>
      <w:r w:rsidRPr="00C1601D">
        <w:rPr>
          <w:rFonts w:ascii="Times New Roman" w:hAnsi="Times New Roman" w:cs="Times New Roman"/>
          <w:b/>
          <w:bCs/>
          <w:sz w:val="24"/>
          <w:szCs w:val="24"/>
          <w:lang w:val="es-PE"/>
        </w:rPr>
        <w:t>Marco Antonio Ortega Piana – Vocal</w:t>
      </w:r>
    </w:p>
    <w:p w:rsidRPr="00C1601D" w:rsidR="00C671F5" w:rsidP="004A374A" w:rsidRDefault="00C671F5" w14:paraId="3A9CFE9F" w14:textId="4DFF4426">
      <w:pPr>
        <w:spacing w:after="0" w:line="360" w:lineRule="auto"/>
        <w:jc w:val="center"/>
        <w:rPr>
          <w:rFonts w:ascii="Times New Roman" w:hAnsi="Times New Roman" w:cs="Times New Roman"/>
          <w:sz w:val="24"/>
          <w:szCs w:val="24"/>
          <w:lang w:val="es-PE"/>
        </w:rPr>
      </w:pPr>
      <w:r w:rsidRPr="00C1601D">
        <w:rPr>
          <w:rFonts w:ascii="Times New Roman" w:hAnsi="Times New Roman" w:cs="Times New Roman"/>
          <w:b/>
          <w:bCs/>
          <w:sz w:val="24"/>
          <w:szCs w:val="24"/>
          <w:lang w:val="es-PE"/>
        </w:rPr>
        <w:t xml:space="preserve">Gonzalo Abad del Busto </w:t>
      </w:r>
      <w:r w:rsidRPr="00C1601D" w:rsidR="00231C58">
        <w:rPr>
          <w:rFonts w:ascii="Times New Roman" w:hAnsi="Times New Roman" w:cs="Times New Roman"/>
          <w:b/>
          <w:bCs/>
          <w:sz w:val="24"/>
          <w:szCs w:val="24"/>
          <w:lang w:val="es-PE"/>
        </w:rPr>
        <w:t xml:space="preserve">– </w:t>
      </w:r>
      <w:r w:rsidRPr="00C1601D">
        <w:rPr>
          <w:rFonts w:ascii="Times New Roman" w:hAnsi="Times New Roman" w:cs="Times New Roman"/>
          <w:b/>
          <w:bCs/>
          <w:sz w:val="24"/>
          <w:szCs w:val="24"/>
          <w:lang w:val="es-PE"/>
        </w:rPr>
        <w:t>Vocal</w:t>
      </w:r>
    </w:p>
    <w:p w:rsidRPr="00C1601D" w:rsidR="00C671F5" w:rsidP="004A374A" w:rsidRDefault="00C671F5" w14:paraId="33E0FAB8" w14:textId="77777777">
      <w:pPr>
        <w:suppressAutoHyphens/>
        <w:spacing w:after="0" w:line="240" w:lineRule="auto"/>
        <w:outlineLvl w:val="0"/>
        <w:rPr>
          <w:rFonts w:ascii="Times New Roman" w:hAnsi="Times New Roman" w:eastAsia="Arial Unicode MS" w:cs="Times New Roman"/>
          <w:sz w:val="24"/>
          <w:szCs w:val="24"/>
          <w:lang w:val="es-PE" w:eastAsia="ar-SA"/>
        </w:rPr>
      </w:pPr>
    </w:p>
    <w:p w:rsidRPr="00C1601D" w:rsidR="00C671F5" w:rsidP="004A374A" w:rsidRDefault="00C671F5" w14:paraId="2C3A0205" w14:textId="77777777">
      <w:pPr>
        <w:spacing w:line="240" w:lineRule="auto"/>
        <w:rPr>
          <w:rFonts w:ascii="Times New Roman" w:hAnsi="Times New Roman" w:eastAsia="Arial Unicode MS" w:cs="Times New Roman"/>
          <w:sz w:val="24"/>
          <w:szCs w:val="24"/>
          <w:lang w:val="es-PE" w:eastAsia="ar-SA"/>
        </w:rPr>
      </w:pPr>
    </w:p>
    <w:sectPr w:rsidRPr="00C1601D" w:rsidR="00C671F5" w:rsidSect="00077B6F">
      <w:headerReference w:type="default" r:id="rId10"/>
      <w:footerReference w:type="default" r:id="rId11"/>
      <w:pgSz w:w="11906" w:h="16838" w:orient="portrait"/>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2C6900" w:rsidP="00784355" w:rsidRDefault="002C6900" w14:paraId="5F887E15" w14:textId="77777777">
      <w:pPr>
        <w:spacing w:after="0" w:line="240" w:lineRule="auto"/>
      </w:pPr>
      <w:r>
        <w:separator/>
      </w:r>
    </w:p>
  </w:endnote>
  <w:endnote w:type="continuationSeparator" w:id="0">
    <w:p w:rsidR="002C6900" w:rsidP="00784355" w:rsidRDefault="002C6900" w14:paraId="1A9A2B84"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552618902"/>
      <w:docPartObj>
        <w:docPartGallery w:val="Page Numbers (Bottom of Page)"/>
        <w:docPartUnique/>
      </w:docPartObj>
    </w:sdtPr>
    <w:sdtEndPr/>
    <w:sdtContent>
      <w:sdt>
        <w:sdtPr>
          <w:id w:val="-1769616900"/>
          <w:docPartObj>
            <w:docPartGallery w:val="Page Numbers (Top of Page)"/>
            <w:docPartUnique/>
          </w:docPartObj>
        </w:sdtPr>
        <w:sdtEndPr/>
        <w:sdtContent>
          <w:p w:rsidR="00C671F5" w:rsidRDefault="00C671F5" w14:paraId="1A7D4DE2" w14:textId="27FEA839">
            <w:pPr>
              <w:pStyle w:val="Piedepgina"/>
              <w:jc w:val="right"/>
            </w:pPr>
            <w:r w:rsidRPr="009C7C2B">
              <w:rPr>
                <w:rFonts w:ascii="Times New Roman" w:hAnsi="Times New Roman" w:cs="Times New Roman"/>
                <w:sz w:val="18"/>
                <w:szCs w:val="18"/>
                <w:lang w:val="es-ES"/>
              </w:rPr>
              <w:t xml:space="preserve">Página </w:t>
            </w:r>
            <w:r w:rsidRPr="009C7C2B">
              <w:rPr>
                <w:rFonts w:ascii="Times New Roman" w:hAnsi="Times New Roman" w:cs="Times New Roman"/>
                <w:b/>
                <w:bCs/>
                <w:sz w:val="18"/>
                <w:szCs w:val="18"/>
              </w:rPr>
              <w:fldChar w:fldCharType="begin"/>
            </w:r>
            <w:r w:rsidRPr="009C7C2B">
              <w:rPr>
                <w:rFonts w:ascii="Times New Roman" w:hAnsi="Times New Roman" w:cs="Times New Roman"/>
                <w:b/>
                <w:bCs/>
                <w:sz w:val="18"/>
                <w:szCs w:val="18"/>
              </w:rPr>
              <w:instrText>PAGE</w:instrText>
            </w:r>
            <w:r w:rsidRPr="009C7C2B">
              <w:rPr>
                <w:rFonts w:ascii="Times New Roman" w:hAnsi="Times New Roman" w:cs="Times New Roman"/>
                <w:b/>
                <w:bCs/>
                <w:sz w:val="18"/>
                <w:szCs w:val="18"/>
              </w:rPr>
              <w:fldChar w:fldCharType="separate"/>
            </w:r>
            <w:r w:rsidRPr="009C7C2B">
              <w:rPr>
                <w:rFonts w:ascii="Times New Roman" w:hAnsi="Times New Roman" w:cs="Times New Roman"/>
                <w:b/>
                <w:bCs/>
                <w:sz w:val="18"/>
                <w:szCs w:val="18"/>
                <w:lang w:val="es-ES"/>
              </w:rPr>
              <w:t>2</w:t>
            </w:r>
            <w:r w:rsidRPr="009C7C2B">
              <w:rPr>
                <w:rFonts w:ascii="Times New Roman" w:hAnsi="Times New Roman" w:cs="Times New Roman"/>
                <w:b/>
                <w:bCs/>
                <w:sz w:val="18"/>
                <w:szCs w:val="18"/>
              </w:rPr>
              <w:fldChar w:fldCharType="end"/>
            </w:r>
            <w:r w:rsidRPr="009C7C2B">
              <w:rPr>
                <w:rFonts w:ascii="Times New Roman" w:hAnsi="Times New Roman" w:cs="Times New Roman"/>
                <w:sz w:val="18"/>
                <w:szCs w:val="18"/>
                <w:lang w:val="es-ES"/>
              </w:rPr>
              <w:t xml:space="preserve"> de </w:t>
            </w:r>
            <w:r w:rsidRPr="009C7C2B">
              <w:rPr>
                <w:rFonts w:ascii="Times New Roman" w:hAnsi="Times New Roman" w:cs="Times New Roman"/>
                <w:b/>
                <w:bCs/>
                <w:sz w:val="18"/>
                <w:szCs w:val="18"/>
              </w:rPr>
              <w:fldChar w:fldCharType="begin"/>
            </w:r>
            <w:r w:rsidRPr="009C7C2B">
              <w:rPr>
                <w:rFonts w:ascii="Times New Roman" w:hAnsi="Times New Roman" w:cs="Times New Roman"/>
                <w:b/>
                <w:bCs/>
                <w:sz w:val="18"/>
                <w:szCs w:val="18"/>
              </w:rPr>
              <w:instrText>NUMPAGES</w:instrText>
            </w:r>
            <w:r w:rsidRPr="009C7C2B">
              <w:rPr>
                <w:rFonts w:ascii="Times New Roman" w:hAnsi="Times New Roman" w:cs="Times New Roman"/>
                <w:b/>
                <w:bCs/>
                <w:sz w:val="18"/>
                <w:szCs w:val="18"/>
              </w:rPr>
              <w:fldChar w:fldCharType="separate"/>
            </w:r>
            <w:r w:rsidRPr="009C7C2B">
              <w:rPr>
                <w:rFonts w:ascii="Times New Roman" w:hAnsi="Times New Roman" w:cs="Times New Roman"/>
                <w:b/>
                <w:bCs/>
                <w:sz w:val="18"/>
                <w:szCs w:val="18"/>
                <w:lang w:val="es-ES"/>
              </w:rPr>
              <w:t>2</w:t>
            </w:r>
            <w:r w:rsidRPr="009C7C2B">
              <w:rPr>
                <w:rFonts w:ascii="Times New Roman" w:hAnsi="Times New Roman" w:cs="Times New Roman"/>
                <w:b/>
                <w:bCs/>
                <w:sz w:val="18"/>
                <w:szCs w:val="18"/>
              </w:rPr>
              <w:fldChar w:fldCharType="end"/>
            </w:r>
          </w:p>
        </w:sdtContent>
      </w:sdt>
    </w:sdtContent>
  </w:sdt>
  <w:p w:rsidR="00784355" w:rsidRDefault="00784355" w14:paraId="3BA05C52"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2C6900" w:rsidP="00784355" w:rsidRDefault="002C6900" w14:paraId="69C83716" w14:textId="77777777">
      <w:pPr>
        <w:spacing w:after="0" w:line="240" w:lineRule="auto"/>
      </w:pPr>
      <w:r>
        <w:separator/>
      </w:r>
    </w:p>
  </w:footnote>
  <w:footnote w:type="continuationSeparator" w:id="0">
    <w:p w:rsidR="002C6900" w:rsidP="00784355" w:rsidRDefault="002C6900" w14:paraId="3F75A49C"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p w:rsidR="00C671F5" w:rsidRDefault="00C671F5" w14:paraId="0810BC29" w14:textId="579E5393">
    <w:pPr>
      <w:pStyle w:val="Encabezado"/>
    </w:pPr>
    <w:r>
      <w:rPr>
        <w:noProof/>
      </w:rPr>
      <w:drawing>
        <wp:inline distT="0" distB="0" distL="0" distR="0" wp14:anchorId="50540C2C" wp14:editId="4363C38F">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C671F5" w:rsidRDefault="00C671F5" w14:paraId="52A8D4E0"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8F2B65D9"/>
    <w:multiLevelType w:val="hybridMultilevel"/>
    <w:tmpl w:val="537460CC"/>
    <w:lvl w:ilvl="0" w:tplc="FFFFFFFF">
      <w:start w:val="1"/>
      <w:numFmt w:val="lowerLetter"/>
      <w:lvlText w:val=""/>
      <w:lvlJc w:val="left"/>
      <w:pPr>
        <w:ind w:left="0" w:firstLine="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1" w15:restartNumberingAfterBreak="0">
    <w:nsid w:val="07EE5EF4"/>
    <w:multiLevelType w:val="multilevel"/>
    <w:tmpl w:val="EC0C25E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D4F42E5"/>
    <w:multiLevelType w:val="hybridMultilevel"/>
    <w:tmpl w:val="4E324998"/>
    <w:lvl w:ilvl="0" w:tplc="84FC2ADA">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 w15:restartNumberingAfterBreak="0">
    <w:nsid w:val="1EE5617D"/>
    <w:multiLevelType w:val="hybridMultilevel"/>
    <w:tmpl w:val="B164D5D6"/>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 w15:restartNumberingAfterBreak="0">
    <w:nsid w:val="433E757B"/>
    <w:multiLevelType w:val="hybridMultilevel"/>
    <w:tmpl w:val="FCAAC25E"/>
    <w:lvl w:ilvl="0" w:tplc="DA581794">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 w15:restartNumberingAfterBreak="0">
    <w:nsid w:val="456C0ACA"/>
    <w:multiLevelType w:val="hybridMultilevel"/>
    <w:tmpl w:val="486244DC"/>
    <w:lvl w:ilvl="0" w:tplc="377608F0">
      <w:start w:val="1"/>
      <w:numFmt w:val="decimal"/>
      <w:lvlText w:val="%1."/>
      <w:lvlJc w:val="left"/>
      <w:pPr>
        <w:ind w:left="720" w:hanging="360"/>
      </w:pPr>
      <w:rPr>
        <w:rFonts w:hint="default" w:eastAsia="Arial Unicode MS"/>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45E05C8C"/>
    <w:multiLevelType w:val="hybridMultilevel"/>
    <w:tmpl w:val="91D4F5F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4E3B6F4F"/>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553520A4"/>
    <w:multiLevelType w:val="hybridMultilevel"/>
    <w:tmpl w:val="D6DC67F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58DE0505"/>
    <w:multiLevelType w:val="hybridMultilevel"/>
    <w:tmpl w:val="3A8C86B4"/>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0" w15:restartNumberingAfterBreak="0">
    <w:nsid w:val="5A7F0944"/>
    <w:multiLevelType w:val="hybridMultilevel"/>
    <w:tmpl w:val="27985540"/>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num w:numId="1">
    <w:abstractNumId w:val="1"/>
  </w:num>
  <w:num w:numId="2">
    <w:abstractNumId w:val="8"/>
  </w:num>
  <w:num w:numId="3">
    <w:abstractNumId w:val="6"/>
  </w:num>
  <w:num w:numId="4">
    <w:abstractNumId w:val="5"/>
  </w:num>
  <w:num w:numId="5">
    <w:abstractNumId w:val="7"/>
  </w:num>
  <w:num w:numId="6">
    <w:abstractNumId w:val="0"/>
    <w:lvlOverride w:ilvl="0">
      <w:startOverride w:val="1"/>
    </w:lvlOverride>
    <w:lvlOverride w:ilvl="1"/>
    <w:lvlOverride w:ilvl="2"/>
    <w:lvlOverride w:ilvl="3"/>
    <w:lvlOverride w:ilvl="4"/>
    <w:lvlOverride w:ilvl="5"/>
    <w:lvlOverride w:ilvl="6"/>
    <w:lvlOverride w:ilvl="7"/>
    <w:lvlOverride w:ilvl="8"/>
  </w:num>
  <w:num w:numId="7">
    <w:abstractNumId w:val="3"/>
  </w:num>
  <w:num w:numId="8">
    <w:abstractNumId w:val="4"/>
  </w:num>
  <w:num w:numId="9">
    <w:abstractNumId w:val="10"/>
  </w:num>
  <w:num w:numId="10">
    <w:abstractNumId w:val="9"/>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dirty"/>
  <w:trackRevisions w:val="false"/>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2C5E"/>
    <w:rsid w:val="00005B96"/>
    <w:rsid w:val="00010987"/>
    <w:rsid w:val="00013057"/>
    <w:rsid w:val="000159CC"/>
    <w:rsid w:val="00015C22"/>
    <w:rsid w:val="000167E0"/>
    <w:rsid w:val="000235E9"/>
    <w:rsid w:val="0002637D"/>
    <w:rsid w:val="0002733C"/>
    <w:rsid w:val="00027978"/>
    <w:rsid w:val="000345DA"/>
    <w:rsid w:val="00037922"/>
    <w:rsid w:val="0004480C"/>
    <w:rsid w:val="0004492D"/>
    <w:rsid w:val="00053D16"/>
    <w:rsid w:val="00056D9F"/>
    <w:rsid w:val="00062040"/>
    <w:rsid w:val="00063183"/>
    <w:rsid w:val="0006548C"/>
    <w:rsid w:val="00070DB6"/>
    <w:rsid w:val="00071A25"/>
    <w:rsid w:val="00072C60"/>
    <w:rsid w:val="000752E4"/>
    <w:rsid w:val="0007539A"/>
    <w:rsid w:val="00076E73"/>
    <w:rsid w:val="00077B6F"/>
    <w:rsid w:val="00080A9A"/>
    <w:rsid w:val="00080E45"/>
    <w:rsid w:val="000835CB"/>
    <w:rsid w:val="00083D69"/>
    <w:rsid w:val="00083F50"/>
    <w:rsid w:val="00084148"/>
    <w:rsid w:val="00092684"/>
    <w:rsid w:val="000A274F"/>
    <w:rsid w:val="000A5666"/>
    <w:rsid w:val="000A5CAA"/>
    <w:rsid w:val="000B19A0"/>
    <w:rsid w:val="000B58D8"/>
    <w:rsid w:val="000C0734"/>
    <w:rsid w:val="000D0DFE"/>
    <w:rsid w:val="000E1B0F"/>
    <w:rsid w:val="000E1E6F"/>
    <w:rsid w:val="000F6340"/>
    <w:rsid w:val="00101978"/>
    <w:rsid w:val="0011308C"/>
    <w:rsid w:val="00125B9B"/>
    <w:rsid w:val="001320DF"/>
    <w:rsid w:val="00136E12"/>
    <w:rsid w:val="001373AF"/>
    <w:rsid w:val="001377EF"/>
    <w:rsid w:val="00150874"/>
    <w:rsid w:val="001508BC"/>
    <w:rsid w:val="001529FE"/>
    <w:rsid w:val="00161642"/>
    <w:rsid w:val="001703D8"/>
    <w:rsid w:val="00170E39"/>
    <w:rsid w:val="00174918"/>
    <w:rsid w:val="00174DA5"/>
    <w:rsid w:val="00176D59"/>
    <w:rsid w:val="00181908"/>
    <w:rsid w:val="00181DCE"/>
    <w:rsid w:val="00187BFD"/>
    <w:rsid w:val="001A008A"/>
    <w:rsid w:val="001A3395"/>
    <w:rsid w:val="001A44E1"/>
    <w:rsid w:val="001B1E59"/>
    <w:rsid w:val="001B58A3"/>
    <w:rsid w:val="001D0EED"/>
    <w:rsid w:val="001D59D9"/>
    <w:rsid w:val="001D6136"/>
    <w:rsid w:val="001E119C"/>
    <w:rsid w:val="00201C0D"/>
    <w:rsid w:val="00203EF7"/>
    <w:rsid w:val="00204407"/>
    <w:rsid w:val="0020749F"/>
    <w:rsid w:val="002108AD"/>
    <w:rsid w:val="00211977"/>
    <w:rsid w:val="002130B0"/>
    <w:rsid w:val="0021627D"/>
    <w:rsid w:val="00217715"/>
    <w:rsid w:val="00224CEE"/>
    <w:rsid w:val="00225288"/>
    <w:rsid w:val="00227D02"/>
    <w:rsid w:val="00231C58"/>
    <w:rsid w:val="002331C3"/>
    <w:rsid w:val="0023526C"/>
    <w:rsid w:val="00241719"/>
    <w:rsid w:val="00243F6B"/>
    <w:rsid w:val="00256592"/>
    <w:rsid w:val="0027261F"/>
    <w:rsid w:val="00272F4F"/>
    <w:rsid w:val="0027301E"/>
    <w:rsid w:val="00274985"/>
    <w:rsid w:val="002768C6"/>
    <w:rsid w:val="00276A92"/>
    <w:rsid w:val="00277667"/>
    <w:rsid w:val="00290AC5"/>
    <w:rsid w:val="00290CA4"/>
    <w:rsid w:val="00292018"/>
    <w:rsid w:val="0029331C"/>
    <w:rsid w:val="002A31D3"/>
    <w:rsid w:val="002A3E88"/>
    <w:rsid w:val="002A7E2E"/>
    <w:rsid w:val="002B726E"/>
    <w:rsid w:val="002C2A0F"/>
    <w:rsid w:val="002C3466"/>
    <w:rsid w:val="002C6900"/>
    <w:rsid w:val="002D0DB0"/>
    <w:rsid w:val="002D3B01"/>
    <w:rsid w:val="002E1221"/>
    <w:rsid w:val="002E17F9"/>
    <w:rsid w:val="002F09CA"/>
    <w:rsid w:val="002F35F0"/>
    <w:rsid w:val="002F3B75"/>
    <w:rsid w:val="003045E3"/>
    <w:rsid w:val="00310DD6"/>
    <w:rsid w:val="00313D12"/>
    <w:rsid w:val="0032132E"/>
    <w:rsid w:val="0032345B"/>
    <w:rsid w:val="00326A2F"/>
    <w:rsid w:val="0033211B"/>
    <w:rsid w:val="00340E4B"/>
    <w:rsid w:val="00345DF0"/>
    <w:rsid w:val="00345F7F"/>
    <w:rsid w:val="00347D7E"/>
    <w:rsid w:val="00353092"/>
    <w:rsid w:val="003544B1"/>
    <w:rsid w:val="00357D70"/>
    <w:rsid w:val="00362449"/>
    <w:rsid w:val="00364E0F"/>
    <w:rsid w:val="003657C9"/>
    <w:rsid w:val="00366842"/>
    <w:rsid w:val="00367746"/>
    <w:rsid w:val="00374B0E"/>
    <w:rsid w:val="00377D5A"/>
    <w:rsid w:val="0038290F"/>
    <w:rsid w:val="00387D06"/>
    <w:rsid w:val="00391F72"/>
    <w:rsid w:val="00392259"/>
    <w:rsid w:val="003A3F8C"/>
    <w:rsid w:val="003B348C"/>
    <w:rsid w:val="003B3A93"/>
    <w:rsid w:val="003B41F7"/>
    <w:rsid w:val="003B798E"/>
    <w:rsid w:val="003D09A9"/>
    <w:rsid w:val="003D4684"/>
    <w:rsid w:val="003D4687"/>
    <w:rsid w:val="003E0CC2"/>
    <w:rsid w:val="003E450C"/>
    <w:rsid w:val="003F0C97"/>
    <w:rsid w:val="003F1149"/>
    <w:rsid w:val="003F1B5F"/>
    <w:rsid w:val="003F651C"/>
    <w:rsid w:val="00403814"/>
    <w:rsid w:val="004049B9"/>
    <w:rsid w:val="004060E9"/>
    <w:rsid w:val="00414F05"/>
    <w:rsid w:val="0041626C"/>
    <w:rsid w:val="00417E23"/>
    <w:rsid w:val="00425F75"/>
    <w:rsid w:val="00431D81"/>
    <w:rsid w:val="00440BC2"/>
    <w:rsid w:val="00444232"/>
    <w:rsid w:val="00460C30"/>
    <w:rsid w:val="00465FB9"/>
    <w:rsid w:val="00466302"/>
    <w:rsid w:val="0047370C"/>
    <w:rsid w:val="0047522D"/>
    <w:rsid w:val="00476BA1"/>
    <w:rsid w:val="00482259"/>
    <w:rsid w:val="00496A1A"/>
    <w:rsid w:val="004A374A"/>
    <w:rsid w:val="004A3E25"/>
    <w:rsid w:val="004A690A"/>
    <w:rsid w:val="004B51ED"/>
    <w:rsid w:val="004C51EC"/>
    <w:rsid w:val="004C6983"/>
    <w:rsid w:val="004D6978"/>
    <w:rsid w:val="004E65DD"/>
    <w:rsid w:val="004F549E"/>
    <w:rsid w:val="00504C79"/>
    <w:rsid w:val="00517CFF"/>
    <w:rsid w:val="005201E9"/>
    <w:rsid w:val="00521B4C"/>
    <w:rsid w:val="00522E2A"/>
    <w:rsid w:val="005259E7"/>
    <w:rsid w:val="005265A5"/>
    <w:rsid w:val="00527B27"/>
    <w:rsid w:val="00530698"/>
    <w:rsid w:val="005316B2"/>
    <w:rsid w:val="00531BEE"/>
    <w:rsid w:val="005323A2"/>
    <w:rsid w:val="0053470F"/>
    <w:rsid w:val="00535473"/>
    <w:rsid w:val="00537DBF"/>
    <w:rsid w:val="00540F01"/>
    <w:rsid w:val="00544BFC"/>
    <w:rsid w:val="00545F19"/>
    <w:rsid w:val="00547EE5"/>
    <w:rsid w:val="00567DEC"/>
    <w:rsid w:val="0057035B"/>
    <w:rsid w:val="005818E3"/>
    <w:rsid w:val="005819C6"/>
    <w:rsid w:val="00582D26"/>
    <w:rsid w:val="0058358B"/>
    <w:rsid w:val="00583A87"/>
    <w:rsid w:val="00585D65"/>
    <w:rsid w:val="005904C2"/>
    <w:rsid w:val="00592259"/>
    <w:rsid w:val="005948EF"/>
    <w:rsid w:val="00597430"/>
    <w:rsid w:val="005A0B70"/>
    <w:rsid w:val="005A4C4E"/>
    <w:rsid w:val="005A782D"/>
    <w:rsid w:val="005B1AC5"/>
    <w:rsid w:val="005B2924"/>
    <w:rsid w:val="005C524E"/>
    <w:rsid w:val="005C5AB9"/>
    <w:rsid w:val="005D3E68"/>
    <w:rsid w:val="005E00D1"/>
    <w:rsid w:val="005E0EC2"/>
    <w:rsid w:val="005E2CBE"/>
    <w:rsid w:val="005E398E"/>
    <w:rsid w:val="005E4870"/>
    <w:rsid w:val="005F4C97"/>
    <w:rsid w:val="005F7D93"/>
    <w:rsid w:val="00605902"/>
    <w:rsid w:val="00606105"/>
    <w:rsid w:val="0061360C"/>
    <w:rsid w:val="00613A39"/>
    <w:rsid w:val="00622ABC"/>
    <w:rsid w:val="00623204"/>
    <w:rsid w:val="00624034"/>
    <w:rsid w:val="006442E0"/>
    <w:rsid w:val="0064607A"/>
    <w:rsid w:val="00652672"/>
    <w:rsid w:val="006543D4"/>
    <w:rsid w:val="0065542B"/>
    <w:rsid w:val="0065594D"/>
    <w:rsid w:val="00655A90"/>
    <w:rsid w:val="00655BA3"/>
    <w:rsid w:val="00657AD2"/>
    <w:rsid w:val="006672C4"/>
    <w:rsid w:val="00671DB5"/>
    <w:rsid w:val="00680C36"/>
    <w:rsid w:val="00680D8A"/>
    <w:rsid w:val="00686BB2"/>
    <w:rsid w:val="006878E1"/>
    <w:rsid w:val="0069304A"/>
    <w:rsid w:val="00697D6C"/>
    <w:rsid w:val="006A0499"/>
    <w:rsid w:val="006B5CAE"/>
    <w:rsid w:val="006C1A65"/>
    <w:rsid w:val="006C29A7"/>
    <w:rsid w:val="006C4C21"/>
    <w:rsid w:val="006C6261"/>
    <w:rsid w:val="006D2BA9"/>
    <w:rsid w:val="006D3600"/>
    <w:rsid w:val="006D397E"/>
    <w:rsid w:val="006E2366"/>
    <w:rsid w:val="006E4547"/>
    <w:rsid w:val="006F2F97"/>
    <w:rsid w:val="006F36EF"/>
    <w:rsid w:val="006F47A8"/>
    <w:rsid w:val="006F4986"/>
    <w:rsid w:val="0070030F"/>
    <w:rsid w:val="00701598"/>
    <w:rsid w:val="00701893"/>
    <w:rsid w:val="00703430"/>
    <w:rsid w:val="00704A95"/>
    <w:rsid w:val="00706392"/>
    <w:rsid w:val="00706EB2"/>
    <w:rsid w:val="00707038"/>
    <w:rsid w:val="00707C99"/>
    <w:rsid w:val="0072050F"/>
    <w:rsid w:val="00720DBC"/>
    <w:rsid w:val="0072240A"/>
    <w:rsid w:val="007261FD"/>
    <w:rsid w:val="007300C4"/>
    <w:rsid w:val="00744447"/>
    <w:rsid w:val="00760034"/>
    <w:rsid w:val="007703E9"/>
    <w:rsid w:val="007708AB"/>
    <w:rsid w:val="00771625"/>
    <w:rsid w:val="00781235"/>
    <w:rsid w:val="00782FF5"/>
    <w:rsid w:val="00784355"/>
    <w:rsid w:val="007906AF"/>
    <w:rsid w:val="00794424"/>
    <w:rsid w:val="007950DD"/>
    <w:rsid w:val="007965C0"/>
    <w:rsid w:val="007A09BB"/>
    <w:rsid w:val="007A4108"/>
    <w:rsid w:val="007A4EA9"/>
    <w:rsid w:val="007A7F95"/>
    <w:rsid w:val="007B1018"/>
    <w:rsid w:val="007C14D0"/>
    <w:rsid w:val="007C213D"/>
    <w:rsid w:val="007C69FE"/>
    <w:rsid w:val="007D13E3"/>
    <w:rsid w:val="007D13F3"/>
    <w:rsid w:val="007D39D3"/>
    <w:rsid w:val="007D5BB1"/>
    <w:rsid w:val="007D7213"/>
    <w:rsid w:val="007E5917"/>
    <w:rsid w:val="007F74F1"/>
    <w:rsid w:val="008010D0"/>
    <w:rsid w:val="008020A1"/>
    <w:rsid w:val="00816B3F"/>
    <w:rsid w:val="0081754D"/>
    <w:rsid w:val="008177B9"/>
    <w:rsid w:val="00821801"/>
    <w:rsid w:val="0083290A"/>
    <w:rsid w:val="00836831"/>
    <w:rsid w:val="00837DDE"/>
    <w:rsid w:val="008523F5"/>
    <w:rsid w:val="008548F9"/>
    <w:rsid w:val="0085575C"/>
    <w:rsid w:val="0085791F"/>
    <w:rsid w:val="00857988"/>
    <w:rsid w:val="0086244F"/>
    <w:rsid w:val="00864B0B"/>
    <w:rsid w:val="00871F40"/>
    <w:rsid w:val="00883121"/>
    <w:rsid w:val="0088392F"/>
    <w:rsid w:val="00884426"/>
    <w:rsid w:val="00886D60"/>
    <w:rsid w:val="00887814"/>
    <w:rsid w:val="008916FF"/>
    <w:rsid w:val="00891DB3"/>
    <w:rsid w:val="00895A85"/>
    <w:rsid w:val="008A1D12"/>
    <w:rsid w:val="008A3A47"/>
    <w:rsid w:val="008C6A59"/>
    <w:rsid w:val="008D55AF"/>
    <w:rsid w:val="008D6DDF"/>
    <w:rsid w:val="008F1161"/>
    <w:rsid w:val="008F1AB2"/>
    <w:rsid w:val="008F479E"/>
    <w:rsid w:val="009011F1"/>
    <w:rsid w:val="0090251A"/>
    <w:rsid w:val="009127A6"/>
    <w:rsid w:val="0091528B"/>
    <w:rsid w:val="009157B1"/>
    <w:rsid w:val="00917CAF"/>
    <w:rsid w:val="009272D7"/>
    <w:rsid w:val="00933532"/>
    <w:rsid w:val="00943343"/>
    <w:rsid w:val="00946694"/>
    <w:rsid w:val="00951B99"/>
    <w:rsid w:val="00955C03"/>
    <w:rsid w:val="00964237"/>
    <w:rsid w:val="00966813"/>
    <w:rsid w:val="00967B16"/>
    <w:rsid w:val="0097301B"/>
    <w:rsid w:val="00974D2D"/>
    <w:rsid w:val="009754DD"/>
    <w:rsid w:val="009765CD"/>
    <w:rsid w:val="00997863"/>
    <w:rsid w:val="009A1120"/>
    <w:rsid w:val="009A28B5"/>
    <w:rsid w:val="009A5B27"/>
    <w:rsid w:val="009A6404"/>
    <w:rsid w:val="009A701F"/>
    <w:rsid w:val="009A7E68"/>
    <w:rsid w:val="009B29C9"/>
    <w:rsid w:val="009B4291"/>
    <w:rsid w:val="009C1066"/>
    <w:rsid w:val="009C1372"/>
    <w:rsid w:val="009C5373"/>
    <w:rsid w:val="009C6404"/>
    <w:rsid w:val="009C7C2B"/>
    <w:rsid w:val="009D3B98"/>
    <w:rsid w:val="009D6055"/>
    <w:rsid w:val="009E5F11"/>
    <w:rsid w:val="009E7994"/>
    <w:rsid w:val="009E7FDD"/>
    <w:rsid w:val="009F143B"/>
    <w:rsid w:val="009F2EEB"/>
    <w:rsid w:val="009F3DD4"/>
    <w:rsid w:val="00A02104"/>
    <w:rsid w:val="00A02270"/>
    <w:rsid w:val="00A077D2"/>
    <w:rsid w:val="00A12FB7"/>
    <w:rsid w:val="00A14F48"/>
    <w:rsid w:val="00A16942"/>
    <w:rsid w:val="00A17A72"/>
    <w:rsid w:val="00A23996"/>
    <w:rsid w:val="00A25F51"/>
    <w:rsid w:val="00A30393"/>
    <w:rsid w:val="00A32246"/>
    <w:rsid w:val="00A328C0"/>
    <w:rsid w:val="00A3714C"/>
    <w:rsid w:val="00A427D6"/>
    <w:rsid w:val="00A46E96"/>
    <w:rsid w:val="00A51F2A"/>
    <w:rsid w:val="00A62BEC"/>
    <w:rsid w:val="00A658C1"/>
    <w:rsid w:val="00A6710A"/>
    <w:rsid w:val="00A734AD"/>
    <w:rsid w:val="00A837A0"/>
    <w:rsid w:val="00A83AB0"/>
    <w:rsid w:val="00A83D6A"/>
    <w:rsid w:val="00A90926"/>
    <w:rsid w:val="00A97287"/>
    <w:rsid w:val="00AA2A1F"/>
    <w:rsid w:val="00AA2DED"/>
    <w:rsid w:val="00AB1C66"/>
    <w:rsid w:val="00AB69B3"/>
    <w:rsid w:val="00AC5A9E"/>
    <w:rsid w:val="00AD1FEC"/>
    <w:rsid w:val="00AD2DF1"/>
    <w:rsid w:val="00AE4125"/>
    <w:rsid w:val="00AF16B6"/>
    <w:rsid w:val="00AF5E87"/>
    <w:rsid w:val="00B00552"/>
    <w:rsid w:val="00B02BEE"/>
    <w:rsid w:val="00B115C4"/>
    <w:rsid w:val="00B11C1C"/>
    <w:rsid w:val="00B17BD8"/>
    <w:rsid w:val="00B30B53"/>
    <w:rsid w:val="00B313E9"/>
    <w:rsid w:val="00B32325"/>
    <w:rsid w:val="00B340A4"/>
    <w:rsid w:val="00B40968"/>
    <w:rsid w:val="00B45C2D"/>
    <w:rsid w:val="00B56649"/>
    <w:rsid w:val="00B625F2"/>
    <w:rsid w:val="00B663DC"/>
    <w:rsid w:val="00B710D8"/>
    <w:rsid w:val="00B73629"/>
    <w:rsid w:val="00B7466E"/>
    <w:rsid w:val="00B779BD"/>
    <w:rsid w:val="00B8021E"/>
    <w:rsid w:val="00B8028F"/>
    <w:rsid w:val="00B833BE"/>
    <w:rsid w:val="00B87B08"/>
    <w:rsid w:val="00B94FDB"/>
    <w:rsid w:val="00B956C4"/>
    <w:rsid w:val="00BB2152"/>
    <w:rsid w:val="00BB2BE0"/>
    <w:rsid w:val="00BB405B"/>
    <w:rsid w:val="00BC29D0"/>
    <w:rsid w:val="00BC3B86"/>
    <w:rsid w:val="00BD797F"/>
    <w:rsid w:val="00BE1470"/>
    <w:rsid w:val="00BE6FFA"/>
    <w:rsid w:val="00BE7C72"/>
    <w:rsid w:val="00BF1421"/>
    <w:rsid w:val="00BF414E"/>
    <w:rsid w:val="00BF5A34"/>
    <w:rsid w:val="00BF78BF"/>
    <w:rsid w:val="00C00BBF"/>
    <w:rsid w:val="00C04AA4"/>
    <w:rsid w:val="00C05445"/>
    <w:rsid w:val="00C12CBD"/>
    <w:rsid w:val="00C134DB"/>
    <w:rsid w:val="00C1601D"/>
    <w:rsid w:val="00C25B78"/>
    <w:rsid w:val="00C32068"/>
    <w:rsid w:val="00C33FEF"/>
    <w:rsid w:val="00C35DA4"/>
    <w:rsid w:val="00C4163B"/>
    <w:rsid w:val="00C41F24"/>
    <w:rsid w:val="00C45F20"/>
    <w:rsid w:val="00C47619"/>
    <w:rsid w:val="00C52848"/>
    <w:rsid w:val="00C61FF5"/>
    <w:rsid w:val="00C671F5"/>
    <w:rsid w:val="00C67E5D"/>
    <w:rsid w:val="00C70DB9"/>
    <w:rsid w:val="00C72528"/>
    <w:rsid w:val="00C748FF"/>
    <w:rsid w:val="00C74DA7"/>
    <w:rsid w:val="00C767DA"/>
    <w:rsid w:val="00C805FB"/>
    <w:rsid w:val="00C83750"/>
    <w:rsid w:val="00C8675B"/>
    <w:rsid w:val="00C86CD7"/>
    <w:rsid w:val="00C91C1D"/>
    <w:rsid w:val="00C9376B"/>
    <w:rsid w:val="00C9581A"/>
    <w:rsid w:val="00C960BE"/>
    <w:rsid w:val="00C9791B"/>
    <w:rsid w:val="00CA3682"/>
    <w:rsid w:val="00CB44BB"/>
    <w:rsid w:val="00CC4AEF"/>
    <w:rsid w:val="00CC6C0C"/>
    <w:rsid w:val="00CD4BE8"/>
    <w:rsid w:val="00CE4825"/>
    <w:rsid w:val="00CF178F"/>
    <w:rsid w:val="00CF55D6"/>
    <w:rsid w:val="00CF69DD"/>
    <w:rsid w:val="00CF78D3"/>
    <w:rsid w:val="00D01E70"/>
    <w:rsid w:val="00D10B27"/>
    <w:rsid w:val="00D12CFF"/>
    <w:rsid w:val="00D156AF"/>
    <w:rsid w:val="00D16367"/>
    <w:rsid w:val="00D2092C"/>
    <w:rsid w:val="00D22AA1"/>
    <w:rsid w:val="00D22DC3"/>
    <w:rsid w:val="00D25683"/>
    <w:rsid w:val="00D27042"/>
    <w:rsid w:val="00D35EC2"/>
    <w:rsid w:val="00D4253A"/>
    <w:rsid w:val="00D50B42"/>
    <w:rsid w:val="00D56F67"/>
    <w:rsid w:val="00D57228"/>
    <w:rsid w:val="00D61C6D"/>
    <w:rsid w:val="00D64034"/>
    <w:rsid w:val="00D67F30"/>
    <w:rsid w:val="00D73109"/>
    <w:rsid w:val="00D76C43"/>
    <w:rsid w:val="00D810EC"/>
    <w:rsid w:val="00D835B6"/>
    <w:rsid w:val="00D84464"/>
    <w:rsid w:val="00DA0540"/>
    <w:rsid w:val="00DA2840"/>
    <w:rsid w:val="00DA4030"/>
    <w:rsid w:val="00DB15FD"/>
    <w:rsid w:val="00DB58EC"/>
    <w:rsid w:val="00DC399B"/>
    <w:rsid w:val="00DD21B2"/>
    <w:rsid w:val="00DD5E2B"/>
    <w:rsid w:val="00DF3781"/>
    <w:rsid w:val="00DF6E69"/>
    <w:rsid w:val="00E03DCE"/>
    <w:rsid w:val="00E107CA"/>
    <w:rsid w:val="00E1216B"/>
    <w:rsid w:val="00E1477F"/>
    <w:rsid w:val="00E16C63"/>
    <w:rsid w:val="00E25D54"/>
    <w:rsid w:val="00E30E76"/>
    <w:rsid w:val="00E33B24"/>
    <w:rsid w:val="00E341F5"/>
    <w:rsid w:val="00E43D94"/>
    <w:rsid w:val="00E531B9"/>
    <w:rsid w:val="00E53BC5"/>
    <w:rsid w:val="00E55106"/>
    <w:rsid w:val="00E57869"/>
    <w:rsid w:val="00E61DBC"/>
    <w:rsid w:val="00E63AD1"/>
    <w:rsid w:val="00E64057"/>
    <w:rsid w:val="00E6613C"/>
    <w:rsid w:val="00E66AFF"/>
    <w:rsid w:val="00E6771C"/>
    <w:rsid w:val="00E70381"/>
    <w:rsid w:val="00E70F8F"/>
    <w:rsid w:val="00E73DEF"/>
    <w:rsid w:val="00E80D65"/>
    <w:rsid w:val="00E865E7"/>
    <w:rsid w:val="00EA4C4B"/>
    <w:rsid w:val="00EA77BE"/>
    <w:rsid w:val="00EC19C1"/>
    <w:rsid w:val="00EC7271"/>
    <w:rsid w:val="00ED38AF"/>
    <w:rsid w:val="00ED60A1"/>
    <w:rsid w:val="00ED6123"/>
    <w:rsid w:val="00EE1C4A"/>
    <w:rsid w:val="00EE6D21"/>
    <w:rsid w:val="00EF0B7F"/>
    <w:rsid w:val="00EF3171"/>
    <w:rsid w:val="00F01B55"/>
    <w:rsid w:val="00F0237B"/>
    <w:rsid w:val="00F06498"/>
    <w:rsid w:val="00F11E0A"/>
    <w:rsid w:val="00F13013"/>
    <w:rsid w:val="00F14F22"/>
    <w:rsid w:val="00F16CF9"/>
    <w:rsid w:val="00F20B09"/>
    <w:rsid w:val="00F3335E"/>
    <w:rsid w:val="00F349E0"/>
    <w:rsid w:val="00F439B5"/>
    <w:rsid w:val="00F52E75"/>
    <w:rsid w:val="00F54C75"/>
    <w:rsid w:val="00F57DED"/>
    <w:rsid w:val="00F626D4"/>
    <w:rsid w:val="00F63F49"/>
    <w:rsid w:val="00F65837"/>
    <w:rsid w:val="00F65B93"/>
    <w:rsid w:val="00F72D00"/>
    <w:rsid w:val="00F81150"/>
    <w:rsid w:val="00F833B7"/>
    <w:rsid w:val="00F83A22"/>
    <w:rsid w:val="00F84CF9"/>
    <w:rsid w:val="00F87C6C"/>
    <w:rsid w:val="00F87E38"/>
    <w:rsid w:val="00F97EA2"/>
    <w:rsid w:val="00FA155E"/>
    <w:rsid w:val="00FA2322"/>
    <w:rsid w:val="00FB4B0C"/>
    <w:rsid w:val="00FC0D10"/>
    <w:rsid w:val="00FC1934"/>
    <w:rsid w:val="00FC382A"/>
    <w:rsid w:val="00FE2121"/>
    <w:rsid w:val="00FE38F0"/>
    <w:rsid w:val="00FE43A9"/>
    <w:rsid w:val="00FF41F3"/>
    <w:rsid w:val="0347D264"/>
    <w:rsid w:val="072616AE"/>
    <w:rsid w:val="0E2F43BE"/>
    <w:rsid w:val="11D8FBFA"/>
    <w:rsid w:val="1A9E81A6"/>
    <w:rsid w:val="288A1054"/>
    <w:rsid w:val="3E6ECF08"/>
    <w:rsid w:val="4FAEA4CA"/>
    <w:rsid w:val="5B8B8E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7FDCB09"/>
  <w15:docId w15:val="{2B3C2E73-2082-41D0-89C5-876A73689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Ttulo2">
    <w:name w:val="heading 2"/>
    <w:basedOn w:val="Normal"/>
    <w:next w:val="Normal"/>
    <w:link w:val="Ttulo2Car"/>
    <w:uiPriority w:val="9"/>
    <w:unhideWhenUsed/>
    <w:qFormat/>
    <w:rsid w:val="00F626D4"/>
    <w:pPr>
      <w:keepNext/>
      <w:keepLines/>
      <w:spacing w:before="40" w:after="0"/>
      <w:outlineLvl w:val="1"/>
    </w:pPr>
    <w:rPr>
      <w:rFonts w:asciiTheme="majorHAnsi" w:hAnsiTheme="majorHAnsi" w:eastAsiaTheme="majorEastAsia" w:cstheme="majorBidi"/>
      <w:color w:val="2E74B5" w:themeColor="accent1" w:themeShade="BF"/>
      <w:sz w:val="26"/>
      <w:szCs w:val="26"/>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rrafodelista">
    <w:name w:val="List Paragraph"/>
    <w:basedOn w:val="Normal"/>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hAnsi="Times New Roman" w:eastAsia="Times New Roman" w:cs="Times New Roman"/>
      <w:bCs/>
      <w:sz w:val="24"/>
      <w:szCs w:val="24"/>
      <w:lang w:val="es-MX" w:eastAsia="ar-SA"/>
    </w:rPr>
  </w:style>
  <w:style w:type="character" w:styleId="TextoindependienteCar" w:customStyle="1">
    <w:name w:val="Texto independiente Car"/>
    <w:basedOn w:val="Fuentedeprrafopredeter"/>
    <w:link w:val="Textoindependiente"/>
    <w:rsid w:val="00BD797F"/>
    <w:rPr>
      <w:rFonts w:ascii="Times New Roman" w:hAnsi="Times New Roman" w:eastAsia="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styleId="Mencionar1" w:customStyle="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styleId="Mencinsinresolver1" w:customStyle="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hAnsi="Calibri" w:eastAsia="Calibri" w:cs="Times New Roman"/>
      <w:lang w:val="es-PE"/>
    </w:rPr>
  </w:style>
  <w:style w:type="character" w:styleId="SangradetextonormalCar" w:customStyle="1">
    <w:name w:val="Sangría de texto normal Car"/>
    <w:basedOn w:val="Fuentedeprrafopredeter"/>
    <w:link w:val="Sangradetextonormal"/>
    <w:uiPriority w:val="99"/>
    <w:rsid w:val="00D22DC3"/>
    <w:rPr>
      <w:rFonts w:ascii="Calibri" w:hAnsi="Calibri" w:eastAsia="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784355"/>
  </w:style>
  <w:style w:type="paragraph" w:styleId="Default" w:customStyle="1">
    <w:name w:val="Default"/>
    <w:rsid w:val="00072C60"/>
    <w:pPr>
      <w:autoSpaceDE w:val="0"/>
      <w:autoSpaceDN w:val="0"/>
      <w:adjustRightInd w:val="0"/>
      <w:spacing w:after="0" w:line="240" w:lineRule="auto"/>
    </w:pPr>
    <w:rPr>
      <w:rFonts w:ascii="Arial" w:hAnsi="Arial" w:cs="Arial"/>
      <w:color w:val="000000"/>
      <w:sz w:val="24"/>
      <w:szCs w:val="24"/>
      <w:lang w:val="es-PE"/>
    </w:rPr>
  </w:style>
  <w:style w:type="character" w:styleId="Textoennegrita">
    <w:name w:val="Strong"/>
    <w:qFormat/>
    <w:rsid w:val="00062040"/>
    <w:rPr>
      <w:b/>
      <w:bCs/>
    </w:rPr>
  </w:style>
  <w:style w:type="character" w:styleId="Ttulo2Car" w:customStyle="1">
    <w:name w:val="Título 2 Car"/>
    <w:basedOn w:val="Fuentedeprrafopredeter"/>
    <w:link w:val="Ttulo2"/>
    <w:uiPriority w:val="9"/>
    <w:rsid w:val="00F626D4"/>
    <w:rPr>
      <w:rFonts w:asciiTheme="majorHAnsi" w:hAnsiTheme="majorHAnsi" w:eastAsiaTheme="majorEastAsia"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229695">
      <w:bodyDiv w:val="1"/>
      <w:marLeft w:val="0"/>
      <w:marRight w:val="0"/>
      <w:marTop w:val="0"/>
      <w:marBottom w:val="0"/>
      <w:divBdr>
        <w:top w:val="none" w:sz="0" w:space="0" w:color="auto"/>
        <w:left w:val="none" w:sz="0" w:space="0" w:color="auto"/>
        <w:bottom w:val="none" w:sz="0" w:space="0" w:color="auto"/>
        <w:right w:val="none" w:sz="0" w:space="0" w:color="auto"/>
      </w:divBdr>
    </w:div>
    <w:div w:id="725370302">
      <w:bodyDiv w:val="1"/>
      <w:marLeft w:val="0"/>
      <w:marRight w:val="0"/>
      <w:marTop w:val="0"/>
      <w:marBottom w:val="0"/>
      <w:divBdr>
        <w:top w:val="none" w:sz="0" w:space="0" w:color="auto"/>
        <w:left w:val="none" w:sz="0" w:space="0" w:color="auto"/>
        <w:bottom w:val="none" w:sz="0" w:space="0" w:color="auto"/>
        <w:right w:val="none" w:sz="0" w:space="0" w:color="auto"/>
      </w:divBdr>
    </w:div>
    <w:div w:id="1063138293">
      <w:bodyDiv w:val="1"/>
      <w:marLeft w:val="0"/>
      <w:marRight w:val="0"/>
      <w:marTop w:val="0"/>
      <w:marBottom w:val="0"/>
      <w:divBdr>
        <w:top w:val="none" w:sz="0" w:space="0" w:color="auto"/>
        <w:left w:val="none" w:sz="0" w:space="0" w:color="auto"/>
        <w:bottom w:val="none" w:sz="0" w:space="0" w:color="auto"/>
        <w:right w:val="none" w:sz="0" w:space="0" w:color="auto"/>
      </w:divBdr>
    </w:div>
    <w:div w:id="1175342425">
      <w:bodyDiv w:val="1"/>
      <w:marLeft w:val="0"/>
      <w:marRight w:val="0"/>
      <w:marTop w:val="0"/>
      <w:marBottom w:val="0"/>
      <w:divBdr>
        <w:top w:val="none" w:sz="0" w:space="0" w:color="auto"/>
        <w:left w:val="none" w:sz="0" w:space="0" w:color="auto"/>
        <w:bottom w:val="none" w:sz="0" w:space="0" w:color="auto"/>
        <w:right w:val="none" w:sz="0" w:space="0" w:color="auto"/>
      </w:divBdr>
    </w:div>
    <w:div w:id="1532961771">
      <w:bodyDiv w:val="1"/>
      <w:marLeft w:val="0"/>
      <w:marRight w:val="0"/>
      <w:marTop w:val="0"/>
      <w:marBottom w:val="0"/>
      <w:divBdr>
        <w:top w:val="none" w:sz="0" w:space="0" w:color="auto"/>
        <w:left w:val="none" w:sz="0" w:space="0" w:color="auto"/>
        <w:bottom w:val="none" w:sz="0" w:space="0" w:color="auto"/>
        <w:right w:val="none" w:sz="0" w:space="0" w:color="auto"/>
      </w:divBdr>
    </w:div>
    <w:div w:id="1876379910">
      <w:bodyDiv w:val="1"/>
      <w:marLeft w:val="0"/>
      <w:marRight w:val="0"/>
      <w:marTop w:val="0"/>
      <w:marBottom w:val="0"/>
      <w:divBdr>
        <w:top w:val="none" w:sz="0" w:space="0" w:color="auto"/>
        <w:left w:val="none" w:sz="0" w:space="0" w:color="auto"/>
        <w:bottom w:val="none" w:sz="0" w:space="0" w:color="auto"/>
        <w:right w:val="none" w:sz="0" w:space="0" w:color="auto"/>
      </w:divBdr>
    </w:div>
    <w:div w:id="2016027959">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479807244">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25074786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1.xml"/><Relationship Id="rId4" Type="http://schemas.openxmlformats.org/officeDocument/2006/relationships/settings" Target="settings.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6608679F-87E0-4539-ABE7-7AD2EFC92368}"/>
</file>

<file path=customXml/itemProps3.xml><?xml version="1.0" encoding="utf-8"?>
<ds:datastoreItem xmlns:ds="http://schemas.openxmlformats.org/officeDocument/2006/customXml" ds:itemID="{DE643C3C-56FF-4E67-B737-11C6F96053D3}"/>
</file>

<file path=customXml/itemProps4.xml><?xml version="1.0" encoding="utf-8"?>
<ds:datastoreItem xmlns:ds="http://schemas.openxmlformats.org/officeDocument/2006/customXml" ds:itemID="{00C015AB-91F4-4BD0-BA2A-E5CD0A7FEF48}"/>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Valeria Santos</cp:lastModifiedBy>
  <cp:revision>77</cp:revision>
  <cp:lastPrinted>2021-09-21T20:35:00Z</cp:lastPrinted>
  <dcterms:created xsi:type="dcterms:W3CDTF">2020-12-18T20:17:00Z</dcterms:created>
  <dcterms:modified xsi:type="dcterms:W3CDTF">2026-02-04T19:57:59Z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