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1C0962" w:rsidR="00EF0B7F" w:rsidP="00EF0B7F" w:rsidRDefault="00201C0D" w14:paraId="632C635A" w14:textId="050DF495">
      <w:pPr>
        <w:pStyle w:val="Ttulo2"/>
        <w:jc w:val="center"/>
        <w:rPr>
          <w:rFonts w:ascii="Times New Roman" w:hAnsi="Times New Roman" w:cs="Times New Roman"/>
          <w:b/>
          <w:bCs/>
          <w:color w:val="auto"/>
          <w:sz w:val="24"/>
          <w:szCs w:val="24"/>
          <w:lang w:val="es-PE" w:eastAsia="ar-SA"/>
        </w:rPr>
      </w:pPr>
      <w:r w:rsidRPr="001C0962">
        <w:rPr>
          <w:rFonts w:ascii="Times New Roman" w:hAnsi="Times New Roman" w:cs="Times New Roman"/>
          <w:b/>
          <w:bCs/>
          <w:color w:val="auto"/>
          <w:sz w:val="24"/>
          <w:szCs w:val="24"/>
          <w:lang w:val="es-PE" w:eastAsia="ar-SA"/>
        </w:rPr>
        <w:t xml:space="preserve">RESOLUCIÓN DE RECURSO IMPUGNATIVO </w:t>
      </w:r>
      <w:r w:rsidRPr="001C0962" w:rsidR="00707C99">
        <w:rPr>
          <w:rFonts w:ascii="Times New Roman" w:hAnsi="Times New Roman" w:cs="Times New Roman"/>
          <w:b/>
          <w:bCs/>
          <w:color w:val="auto"/>
          <w:sz w:val="24"/>
          <w:szCs w:val="24"/>
          <w:lang w:val="es-PE" w:eastAsia="ar-SA"/>
        </w:rPr>
        <w:t xml:space="preserve">N° </w:t>
      </w:r>
      <w:r w:rsidRPr="001C0962" w:rsidR="00C671F5">
        <w:rPr>
          <w:rFonts w:ascii="Times New Roman" w:hAnsi="Times New Roman" w:cs="Times New Roman"/>
          <w:b/>
          <w:bCs/>
          <w:color w:val="auto"/>
          <w:sz w:val="24"/>
          <w:szCs w:val="24"/>
          <w:lang w:val="es-PE" w:eastAsia="ar-SA"/>
        </w:rPr>
        <w:t>0</w:t>
      </w:r>
      <w:r w:rsidRPr="001C0962" w:rsidR="00DD21B2">
        <w:rPr>
          <w:rFonts w:ascii="Times New Roman" w:hAnsi="Times New Roman" w:cs="Times New Roman"/>
          <w:b/>
          <w:bCs/>
          <w:color w:val="auto"/>
          <w:sz w:val="24"/>
          <w:szCs w:val="24"/>
          <w:lang w:val="es-PE" w:eastAsia="ar-SA"/>
        </w:rPr>
        <w:t>5</w:t>
      </w:r>
      <w:r w:rsidRPr="001C0962" w:rsidR="001C0962">
        <w:rPr>
          <w:rFonts w:ascii="Times New Roman" w:hAnsi="Times New Roman" w:cs="Times New Roman"/>
          <w:b/>
          <w:bCs/>
          <w:color w:val="auto"/>
          <w:sz w:val="24"/>
          <w:szCs w:val="24"/>
          <w:lang w:val="es-PE" w:eastAsia="ar-SA"/>
        </w:rPr>
        <w:t>2</w:t>
      </w:r>
      <w:r w:rsidRPr="001C0962" w:rsidR="00517CFF">
        <w:rPr>
          <w:rFonts w:ascii="Times New Roman" w:hAnsi="Times New Roman" w:cs="Times New Roman"/>
          <w:b/>
          <w:bCs/>
          <w:color w:val="auto"/>
          <w:sz w:val="24"/>
          <w:szCs w:val="24"/>
          <w:lang w:val="es-PE" w:eastAsia="ar-SA"/>
        </w:rPr>
        <w:t>/</w:t>
      </w:r>
      <w:r w:rsidRPr="001C0962" w:rsidR="00C671F5">
        <w:rPr>
          <w:rFonts w:ascii="Times New Roman" w:hAnsi="Times New Roman" w:cs="Times New Roman"/>
          <w:b/>
          <w:bCs/>
          <w:color w:val="auto"/>
          <w:sz w:val="24"/>
          <w:szCs w:val="24"/>
          <w:lang w:val="es-PE" w:eastAsia="ar-SA"/>
        </w:rPr>
        <w:t>2</w:t>
      </w:r>
      <w:r w:rsidRPr="001C0962" w:rsidR="00231C58">
        <w:rPr>
          <w:rFonts w:ascii="Times New Roman" w:hAnsi="Times New Roman" w:cs="Times New Roman"/>
          <w:b/>
          <w:bCs/>
          <w:color w:val="auto"/>
          <w:sz w:val="24"/>
          <w:szCs w:val="24"/>
          <w:lang w:val="es-PE" w:eastAsia="ar-SA"/>
        </w:rPr>
        <w:t>1</w:t>
      </w:r>
    </w:p>
    <w:p w:rsidRPr="001C0962" w:rsidR="00AA2A1F" w:rsidP="00AA2A1F" w:rsidRDefault="00AA2A1F" w14:paraId="0AD814ED" w14:textId="77777777">
      <w:pPr>
        <w:spacing w:after="0" w:line="240" w:lineRule="auto"/>
        <w:rPr>
          <w:rFonts w:ascii="Times New Roman" w:hAnsi="Times New Roman" w:cs="Times New Roman"/>
          <w:sz w:val="24"/>
          <w:szCs w:val="24"/>
          <w:lang w:val="es-PE"/>
        </w:rPr>
      </w:pPr>
    </w:p>
    <w:p w:rsidRPr="001C0962" w:rsidR="001C0962" w:rsidP="001C0962" w:rsidRDefault="001C0962" w14:paraId="426C4B52" w14:textId="77777777">
      <w:pPr>
        <w:jc w:val="both"/>
        <w:outlineLvl w:val="0"/>
        <w:rPr>
          <w:rFonts w:ascii="Times New Roman" w:hAnsi="Times New Roman" w:cs="Times New Roman"/>
          <w:b/>
          <w:bCs/>
          <w:sz w:val="24"/>
          <w:szCs w:val="24"/>
          <w:lang w:val="es-MX"/>
        </w:rPr>
      </w:pPr>
      <w:r w:rsidRPr="001C0962">
        <w:rPr>
          <w:rFonts w:ascii="Times New Roman" w:hAnsi="Times New Roman" w:cs="Times New Roman"/>
          <w:b/>
          <w:bCs/>
          <w:sz w:val="24"/>
          <w:szCs w:val="24"/>
          <w:lang w:val="es-MX"/>
        </w:rPr>
        <w:t>VISTOS:</w:t>
      </w:r>
    </w:p>
    <w:p w:rsidRPr="001C0962" w:rsidR="001C0962" w:rsidP="001C0962" w:rsidRDefault="001C0962" w14:paraId="3B8B86EE" w14:textId="384C8076">
      <w:pPr>
        <w:pStyle w:val="Default"/>
        <w:jc w:val="both"/>
        <w:rPr>
          <w:rFonts w:ascii="Times New Roman" w:hAnsi="Times New Roman" w:cs="Times New Roman"/>
        </w:rPr>
      </w:pPr>
      <w:r w:rsidRPr="1340C9D7" w:rsidR="001C0962">
        <w:rPr>
          <w:rFonts w:ascii="Times New Roman" w:hAnsi="Times New Roman" w:cs="Times New Roman"/>
        </w:rPr>
        <w:t xml:space="preserve">El recurso de impugnación de fecha 10 de agosto de 2021, presentado por </w:t>
      </w:r>
      <w:r w:rsidRPr="1340C9D7" w:rsidR="24F6B275">
        <w:rPr>
          <w:rFonts w:ascii="Times New Roman" w:hAnsi="Times New Roman" w:cs="Times New Roman"/>
          <w:b w:val="1"/>
          <w:bCs w:val="1"/>
          <w:lang w:val="es-MX"/>
        </w:rPr>
        <w:t>.......................................</w:t>
      </w:r>
      <w:r w:rsidRPr="1340C9D7" w:rsidR="001C0962">
        <w:rPr>
          <w:rFonts w:ascii="Times New Roman" w:hAnsi="Times New Roman" w:cs="Times New Roman"/>
          <w:b w:val="1"/>
          <w:bCs w:val="1"/>
        </w:rPr>
        <w:t xml:space="preserve"> </w:t>
      </w:r>
      <w:r w:rsidRPr="1340C9D7" w:rsidR="001C0962">
        <w:rPr>
          <w:rFonts w:ascii="Times New Roman" w:hAnsi="Times New Roman" w:cs="Times New Roman"/>
        </w:rPr>
        <w:t xml:space="preserve">respecto de la Resolución Nro. 099/21, expedida por esta Defensoría del Asegurado y, conforme a la cual se declaró FUNDADA EN PARTE la reclamación interpuesta por </w:t>
      </w:r>
      <w:r w:rsidRPr="1340C9D7" w:rsidR="5B52FCC4">
        <w:rPr>
          <w:rFonts w:ascii="Times New Roman" w:hAnsi="Times New Roman" w:cs="Times New Roman"/>
          <w:b w:val="1"/>
          <w:bCs w:val="1"/>
        </w:rPr>
        <w:t>.......................................</w:t>
      </w:r>
      <w:r w:rsidRPr="1340C9D7" w:rsidR="001C0962">
        <w:rPr>
          <w:rFonts w:ascii="Times New Roman" w:hAnsi="Times New Roman" w:cs="Times New Roman"/>
          <w:b w:val="1"/>
          <w:bCs w:val="1"/>
        </w:rPr>
        <w:t xml:space="preserve"> </w:t>
      </w:r>
      <w:r w:rsidRPr="1340C9D7" w:rsidR="001C0962">
        <w:rPr>
          <w:rFonts w:ascii="Times New Roman" w:hAnsi="Times New Roman" w:cs="Times New Roman"/>
        </w:rPr>
        <w:t xml:space="preserve">contra, </w:t>
      </w:r>
      <w:r w:rsidRPr="1340C9D7" w:rsidR="001C0962">
        <w:rPr>
          <w:rFonts w:ascii="Times New Roman" w:hAnsi="Times New Roman" w:cs="Times New Roman"/>
        </w:rPr>
        <w:t>en relación al</w:t>
      </w:r>
      <w:r w:rsidRPr="1340C9D7" w:rsidR="001C0962">
        <w:rPr>
          <w:rFonts w:ascii="Times New Roman" w:hAnsi="Times New Roman" w:cs="Times New Roman"/>
        </w:rPr>
        <w:t xml:space="preserve"> </w:t>
      </w:r>
      <w:r w:rsidRPr="1340C9D7" w:rsidR="001C0962">
        <w:rPr>
          <w:rFonts w:ascii="Times New Roman" w:hAnsi="Times New Roman" w:cs="Times New Roman"/>
          <w:b w:val="1"/>
          <w:bCs w:val="1"/>
        </w:rPr>
        <w:t xml:space="preserve">SEGURO DE SALUD RED PREFERENTE - PÓLIZA No </w:t>
      </w:r>
      <w:r w:rsidRPr="1340C9D7" w:rsidR="12E4C9AC">
        <w:rPr>
          <w:rFonts w:ascii="Times New Roman" w:hAnsi="Times New Roman" w:cs="Times New Roman"/>
          <w:b w:val="1"/>
          <w:bCs w:val="1"/>
        </w:rPr>
        <w:t>.......................................</w:t>
      </w:r>
      <w:r w:rsidRPr="1340C9D7" w:rsidR="001C0962">
        <w:rPr>
          <w:rFonts w:ascii="Times New Roman" w:hAnsi="Times New Roman" w:cs="Times New Roman"/>
        </w:rPr>
        <w:t>;</w:t>
      </w:r>
    </w:p>
    <w:p w:rsidRPr="001C0962" w:rsidR="001C0962" w:rsidP="001C0962" w:rsidRDefault="001C0962" w14:paraId="72C43AEA" w14:textId="77777777">
      <w:pPr>
        <w:pStyle w:val="Default"/>
        <w:jc w:val="both"/>
        <w:rPr>
          <w:rFonts w:ascii="Times New Roman" w:hAnsi="Times New Roman" w:cs="Times New Roman"/>
        </w:rPr>
      </w:pPr>
    </w:p>
    <w:p w:rsidRPr="001C0962" w:rsidR="001C0962" w:rsidP="001C0962" w:rsidRDefault="001C0962" w14:paraId="6D1516C5" w14:textId="77777777">
      <w:pPr>
        <w:pStyle w:val="Textoindependiente"/>
      </w:pPr>
      <w:r w:rsidRPr="001C0962">
        <w:t xml:space="preserve">Que, el indicado recurso se sustenta resumidamente en lo siguiente: (1) aprecia un error de hecho en la resolución impugnada, al señalar que la fecha de corte de la cobertura (fecha hasta la cual se debe otorgar la cobertura al asegurado) es el día 26 de noviembre del 2020, pues en realidad se debe precisar que la fecha de corte de cobertura es el día 21 de noviembre del 2020, toda vez que en dicha fecha se realizó la prueba médica que determinó el diagnóstico de la enfermedad de SIDA para el asegurado; (2) se ha  resuelto que en realidad al asegurado únicamente le corresponde una cobertura al 100% por COVID-19 para el periodo desde el 14 de noviembre del 2020 hasta el 26 de noviembre del 2020, teniendo en consideración que el día 26 de noviembre del 2020 la Clínica Ricardo Palma solicitó una carta de garantía por un diagnóstico relacionado con la enfermedad de SIDA, la cual se encuentra excluida de cobertura y por ende no goza de aprobación; (3) se debe disponer la corrección del error de hecho en el que se ha incurrido, esto es, que la cobertura que la aseguradora debe otorgar al 100% por COVID-19 en favor del asegurado sea para el periodo desde el 14 de noviembre del 2020 hasta el 21 de noviembre del 2020. </w:t>
      </w:r>
    </w:p>
    <w:p w:rsidRPr="001C0962" w:rsidR="001C0962" w:rsidP="001C0962" w:rsidRDefault="001C0962" w14:paraId="5D1775D5" w14:textId="77777777">
      <w:pPr>
        <w:pStyle w:val="Textoindependiente"/>
      </w:pPr>
    </w:p>
    <w:p w:rsidRPr="001C0962" w:rsidR="001C0962" w:rsidP="001C0962" w:rsidRDefault="001C0962" w14:paraId="6810465E" w14:textId="756C1DBB">
      <w:pPr>
        <w:pStyle w:val="Textoindependiente"/>
      </w:pPr>
      <w:r w:rsidR="001C0962">
        <w:rPr/>
        <w:t xml:space="preserve">Que, el reclamante absolvió el traslado del recurso impugnatorio manifestando, en síntesis, lo siguiente: (1) ni el día 21 de noviembre ni mucho menos el día 26 del mismo mes del año 2020, cesaron las complicaciones médicas causadas por la enfermedad del Covid19 en el paciente </w:t>
      </w:r>
      <w:r w:rsidR="07C6BC04">
        <w:rPr/>
        <w:t>.......................................</w:t>
      </w:r>
      <w:r w:rsidR="001C0962">
        <w:rPr/>
        <w:t>, sino que se prolongaron hasta después de su alta médica; (2) la aseguradora divide erradamente la situación médica del paciente en dos momentos: - antes del diagnóstico de VIH y - después del mismo, pero desconoce que las complicaciones médicas provocadas por el COVID19 se mantuvieron presentes durante todo su tratamiento médico e incluso después de la alta médica del paciente, lo que consta en la Epicrisis, que es un documento que el médico tratante confecciona en el momento del alta, donde resume los aspectos más relevantes de la enfermedad que cursó el paciente; (3) la aseguradora absurdamente pretende desconocer lo señalado en la Epicrisis y hacer consentir que la fecha de corte de la cobertura por COVID19 es el día que cesaron las complicaciones médicas causadas por esta enfermedad (Covid19) en el paciente, esta afirmación errada no tiene sustento médico ya que no ha sido demostrada con ninguna prueba médica. Mas bien la historia clínica demuestra que luego del 26 de noviembre de 2020 las siguientes complicaciones médicas causadas por el COVID19 han seguido afectando la salud del paciente.</w:t>
      </w:r>
    </w:p>
    <w:p w:rsidRPr="001C0962" w:rsidR="001C0962" w:rsidP="001C0962" w:rsidRDefault="001C0962" w14:paraId="536863C2" w14:textId="77777777">
      <w:pPr>
        <w:pStyle w:val="Textoindependiente"/>
      </w:pPr>
    </w:p>
    <w:p w:rsidRPr="001C0962" w:rsidR="001C0962" w:rsidP="001C0962" w:rsidRDefault="001C0962" w14:paraId="66C7DA9F" w14:textId="77777777">
      <w:pPr>
        <w:pStyle w:val="Textoindependiente"/>
        <w:tabs>
          <w:tab w:val="left" w:pos="930"/>
        </w:tabs>
      </w:pPr>
      <w:r w:rsidRPr="001C0962">
        <w:t>Que, atendiendo a lo expuesto, esta Defensoría resuelve finalmente lo siguiente:</w:t>
      </w:r>
    </w:p>
    <w:p w:rsidR="001C0962" w:rsidP="001C0962" w:rsidRDefault="001C0962" w14:paraId="50326222" w14:textId="77777777">
      <w:pPr>
        <w:jc w:val="both"/>
        <w:rPr>
          <w:rFonts w:ascii="Times New Roman" w:hAnsi="Times New Roman" w:cs="Times New Roman"/>
          <w:b/>
          <w:sz w:val="24"/>
          <w:szCs w:val="24"/>
          <w:u w:val="single"/>
          <w:lang w:val="es-PE"/>
        </w:rPr>
      </w:pPr>
    </w:p>
    <w:p w:rsidRPr="001C0962" w:rsidR="001C0962" w:rsidP="001C0962" w:rsidRDefault="001C0962" w14:paraId="521FD927" w14:textId="707B95E5">
      <w:pPr>
        <w:jc w:val="both"/>
        <w:rPr>
          <w:rFonts w:ascii="Times New Roman" w:hAnsi="Times New Roman" w:cs="Times New Roman"/>
          <w:sz w:val="24"/>
          <w:szCs w:val="24"/>
          <w:lang w:val="es-PE"/>
        </w:rPr>
      </w:pPr>
      <w:r w:rsidRPr="001C0962">
        <w:rPr>
          <w:rFonts w:ascii="Times New Roman" w:hAnsi="Times New Roman" w:cs="Times New Roman"/>
          <w:b/>
          <w:sz w:val="24"/>
          <w:szCs w:val="24"/>
          <w:u w:val="single"/>
          <w:lang w:val="es-PE"/>
        </w:rPr>
        <w:t>PRIMERO</w:t>
      </w:r>
      <w:r w:rsidRPr="001C0962">
        <w:rPr>
          <w:rFonts w:ascii="Times New Roman" w:hAnsi="Times New Roman" w:cs="Times New Roman"/>
          <w:b/>
          <w:sz w:val="24"/>
          <w:szCs w:val="24"/>
          <w:lang w:val="es-PE"/>
        </w:rPr>
        <w:t>:</w:t>
      </w:r>
      <w:r w:rsidRPr="001C0962">
        <w:rPr>
          <w:rFonts w:ascii="Times New Roman" w:hAnsi="Times New Roman" w:cs="Times New Roman"/>
          <w:sz w:val="24"/>
          <w:szCs w:val="24"/>
          <w:lang w:val="es-PE"/>
        </w:rPr>
        <w:t xml:space="preserve"> El artículo 10 (Procedimiento) del Reglamento de la DEFASEG </w:t>
      </w:r>
      <w:r w:rsidRPr="001C0962">
        <w:rPr>
          <w:rFonts w:ascii="Times New Roman" w:hAnsi="Times New Roman" w:eastAsia="Arial Unicode MS" w:cs="Times New Roman"/>
          <w:sz w:val="24"/>
          <w:szCs w:val="24"/>
          <w:lang w:val="es-PE"/>
        </w:rPr>
        <w:t>(http://www.defaseg.com.pe/reglamento)</w:t>
      </w:r>
      <w:r w:rsidRPr="001C0962">
        <w:rPr>
          <w:rFonts w:ascii="Times New Roman" w:hAnsi="Times New Roman" w:cs="Times New Roman"/>
          <w:sz w:val="24"/>
          <w:szCs w:val="24"/>
          <w:lang w:val="es-PE"/>
        </w:rPr>
        <w:t xml:space="preserve"> establece que cualquiera de las partes que no se </w:t>
      </w:r>
      <w:r w:rsidRPr="001C0962">
        <w:rPr>
          <w:rFonts w:ascii="Times New Roman" w:hAnsi="Times New Roman" w:cs="Times New Roman"/>
          <w:sz w:val="24"/>
          <w:szCs w:val="24"/>
          <w:lang w:val="es-PE"/>
        </w:rPr>
        <w:lastRenderedPageBreak/>
        <w:t xml:space="preserve">encuentre de acuerdo con la decisión adoptada por el colegiado sobre la materia reclamada, podrá impugnarla, interponiendo el correspondiente recurso de impugnación.  </w:t>
      </w:r>
    </w:p>
    <w:p w:rsidRPr="001C0962" w:rsidR="001C0962" w:rsidP="001C0962" w:rsidRDefault="001C0962" w14:paraId="1FB8E407" w14:textId="77777777">
      <w:pPr>
        <w:jc w:val="both"/>
        <w:rPr>
          <w:rFonts w:ascii="Times New Roman" w:hAnsi="Times New Roman" w:cs="Times New Roman"/>
          <w:bCs/>
          <w:sz w:val="24"/>
          <w:szCs w:val="24"/>
          <w:lang w:val="es-PE"/>
        </w:rPr>
      </w:pPr>
      <w:r w:rsidRPr="001C0962">
        <w:rPr>
          <w:rFonts w:ascii="Times New Roman" w:hAnsi="Times New Roman" w:cs="Times New Roman"/>
          <w:b/>
          <w:bCs/>
          <w:sz w:val="24"/>
          <w:szCs w:val="24"/>
          <w:u w:val="single"/>
          <w:lang w:val="es-PE"/>
        </w:rPr>
        <w:t>SEGUNDO</w:t>
      </w:r>
      <w:r w:rsidRPr="001C0962">
        <w:rPr>
          <w:rFonts w:ascii="Times New Roman" w:hAnsi="Times New Roman" w:cs="Times New Roman"/>
          <w:b/>
          <w:bCs/>
          <w:sz w:val="24"/>
          <w:szCs w:val="24"/>
          <w:lang w:val="es-PE"/>
        </w:rPr>
        <w:t>:</w:t>
      </w:r>
      <w:r w:rsidRPr="001C0962">
        <w:rPr>
          <w:rFonts w:ascii="Times New Roman" w:hAnsi="Times New Roman" w:cs="Times New Roman"/>
          <w:bCs/>
          <w:sz w:val="24"/>
          <w:szCs w:val="24"/>
          <w:lang w:val="es-PE"/>
        </w:rPr>
        <w:t xml:space="preserve"> </w:t>
      </w:r>
      <w:r w:rsidRPr="001C0962">
        <w:rPr>
          <w:rFonts w:ascii="Times New Roman" w:hAnsi="Times New Roman" w:cs="Times New Roman"/>
          <w:sz w:val="24"/>
          <w:szCs w:val="24"/>
          <w:lang w:val="es-PE"/>
        </w:rPr>
        <w:t xml:space="preserve">Conforme a ello, en el caso concreto, la aseguradora </w:t>
      </w:r>
      <w:r w:rsidRPr="001C0962">
        <w:rPr>
          <w:rFonts w:ascii="Times New Roman" w:hAnsi="Times New Roman" w:cs="Times New Roman"/>
          <w:bCs/>
          <w:sz w:val="24"/>
          <w:szCs w:val="24"/>
          <w:lang w:val="es-PE"/>
        </w:rPr>
        <w:t>sustenta su impugnación en considerar que existe un error en la fecha en que cesa la cobertura por COVID 19, toda ver que a su criterio debe ser el 21 de noviembre del 2020 en que se realizó la prueba médica que determinó el diagnóstico de la enfermedad de SIDA para el asegurado.</w:t>
      </w:r>
    </w:p>
    <w:p w:rsidRPr="001C0962" w:rsidR="001C0962" w:rsidP="001C0962" w:rsidRDefault="001C0962" w14:paraId="7DB7F93C" w14:textId="77777777">
      <w:pPr>
        <w:jc w:val="both"/>
        <w:rPr>
          <w:rFonts w:ascii="Times New Roman" w:hAnsi="Times New Roman" w:cs="Times New Roman"/>
          <w:color w:val="000000"/>
          <w:sz w:val="24"/>
          <w:szCs w:val="24"/>
          <w:lang w:val="es-PE" w:eastAsia="es-PE"/>
        </w:rPr>
      </w:pPr>
      <w:r w:rsidRPr="001C0962">
        <w:rPr>
          <w:rFonts w:ascii="Times New Roman" w:hAnsi="Times New Roman" w:cs="Times New Roman"/>
          <w:sz w:val="24"/>
          <w:szCs w:val="24"/>
          <w:lang w:val="es-PE"/>
        </w:rPr>
        <w:t xml:space="preserve">Al respecto, el colegiado aprecia que no existe el eventual error que advierte la aseguradora, por cuanto para la Defensoría el mencionado cese de cobertura ocurrió cuando al asegurado se le diagnostica la </w:t>
      </w:r>
      <w:r w:rsidRPr="001C0962">
        <w:rPr>
          <w:rFonts w:ascii="Times New Roman" w:hAnsi="Times New Roman" w:cs="Times New Roman"/>
          <w:color w:val="000000"/>
          <w:sz w:val="24"/>
          <w:szCs w:val="24"/>
          <w:lang w:val="es-PE" w:eastAsia="es-PE"/>
        </w:rPr>
        <w:t>Neumonía Grave por Pneumocystis Jiroveci.</w:t>
      </w:r>
    </w:p>
    <w:p w:rsidRPr="001C0962" w:rsidR="001C0962" w:rsidP="001C0962" w:rsidRDefault="001C0962" w14:paraId="059DF1D2" w14:textId="77777777">
      <w:pPr>
        <w:jc w:val="both"/>
        <w:rPr>
          <w:rFonts w:ascii="Times New Roman" w:hAnsi="Times New Roman" w:cs="Times New Roman"/>
          <w:color w:val="000000"/>
          <w:sz w:val="24"/>
          <w:szCs w:val="24"/>
          <w:lang w:val="es-PE" w:eastAsia="es-PE"/>
        </w:rPr>
      </w:pPr>
      <w:r w:rsidRPr="001C0962">
        <w:rPr>
          <w:rFonts w:ascii="Times New Roman" w:hAnsi="Times New Roman" w:cs="Times New Roman"/>
          <w:color w:val="000000"/>
          <w:sz w:val="24"/>
          <w:szCs w:val="24"/>
          <w:lang w:val="es-PE" w:eastAsia="es-PE"/>
        </w:rPr>
        <w:t xml:space="preserve">Dicho diagnóstico consta a partir de 26 de noviembre del 2020, conforme al informe médico en que se detallan los problemas que presenta el paciente hospitalizado </w:t>
      </w:r>
    </w:p>
    <w:p w:rsidRPr="001C0962" w:rsidR="001C0962" w:rsidP="001C0962" w:rsidRDefault="001C0962" w14:paraId="1752C415" w14:textId="77777777">
      <w:pPr>
        <w:jc w:val="both"/>
        <w:rPr>
          <w:rFonts w:ascii="Times New Roman" w:hAnsi="Times New Roman" w:cs="Times New Roman"/>
          <w:color w:val="000000"/>
          <w:sz w:val="24"/>
          <w:szCs w:val="24"/>
          <w:lang w:val="es-PE" w:eastAsia="es-PE"/>
        </w:rPr>
      </w:pPr>
    </w:p>
    <w:p w:rsidRPr="001C0962" w:rsidR="001C0962" w:rsidP="001C0962" w:rsidRDefault="001C0962" w14:paraId="5D391558" w14:textId="51478624">
      <w:pPr>
        <w:jc w:val="both"/>
      </w:pPr>
      <w:r w:rsidR="78517837">
        <w:rPr/>
        <w:t>.................................................................................................................................................................</w:t>
      </w:r>
    </w:p>
    <w:p w:rsidRPr="001C0962" w:rsidR="001C0962" w:rsidP="001C0962" w:rsidRDefault="001C0962" w14:paraId="71F4C840" w14:textId="77777777">
      <w:pPr>
        <w:pStyle w:val="Textoindependiente"/>
        <w:tabs>
          <w:tab w:val="left" w:pos="0"/>
          <w:tab w:val="left" w:pos="720"/>
        </w:tabs>
        <w:rPr>
          <w:lang w:val="es-PE"/>
        </w:rPr>
      </w:pPr>
    </w:p>
    <w:p w:rsidRPr="001C0962" w:rsidR="001C0962" w:rsidP="001C0962" w:rsidRDefault="001C0962" w14:paraId="36930B82" w14:textId="4856BF91">
      <w:pPr>
        <w:jc w:val="both"/>
        <w:rPr>
          <w:rFonts w:ascii="Times New Roman" w:hAnsi="Times New Roman" w:cs="Times New Roman"/>
          <w:sz w:val="24"/>
          <w:szCs w:val="24"/>
          <w:lang w:val="es-PE"/>
        </w:rPr>
      </w:pPr>
      <w:r w:rsidRPr="001C0962">
        <w:rPr>
          <w:rFonts w:ascii="Times New Roman" w:hAnsi="Times New Roman" w:cs="Times New Roman"/>
          <w:b/>
          <w:sz w:val="24"/>
          <w:szCs w:val="24"/>
          <w:u w:val="single"/>
          <w:lang w:val="es-PE"/>
        </w:rPr>
        <w:t>TERCERO</w:t>
      </w:r>
      <w:r w:rsidRPr="001C0962">
        <w:rPr>
          <w:rFonts w:ascii="Times New Roman" w:hAnsi="Times New Roman" w:cs="Times New Roman"/>
          <w:b/>
          <w:sz w:val="24"/>
          <w:szCs w:val="24"/>
          <w:lang w:val="es-PE"/>
        </w:rPr>
        <w:t>:</w:t>
      </w:r>
      <w:r w:rsidRPr="001C0962">
        <w:rPr>
          <w:rFonts w:ascii="Times New Roman" w:hAnsi="Times New Roman" w:cs="Times New Roman"/>
          <w:sz w:val="24"/>
          <w:szCs w:val="24"/>
          <w:lang w:val="es-PE"/>
        </w:rPr>
        <w:t xml:space="preserve"> En atención a las consideraciones precedentes, este colegiado aprecia finalmente que no se ha evidenciado el error invocado, por lo que no existe mérito suficiente ni razón objetiva para revocar la resolución recurrida.</w:t>
      </w:r>
    </w:p>
    <w:p w:rsidRPr="000F65D4" w:rsidR="001C0962" w:rsidP="001C0962" w:rsidRDefault="001C0962" w14:paraId="5E5E1499" w14:textId="00A044E5">
      <w:pPr>
        <w:jc w:val="both"/>
        <w:rPr>
          <w:rFonts w:ascii="Times New Roman" w:hAnsi="Times New Roman" w:cs="Times New Roman"/>
          <w:b/>
          <w:sz w:val="24"/>
          <w:szCs w:val="24"/>
        </w:rPr>
      </w:pPr>
      <w:r w:rsidRPr="001C0962">
        <w:rPr>
          <w:rFonts w:ascii="Times New Roman" w:hAnsi="Times New Roman" w:cs="Times New Roman"/>
          <w:b/>
          <w:sz w:val="24"/>
          <w:szCs w:val="24"/>
        </w:rPr>
        <w:t>RESUELVE:</w:t>
      </w:r>
    </w:p>
    <w:p w:rsidRPr="001C0962" w:rsidR="001C0962" w:rsidP="001C0962" w:rsidRDefault="001C0962" w14:paraId="5A492113" w14:textId="77777777">
      <w:pPr>
        <w:jc w:val="both"/>
        <w:rPr>
          <w:rFonts w:ascii="Times New Roman" w:hAnsi="Times New Roman" w:cs="Times New Roman"/>
          <w:sz w:val="24"/>
          <w:szCs w:val="24"/>
          <w:lang w:val="es-PE"/>
        </w:rPr>
      </w:pPr>
      <w:r w:rsidRPr="001C0962">
        <w:rPr>
          <w:rFonts w:ascii="Times New Roman" w:hAnsi="Times New Roman" w:eastAsia="Arial Unicode MS" w:cs="Times New Roman"/>
          <w:b/>
          <w:sz w:val="24"/>
          <w:szCs w:val="24"/>
          <w:lang w:val="es-PE"/>
        </w:rPr>
        <w:t>Declarar INFUNDADO el recurso de impugnación interpuesto por la aseguradora y, por consiguiente, CONFIRMAR la Resolución Nro. 099/21</w:t>
      </w:r>
      <w:r w:rsidRPr="001C0962">
        <w:rPr>
          <w:rFonts w:ascii="Times New Roman" w:hAnsi="Times New Roman" w:cs="Times New Roman"/>
          <w:sz w:val="24"/>
          <w:szCs w:val="24"/>
          <w:lang w:val="es-PE"/>
        </w:rPr>
        <w:t>.</w:t>
      </w:r>
    </w:p>
    <w:p w:rsidRPr="001C0962" w:rsidR="005E398E" w:rsidP="00CF69DD" w:rsidRDefault="005E398E" w14:paraId="489525D7" w14:textId="77777777">
      <w:pPr>
        <w:suppressAutoHyphens/>
        <w:spacing w:after="0" w:line="240" w:lineRule="auto"/>
        <w:outlineLvl w:val="0"/>
        <w:rPr>
          <w:rFonts w:ascii="Times New Roman" w:hAnsi="Times New Roman" w:eastAsia="Arial Unicode MS" w:cs="Times New Roman"/>
          <w:bCs/>
          <w:sz w:val="24"/>
          <w:szCs w:val="24"/>
          <w:lang w:val="es-PE"/>
        </w:rPr>
      </w:pPr>
    </w:p>
    <w:p w:rsidRPr="001C0962" w:rsidR="00C671F5" w:rsidP="005E398E" w:rsidRDefault="0091528B" w14:paraId="486C3F46" w14:textId="208CE120">
      <w:pPr>
        <w:suppressAutoHyphens/>
        <w:spacing w:after="0" w:line="240" w:lineRule="auto"/>
        <w:jc w:val="right"/>
        <w:outlineLvl w:val="0"/>
        <w:rPr>
          <w:rFonts w:ascii="Times New Roman" w:hAnsi="Times New Roman" w:eastAsia="Arial Unicode MS" w:cs="Times New Roman"/>
          <w:sz w:val="24"/>
          <w:szCs w:val="24"/>
          <w:lang w:val="es-PE" w:eastAsia="ar-SA"/>
        </w:rPr>
      </w:pPr>
      <w:r w:rsidRPr="001C0962">
        <w:rPr>
          <w:rFonts w:ascii="Times New Roman" w:hAnsi="Times New Roman" w:eastAsia="Arial Unicode MS" w:cs="Times New Roman"/>
          <w:sz w:val="24"/>
          <w:szCs w:val="24"/>
          <w:lang w:val="es-PE" w:eastAsia="ar-SA"/>
        </w:rPr>
        <w:t xml:space="preserve">Lima, </w:t>
      </w:r>
      <w:r w:rsidRPr="001C0962" w:rsidR="00DD21B2">
        <w:rPr>
          <w:rFonts w:ascii="Times New Roman" w:hAnsi="Times New Roman" w:eastAsia="Arial Unicode MS" w:cs="Times New Roman"/>
          <w:sz w:val="24"/>
          <w:szCs w:val="24"/>
          <w:lang w:val="es-PE" w:eastAsia="ar-SA"/>
        </w:rPr>
        <w:t xml:space="preserve">20 </w:t>
      </w:r>
      <w:r w:rsidRPr="001C0962" w:rsidR="00707C99">
        <w:rPr>
          <w:rFonts w:ascii="Times New Roman" w:hAnsi="Times New Roman" w:eastAsia="Arial Unicode MS" w:cs="Times New Roman"/>
          <w:sz w:val="24"/>
          <w:szCs w:val="24"/>
          <w:lang w:val="es-PE" w:eastAsia="ar-SA"/>
        </w:rPr>
        <w:t>de</w:t>
      </w:r>
      <w:r w:rsidRPr="001C0962" w:rsidR="00864B0B">
        <w:rPr>
          <w:rFonts w:ascii="Times New Roman" w:hAnsi="Times New Roman" w:eastAsia="Arial Unicode MS" w:cs="Times New Roman"/>
          <w:sz w:val="24"/>
          <w:szCs w:val="24"/>
          <w:lang w:val="es-PE" w:eastAsia="ar-SA"/>
        </w:rPr>
        <w:t xml:space="preserve"> </w:t>
      </w:r>
      <w:r w:rsidRPr="001C0962" w:rsidR="009F3DD4">
        <w:rPr>
          <w:rFonts w:ascii="Times New Roman" w:hAnsi="Times New Roman" w:eastAsia="Arial Unicode MS" w:cs="Times New Roman"/>
          <w:sz w:val="24"/>
          <w:szCs w:val="24"/>
          <w:lang w:val="es-PE" w:eastAsia="ar-SA"/>
        </w:rPr>
        <w:t>septiembre</w:t>
      </w:r>
      <w:r w:rsidRPr="001C0962" w:rsidR="00F06498">
        <w:rPr>
          <w:rFonts w:ascii="Times New Roman" w:hAnsi="Times New Roman" w:eastAsia="Arial Unicode MS" w:cs="Times New Roman"/>
          <w:sz w:val="24"/>
          <w:szCs w:val="24"/>
          <w:lang w:val="es-PE" w:eastAsia="ar-SA"/>
        </w:rPr>
        <w:t xml:space="preserve"> de 202</w:t>
      </w:r>
      <w:r w:rsidRPr="001C0962" w:rsidR="00231C58">
        <w:rPr>
          <w:rFonts w:ascii="Times New Roman" w:hAnsi="Times New Roman" w:eastAsia="Arial Unicode MS" w:cs="Times New Roman"/>
          <w:sz w:val="24"/>
          <w:szCs w:val="24"/>
          <w:lang w:val="es-PE" w:eastAsia="ar-SA"/>
        </w:rPr>
        <w:t>1</w:t>
      </w:r>
      <w:r w:rsidRPr="001C0962" w:rsidR="00707C99">
        <w:rPr>
          <w:rFonts w:ascii="Times New Roman" w:hAnsi="Times New Roman" w:eastAsia="Times New Roman" w:cs="Times New Roman"/>
          <w:sz w:val="24"/>
          <w:szCs w:val="24"/>
          <w:lang w:val="es-PE" w:eastAsia="ar-SA"/>
        </w:rPr>
        <w:t xml:space="preserve"> </w:t>
      </w:r>
    </w:p>
    <w:p w:rsidRPr="001C0962" w:rsidR="00231C58" w:rsidP="004A374A"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1C0962" w:rsidR="00C671F5" w:rsidP="004A374A" w:rsidRDefault="00C671F5" w14:paraId="7BC448E0" w14:textId="77777777">
      <w:pPr>
        <w:spacing w:after="0" w:line="240" w:lineRule="auto"/>
        <w:jc w:val="both"/>
        <w:rPr>
          <w:rFonts w:ascii="Times New Roman" w:hAnsi="Times New Roman" w:cs="Times New Roman"/>
          <w:b/>
          <w:bCs/>
          <w:i/>
          <w:iCs/>
          <w:sz w:val="24"/>
          <w:szCs w:val="24"/>
          <w:lang w:val="es-PE"/>
        </w:rPr>
      </w:pPr>
      <w:r w:rsidRPr="001C0962">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1C0962" w:rsidR="00C671F5" w:rsidP="004A374A" w:rsidRDefault="00C671F5" w14:paraId="3408E6CE" w14:textId="34A8A6C1">
      <w:pPr>
        <w:spacing w:after="0" w:line="240" w:lineRule="auto"/>
        <w:jc w:val="both"/>
        <w:rPr>
          <w:rFonts w:ascii="Times New Roman" w:hAnsi="Times New Roman" w:cs="Times New Roman"/>
          <w:b/>
          <w:bCs/>
          <w:i/>
          <w:iCs/>
          <w:sz w:val="24"/>
          <w:szCs w:val="24"/>
          <w:lang w:val="es-PE"/>
        </w:rPr>
      </w:pPr>
    </w:p>
    <w:p w:rsidRPr="001C0962" w:rsidR="009F3DD4" w:rsidP="009F3DD4" w:rsidRDefault="009F3DD4" w14:paraId="451211B4" w14:textId="7C22B670">
      <w:pPr>
        <w:spacing w:after="0" w:line="360" w:lineRule="auto"/>
        <w:jc w:val="center"/>
        <w:rPr>
          <w:rFonts w:ascii="Times New Roman" w:hAnsi="Times New Roman" w:cs="Times New Roman"/>
          <w:b/>
          <w:bCs/>
          <w:sz w:val="24"/>
          <w:szCs w:val="24"/>
          <w:lang w:val="es-PE"/>
        </w:rPr>
      </w:pPr>
      <w:r w:rsidRPr="001C0962">
        <w:rPr>
          <w:rFonts w:ascii="Times New Roman" w:hAnsi="Times New Roman" w:cs="Times New Roman"/>
          <w:b/>
          <w:bCs/>
          <w:sz w:val="24"/>
          <w:szCs w:val="24"/>
          <w:lang w:val="es-PE"/>
        </w:rPr>
        <w:t>Rolando Eyzaguirre Maccan – Presidente</w:t>
      </w:r>
    </w:p>
    <w:p w:rsidRPr="001C0962" w:rsidR="0032345B" w:rsidP="004A374A" w:rsidRDefault="0032345B" w14:paraId="033E3E13" w14:textId="0AB92EBA">
      <w:pPr>
        <w:spacing w:after="0" w:line="360" w:lineRule="auto"/>
        <w:jc w:val="center"/>
        <w:rPr>
          <w:rFonts w:ascii="Times New Roman" w:hAnsi="Times New Roman" w:cs="Times New Roman"/>
          <w:b/>
          <w:bCs/>
          <w:sz w:val="24"/>
          <w:szCs w:val="24"/>
          <w:lang w:val="es-PE"/>
        </w:rPr>
      </w:pPr>
      <w:r w:rsidRPr="001C0962">
        <w:rPr>
          <w:rFonts w:ascii="Times New Roman" w:hAnsi="Times New Roman" w:cs="Times New Roman"/>
          <w:b/>
          <w:bCs/>
          <w:sz w:val="24"/>
          <w:szCs w:val="24"/>
          <w:lang w:val="es-PE"/>
        </w:rPr>
        <w:t>María Eugenia Valdez Fernández Baca– Vocal</w:t>
      </w:r>
    </w:p>
    <w:p w:rsidRPr="001C0962" w:rsidR="009F3DD4" w:rsidP="009F3DD4" w:rsidRDefault="009F3DD4" w14:paraId="7D425A6D" w14:textId="6D9D2A80">
      <w:pPr>
        <w:spacing w:after="0" w:line="360" w:lineRule="auto"/>
        <w:jc w:val="center"/>
        <w:rPr>
          <w:rFonts w:ascii="Times New Roman" w:hAnsi="Times New Roman" w:cs="Times New Roman"/>
          <w:sz w:val="24"/>
          <w:szCs w:val="24"/>
          <w:lang w:val="es-PE"/>
        </w:rPr>
      </w:pPr>
      <w:r w:rsidRPr="001C0962">
        <w:rPr>
          <w:rFonts w:ascii="Times New Roman" w:hAnsi="Times New Roman" w:cs="Times New Roman"/>
          <w:b/>
          <w:bCs/>
          <w:sz w:val="24"/>
          <w:szCs w:val="24"/>
          <w:lang w:val="es-PE"/>
        </w:rPr>
        <w:t>Marco Antonio Ortega Piana – Vocal</w:t>
      </w:r>
    </w:p>
    <w:p w:rsidRPr="001C0962" w:rsidR="00C671F5" w:rsidP="004A374A" w:rsidRDefault="00C671F5" w14:paraId="3A9CFE9F" w14:textId="4DFF4426">
      <w:pPr>
        <w:spacing w:after="0" w:line="360" w:lineRule="auto"/>
        <w:jc w:val="center"/>
        <w:rPr>
          <w:rFonts w:ascii="Times New Roman" w:hAnsi="Times New Roman" w:cs="Times New Roman"/>
          <w:sz w:val="24"/>
          <w:szCs w:val="24"/>
          <w:lang w:val="es-PE"/>
        </w:rPr>
      </w:pPr>
      <w:r w:rsidRPr="001C0962">
        <w:rPr>
          <w:rFonts w:ascii="Times New Roman" w:hAnsi="Times New Roman" w:cs="Times New Roman"/>
          <w:b/>
          <w:bCs/>
          <w:sz w:val="24"/>
          <w:szCs w:val="24"/>
          <w:lang w:val="es-PE"/>
        </w:rPr>
        <w:t xml:space="preserve">Gonzalo Abad del Busto </w:t>
      </w:r>
      <w:r w:rsidRPr="001C0962" w:rsidR="00231C58">
        <w:rPr>
          <w:rFonts w:ascii="Times New Roman" w:hAnsi="Times New Roman" w:cs="Times New Roman"/>
          <w:b/>
          <w:bCs/>
          <w:sz w:val="24"/>
          <w:szCs w:val="24"/>
          <w:lang w:val="es-PE"/>
        </w:rPr>
        <w:t xml:space="preserve">– </w:t>
      </w:r>
      <w:r w:rsidRPr="001C0962">
        <w:rPr>
          <w:rFonts w:ascii="Times New Roman" w:hAnsi="Times New Roman" w:cs="Times New Roman"/>
          <w:b/>
          <w:bCs/>
          <w:sz w:val="24"/>
          <w:szCs w:val="24"/>
          <w:lang w:val="es-PE"/>
        </w:rPr>
        <w:t>Vocal</w:t>
      </w:r>
    </w:p>
    <w:p w:rsidRPr="000345DA" w:rsidR="00C671F5" w:rsidP="004A374A"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0345DA" w:rsidR="00C671F5" w:rsidP="004A374A" w:rsidRDefault="00C671F5" w14:paraId="2C3A0205" w14:textId="77777777">
      <w:pPr>
        <w:spacing w:line="240" w:lineRule="auto"/>
        <w:rPr>
          <w:rFonts w:ascii="Times New Roman" w:hAnsi="Times New Roman" w:eastAsia="Arial Unicode MS" w:cs="Times New Roman"/>
          <w:sz w:val="24"/>
          <w:szCs w:val="24"/>
          <w:lang w:val="es-PE" w:eastAsia="ar-SA"/>
        </w:rPr>
      </w:pPr>
    </w:p>
    <w:sectPr w:rsidRPr="000345DA"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D6623" w:rsidP="00784355" w:rsidRDefault="004D6623" w14:paraId="113767C7" w14:textId="77777777">
      <w:pPr>
        <w:spacing w:after="0" w:line="240" w:lineRule="auto"/>
      </w:pPr>
      <w:r>
        <w:separator/>
      </w:r>
    </w:p>
  </w:endnote>
  <w:endnote w:type="continuationSeparator" w:id="0">
    <w:p w:rsidR="004D6623" w:rsidP="00784355" w:rsidRDefault="004D6623" w14:paraId="118E9D15" w14:textId="77777777">
      <w:pPr>
        <w:spacing w:after="0" w:line="240" w:lineRule="auto"/>
      </w:pPr>
      <w:r>
        <w:continuationSeparator/>
      </w:r>
    </w:p>
  </w:endnote>
  <w:endnote w:type="continuationNotice" w:id="1">
    <w:p w:rsidR="00C77850" w:rsidRDefault="00C77850" w14:paraId="4BC62CE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D6623" w:rsidP="00784355" w:rsidRDefault="004D6623" w14:paraId="12FCDFF3" w14:textId="77777777">
      <w:pPr>
        <w:spacing w:after="0" w:line="240" w:lineRule="auto"/>
      </w:pPr>
      <w:r>
        <w:separator/>
      </w:r>
    </w:p>
  </w:footnote>
  <w:footnote w:type="continuationSeparator" w:id="0">
    <w:p w:rsidR="004D6623" w:rsidP="00784355" w:rsidRDefault="004D6623" w14:paraId="4323CDA2" w14:textId="77777777">
      <w:pPr>
        <w:spacing w:after="0" w:line="240" w:lineRule="auto"/>
      </w:pPr>
      <w:r>
        <w:continuationSeparator/>
      </w:r>
    </w:p>
  </w:footnote>
  <w:footnote w:type="continuationNotice" w:id="1">
    <w:p w:rsidR="00C77850" w:rsidRDefault="00C77850" w14:paraId="5FD5ACE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val="false"/>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45DA"/>
    <w:rsid w:val="00037922"/>
    <w:rsid w:val="0004480C"/>
    <w:rsid w:val="0004492D"/>
    <w:rsid w:val="00053D16"/>
    <w:rsid w:val="00056D9F"/>
    <w:rsid w:val="00062040"/>
    <w:rsid w:val="00063183"/>
    <w:rsid w:val="0006548C"/>
    <w:rsid w:val="00070DB6"/>
    <w:rsid w:val="00071A25"/>
    <w:rsid w:val="00072C60"/>
    <w:rsid w:val="000752E4"/>
    <w:rsid w:val="0007539A"/>
    <w:rsid w:val="00076E73"/>
    <w:rsid w:val="00077B6F"/>
    <w:rsid w:val="00080A9A"/>
    <w:rsid w:val="00080E45"/>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0F65D4"/>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1908"/>
    <w:rsid w:val="00181DCE"/>
    <w:rsid w:val="00187BFD"/>
    <w:rsid w:val="001A008A"/>
    <w:rsid w:val="001A3395"/>
    <w:rsid w:val="001A44E1"/>
    <w:rsid w:val="001B1E59"/>
    <w:rsid w:val="001B58A3"/>
    <w:rsid w:val="001C0962"/>
    <w:rsid w:val="001D0EED"/>
    <w:rsid w:val="001D59D9"/>
    <w:rsid w:val="001D6136"/>
    <w:rsid w:val="001E119C"/>
    <w:rsid w:val="00201C0D"/>
    <w:rsid w:val="00203EF7"/>
    <w:rsid w:val="00204407"/>
    <w:rsid w:val="0020749F"/>
    <w:rsid w:val="002108AD"/>
    <w:rsid w:val="00211977"/>
    <w:rsid w:val="002130B0"/>
    <w:rsid w:val="0021627D"/>
    <w:rsid w:val="00217715"/>
    <w:rsid w:val="00224CEE"/>
    <w:rsid w:val="00225288"/>
    <w:rsid w:val="00227D02"/>
    <w:rsid w:val="00231C58"/>
    <w:rsid w:val="002331C3"/>
    <w:rsid w:val="0023526C"/>
    <w:rsid w:val="00241719"/>
    <w:rsid w:val="00243F6B"/>
    <w:rsid w:val="00256592"/>
    <w:rsid w:val="00272538"/>
    <w:rsid w:val="0027261F"/>
    <w:rsid w:val="00272F4F"/>
    <w:rsid w:val="0027301E"/>
    <w:rsid w:val="00274985"/>
    <w:rsid w:val="002768C6"/>
    <w:rsid w:val="00276A92"/>
    <w:rsid w:val="00277667"/>
    <w:rsid w:val="00290AC5"/>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7D70"/>
    <w:rsid w:val="00362449"/>
    <w:rsid w:val="00364E0F"/>
    <w:rsid w:val="003657C9"/>
    <w:rsid w:val="00366842"/>
    <w:rsid w:val="00367746"/>
    <w:rsid w:val="00374B0E"/>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623"/>
    <w:rsid w:val="004D6978"/>
    <w:rsid w:val="004E65DD"/>
    <w:rsid w:val="004F549E"/>
    <w:rsid w:val="00504C79"/>
    <w:rsid w:val="00517CFF"/>
    <w:rsid w:val="005201E9"/>
    <w:rsid w:val="00521B4C"/>
    <w:rsid w:val="00522E2A"/>
    <w:rsid w:val="005259E7"/>
    <w:rsid w:val="005265A5"/>
    <w:rsid w:val="00527B27"/>
    <w:rsid w:val="00530698"/>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4C97"/>
    <w:rsid w:val="005F7D93"/>
    <w:rsid w:val="00605902"/>
    <w:rsid w:val="00606105"/>
    <w:rsid w:val="0061360C"/>
    <w:rsid w:val="00613A39"/>
    <w:rsid w:val="00622ABC"/>
    <w:rsid w:val="00623204"/>
    <w:rsid w:val="00624034"/>
    <w:rsid w:val="006442E0"/>
    <w:rsid w:val="0064607A"/>
    <w:rsid w:val="00652672"/>
    <w:rsid w:val="006543D4"/>
    <w:rsid w:val="0065542B"/>
    <w:rsid w:val="0065594D"/>
    <w:rsid w:val="00655A90"/>
    <w:rsid w:val="00655BA3"/>
    <w:rsid w:val="00657AD2"/>
    <w:rsid w:val="006672C4"/>
    <w:rsid w:val="00671DB5"/>
    <w:rsid w:val="006761F2"/>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4003B"/>
    <w:rsid w:val="008523F5"/>
    <w:rsid w:val="008548F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1AB2"/>
    <w:rsid w:val="008F479E"/>
    <w:rsid w:val="009011F1"/>
    <w:rsid w:val="0090251A"/>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9F3DD4"/>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A1F"/>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0968"/>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77850"/>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6F67"/>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21B2"/>
    <w:rsid w:val="00DD5E2B"/>
    <w:rsid w:val="00DF3781"/>
    <w:rsid w:val="00DF6E69"/>
    <w:rsid w:val="00E03DCE"/>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65B93"/>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07C6BC04"/>
    <w:rsid w:val="0AC47B2B"/>
    <w:rsid w:val="12E4C9AC"/>
    <w:rsid w:val="1340C9D7"/>
    <w:rsid w:val="24F6B275"/>
    <w:rsid w:val="399B13C7"/>
    <w:rsid w:val="452E814F"/>
    <w:rsid w:val="5B52FCC4"/>
    <w:rsid w:val="78517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styleId="Ttulo2Car" w:customStyle="1">
    <w:name w:val="Título 2 Car"/>
    <w:basedOn w:val="Fuentedeprrafopredeter"/>
    <w:link w:val="Ttulo2"/>
    <w:uiPriority w:val="9"/>
    <w:rsid w:val="00F626D4"/>
    <w:rPr>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74E5366-6666-4C6C-B5C2-443A02194C2A}"/>
</file>

<file path=customXml/itemProps3.xml><?xml version="1.0" encoding="utf-8"?>
<ds:datastoreItem xmlns:ds="http://schemas.openxmlformats.org/officeDocument/2006/customXml" ds:itemID="{060C02DC-7528-4D34-BA85-0C49B4591044}"/>
</file>

<file path=customXml/itemProps4.xml><?xml version="1.0" encoding="utf-8"?>
<ds:datastoreItem xmlns:ds="http://schemas.openxmlformats.org/officeDocument/2006/customXml" ds:itemID="{5823EAD7-2FED-412C-8C21-94CD8400CD1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79</cp:revision>
  <cp:lastPrinted>2021-09-21T20:37:00Z</cp:lastPrinted>
  <dcterms:created xsi:type="dcterms:W3CDTF">2020-12-18T20:17:00Z</dcterms:created>
  <dcterms:modified xsi:type="dcterms:W3CDTF">2026-02-04T20:02:09Z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