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F94B58" w:rsidR="00EF0B7F" w:rsidP="00EF0B7F" w:rsidRDefault="00201C0D" w14:paraId="632C635A" w14:textId="2D5F8722">
      <w:pPr>
        <w:pStyle w:val="Ttulo2"/>
        <w:jc w:val="center"/>
        <w:rPr>
          <w:rFonts w:ascii="Times New Roman" w:hAnsi="Times New Roman" w:cs="Times New Roman"/>
          <w:b/>
          <w:bCs/>
          <w:color w:val="auto"/>
          <w:sz w:val="24"/>
          <w:szCs w:val="24"/>
          <w:lang w:val="es-PE" w:eastAsia="ar-SA"/>
        </w:rPr>
      </w:pPr>
      <w:r w:rsidRPr="00F94B58">
        <w:rPr>
          <w:rFonts w:ascii="Times New Roman" w:hAnsi="Times New Roman" w:cs="Times New Roman"/>
          <w:b/>
          <w:bCs/>
          <w:color w:val="auto"/>
          <w:sz w:val="24"/>
          <w:szCs w:val="24"/>
          <w:lang w:val="es-PE" w:eastAsia="ar-SA"/>
        </w:rPr>
        <w:t xml:space="preserve">RESOLUCIÓN DE RECURSO IMPUGNATIVO </w:t>
      </w:r>
      <w:r w:rsidRPr="00F94B58" w:rsidR="00707C99">
        <w:rPr>
          <w:rFonts w:ascii="Times New Roman" w:hAnsi="Times New Roman" w:cs="Times New Roman"/>
          <w:b/>
          <w:bCs/>
          <w:color w:val="auto"/>
          <w:sz w:val="24"/>
          <w:szCs w:val="24"/>
          <w:lang w:val="es-PE" w:eastAsia="ar-SA"/>
        </w:rPr>
        <w:t xml:space="preserve">N° </w:t>
      </w:r>
      <w:r w:rsidRPr="00F94B58" w:rsidR="00C671F5">
        <w:rPr>
          <w:rFonts w:ascii="Times New Roman" w:hAnsi="Times New Roman" w:cs="Times New Roman"/>
          <w:b/>
          <w:bCs/>
          <w:color w:val="auto"/>
          <w:sz w:val="24"/>
          <w:szCs w:val="24"/>
          <w:lang w:val="es-PE" w:eastAsia="ar-SA"/>
        </w:rPr>
        <w:t>0</w:t>
      </w:r>
      <w:r w:rsidRPr="00F94B58" w:rsidR="00DD21B2">
        <w:rPr>
          <w:rFonts w:ascii="Times New Roman" w:hAnsi="Times New Roman" w:cs="Times New Roman"/>
          <w:b/>
          <w:bCs/>
          <w:color w:val="auto"/>
          <w:sz w:val="24"/>
          <w:szCs w:val="24"/>
          <w:lang w:val="es-PE" w:eastAsia="ar-SA"/>
        </w:rPr>
        <w:t>5</w:t>
      </w:r>
      <w:r w:rsidR="00385B6E">
        <w:rPr>
          <w:rFonts w:ascii="Times New Roman" w:hAnsi="Times New Roman" w:cs="Times New Roman"/>
          <w:b/>
          <w:bCs/>
          <w:color w:val="auto"/>
          <w:sz w:val="24"/>
          <w:szCs w:val="24"/>
          <w:lang w:val="es-PE" w:eastAsia="ar-SA"/>
        </w:rPr>
        <w:t>6</w:t>
      </w:r>
      <w:r w:rsidRPr="00F94B58" w:rsidR="00517CFF">
        <w:rPr>
          <w:rFonts w:ascii="Times New Roman" w:hAnsi="Times New Roman" w:cs="Times New Roman"/>
          <w:b/>
          <w:bCs/>
          <w:color w:val="auto"/>
          <w:sz w:val="24"/>
          <w:szCs w:val="24"/>
          <w:lang w:val="es-PE" w:eastAsia="ar-SA"/>
        </w:rPr>
        <w:t>/</w:t>
      </w:r>
      <w:r w:rsidRPr="00F94B58" w:rsidR="00C671F5">
        <w:rPr>
          <w:rFonts w:ascii="Times New Roman" w:hAnsi="Times New Roman" w:cs="Times New Roman"/>
          <w:b/>
          <w:bCs/>
          <w:color w:val="auto"/>
          <w:sz w:val="24"/>
          <w:szCs w:val="24"/>
          <w:lang w:val="es-PE" w:eastAsia="ar-SA"/>
        </w:rPr>
        <w:t>2</w:t>
      </w:r>
      <w:r w:rsidRPr="00F94B58" w:rsidR="00231C58">
        <w:rPr>
          <w:rFonts w:ascii="Times New Roman" w:hAnsi="Times New Roman" w:cs="Times New Roman"/>
          <w:b/>
          <w:bCs/>
          <w:color w:val="auto"/>
          <w:sz w:val="24"/>
          <w:szCs w:val="24"/>
          <w:lang w:val="es-PE" w:eastAsia="ar-SA"/>
        </w:rPr>
        <w:t>1</w:t>
      </w:r>
    </w:p>
    <w:p w:rsidRPr="00F94B58" w:rsidR="00FB0C48" w:rsidP="00FB0C48" w:rsidRDefault="00FB0C48" w14:paraId="71F35ACE" w14:textId="77777777">
      <w:pPr>
        <w:jc w:val="both"/>
        <w:outlineLvl w:val="0"/>
        <w:rPr>
          <w:rFonts w:ascii="Times New Roman" w:hAnsi="Times New Roman" w:cs="Times New Roman"/>
          <w:b/>
          <w:bCs/>
          <w:sz w:val="24"/>
          <w:szCs w:val="24"/>
          <w:lang w:val="es-MX"/>
        </w:rPr>
      </w:pPr>
    </w:p>
    <w:p w:rsidRPr="00F94B58" w:rsidR="00F94B58" w:rsidP="00F94B58" w:rsidRDefault="00F94B58" w14:paraId="37430A3A" w14:textId="77777777">
      <w:pPr>
        <w:spacing w:after="0" w:line="240" w:lineRule="auto"/>
        <w:jc w:val="both"/>
        <w:rPr>
          <w:rFonts w:ascii="Times New Roman" w:hAnsi="Times New Roman" w:cs="Times New Roman"/>
          <w:sz w:val="24"/>
          <w:szCs w:val="24"/>
          <w:lang w:val="es-PE"/>
        </w:rPr>
      </w:pPr>
      <w:r w:rsidRPr="00F94B58">
        <w:rPr>
          <w:rFonts w:ascii="Times New Roman" w:hAnsi="Times New Roman" w:cs="Times New Roman"/>
          <w:b/>
          <w:sz w:val="24"/>
          <w:szCs w:val="24"/>
          <w:lang w:val="es-PE"/>
        </w:rPr>
        <w:t xml:space="preserve">Vistos: </w:t>
      </w:r>
    </w:p>
    <w:p w:rsidRPr="00F94B58" w:rsidR="00F94B58" w:rsidP="00F94B58" w:rsidRDefault="00F94B58" w14:paraId="21EC31C8" w14:textId="77777777">
      <w:pPr>
        <w:spacing w:after="0" w:line="240" w:lineRule="auto"/>
        <w:jc w:val="both"/>
        <w:rPr>
          <w:rFonts w:ascii="Times New Roman" w:hAnsi="Times New Roman" w:cs="Times New Roman"/>
          <w:sz w:val="24"/>
          <w:szCs w:val="24"/>
          <w:lang w:val="es-PE"/>
        </w:rPr>
      </w:pPr>
    </w:p>
    <w:p w:rsidRPr="00F94B58" w:rsidR="00F94B58" w:rsidP="00F94B58" w:rsidRDefault="00F94B58" w14:paraId="7D3E8FE8" w14:textId="55B1B544">
      <w:pPr>
        <w:spacing w:line="240" w:lineRule="auto"/>
        <w:jc w:val="both"/>
        <w:rPr>
          <w:rFonts w:ascii="Times New Roman" w:hAnsi="Times New Roman" w:cs="Times New Roman"/>
          <w:sz w:val="24"/>
          <w:szCs w:val="24"/>
          <w:lang w:val="es-PE"/>
        </w:rPr>
      </w:pPr>
      <w:r w:rsidRPr="77259789" w:rsidR="00F94B58">
        <w:rPr>
          <w:rFonts w:ascii="Times New Roman" w:hAnsi="Times New Roman" w:cs="Times New Roman"/>
          <w:sz w:val="24"/>
          <w:szCs w:val="24"/>
          <w:lang w:val="es-PE"/>
        </w:rPr>
        <w:t>El Recurso Impugnativo presentado el 04 de agosto de 2021</w:t>
      </w:r>
      <w:r w:rsidRPr="77259789" w:rsidR="34AE8957">
        <w:rPr>
          <w:rFonts w:ascii="Times New Roman" w:hAnsi="Times New Roman" w:cs="Times New Roman"/>
          <w:sz w:val="24"/>
          <w:szCs w:val="24"/>
          <w:lang w:val="es-PE"/>
        </w:rPr>
        <w:t xml:space="preserve"> </w:t>
      </w:r>
      <w:r w:rsidRPr="77259789" w:rsidR="34AE8957">
        <w:rPr>
          <w:rFonts w:ascii="Times New Roman" w:hAnsi="Times New Roman" w:cs="Times New Roman"/>
          <w:sz w:val="24"/>
          <w:szCs w:val="24"/>
          <w:lang w:val="es-PE"/>
        </w:rPr>
        <w:t>..........................................</w:t>
      </w:r>
      <w:r w:rsidRPr="77259789" w:rsidR="00F94B58">
        <w:rPr>
          <w:rFonts w:ascii="Times New Roman" w:hAnsi="Times New Roman" w:cs="Times New Roman"/>
          <w:sz w:val="24"/>
          <w:szCs w:val="24"/>
          <w:lang w:val="es-PE"/>
        </w:rPr>
        <w:t xml:space="preserve"> respecto de la Resolución </w:t>
      </w:r>
      <w:r w:rsidRPr="77259789" w:rsidR="00F94B58">
        <w:rPr>
          <w:rFonts w:ascii="Times New Roman" w:hAnsi="Times New Roman" w:cs="Times New Roman"/>
          <w:sz w:val="24"/>
          <w:szCs w:val="24"/>
          <w:lang w:val="es-PE"/>
        </w:rPr>
        <w:t>N°</w:t>
      </w:r>
      <w:r w:rsidRPr="77259789" w:rsidR="00F94B58">
        <w:rPr>
          <w:rFonts w:ascii="Times New Roman" w:hAnsi="Times New Roman" w:cs="Times New Roman"/>
          <w:sz w:val="24"/>
          <w:szCs w:val="24"/>
          <w:lang w:val="es-PE"/>
        </w:rPr>
        <w:t xml:space="preserve"> 094/21 emitida el 26 de julio de 2021 por esta Defensoría del Asegurado (DEFASEG) que declaró INFUNDADA la reclamación interpuesta, sobre otorgamiento de cobertura al siniestro ocurrido bajo la Póliza de Seguro de Vehículos contratada.</w:t>
      </w:r>
    </w:p>
    <w:p w:rsidRPr="00F94B58" w:rsidR="00F94B58" w:rsidP="00F94B58" w:rsidRDefault="00F94B58" w14:paraId="6423B7B5" w14:textId="2322F658">
      <w:pPr>
        <w:spacing w:line="240" w:lineRule="auto"/>
        <w:jc w:val="both"/>
        <w:rPr>
          <w:rFonts w:ascii="Times New Roman" w:hAnsi="Times New Roman" w:cs="Times New Roman"/>
          <w:sz w:val="24"/>
          <w:szCs w:val="24"/>
          <w:lang w:val="es-PE"/>
        </w:rPr>
      </w:pPr>
      <w:r w:rsidRPr="77259789" w:rsidR="00F94B58">
        <w:rPr>
          <w:rFonts w:ascii="Times New Roman" w:hAnsi="Times New Roman" w:cs="Times New Roman"/>
          <w:sz w:val="24"/>
          <w:szCs w:val="24"/>
          <w:lang w:val="es-PE"/>
        </w:rPr>
        <w:t xml:space="preserve">Que el señalado Recurso Impugnativo se fundamenta resumidamente en lo siguiente: 1) Que, la resolución cuestionada señala “que las garantías son aplicables a siniestro como robo como lo indica la aseguradora y no por hurto como lo indica la asegurada, por ello los vocales recurriendo a la RAE para establecer la definición de robo consideran que como el conductor del vehículo tenía las llaves los delincuentes tuvieron que realizar algún tipo de violencia contra el vehículo y esa acción califica como robo según los vocales, siendo por ello aplicable al presente caso todas las condiciones que se establecen para un robo. 2) Que, los vocales se equivocan al recurrir a la RAE para buscar el significado de robo y hurto, pues no es en la RAE donde se debe buscar estos conceptos sino en los artículos 188° del Código Penal referido a Robo y en el artículo 185 y 186 del Código Penal para Hurto. En el Código Penal se establece que en el Robo se ejerce con violencia sobre las personas y no sobre las cosas. 3) Que, el Código Penal define el Hurto y el Robo de manera distinta. La distinción característica entre ambos delitos es que el Robo se realiza con violencia y el Hurto no se utiliza violencia, ambos son delitos con consecuencias jurídicas diferentes, por ello el Robo tiene mayor pena que el Hurto. 4) Que, como se observa, los vocales se equivocan cuando indican que lo ocurrido se debe entender como robo y no como hurto pues como ellos mismos señalan, se habría ejercido violencia contra el vehículo mas no contra la persona del conductor. Que, en tal sentido, se está ante un supuesto de Hurto y no de Robo, siendo que el Hurto no tiene exclusiones para el pago de la póliza por el Hurto sufrido en agravio del apelante. 5) Que, con fecha 03 de febrero de 2021, la DIPROVE expide el Parte Policial que obra en el expediente por el cual concluye que el vehículo fue objeto de Hurto Agravado y que los agentes del delito se encuentran en proceso de identificación; en tal sentido se observa que la Policía Nacional como órgano competente ya definió que el hecho ocurrido representa un Hurto y no un Robo. 6) Que, sobre la carta de rechazo de cobertura de la póliza de seguros y sobre los argumentos de la resolución cuestionada, incluido el hecho de que la empresa </w:t>
      </w:r>
      <w:r w:rsidRPr="77259789" w:rsidR="441767C8">
        <w:rPr>
          <w:rFonts w:ascii="Times New Roman" w:hAnsi="Times New Roman" w:cs="Times New Roman"/>
          <w:sz w:val="24"/>
          <w:szCs w:val="24"/>
          <w:lang w:val="es-PE"/>
        </w:rPr>
        <w:t>..............................</w:t>
      </w:r>
      <w:r w:rsidRPr="77259789" w:rsidR="00F94B58">
        <w:rPr>
          <w:rFonts w:ascii="Times New Roman" w:hAnsi="Times New Roman" w:cs="Times New Roman"/>
          <w:sz w:val="24"/>
          <w:szCs w:val="24"/>
          <w:lang w:val="es-PE"/>
        </w:rPr>
        <w:t xml:space="preserve"> no estaba en la lista de las empresas con las cuales </w:t>
      </w:r>
      <w:r w:rsidRPr="77259789" w:rsidR="55A700FA">
        <w:rPr>
          <w:rFonts w:ascii="Times New Roman" w:hAnsi="Times New Roman" w:cs="Times New Roman"/>
          <w:sz w:val="24"/>
          <w:szCs w:val="24"/>
          <w:lang w:val="es-PE"/>
        </w:rPr>
        <w:t>..............................</w:t>
      </w:r>
      <w:r w:rsidRPr="77259789" w:rsidR="00F94B58">
        <w:rPr>
          <w:rFonts w:ascii="Times New Roman" w:hAnsi="Times New Roman" w:cs="Times New Roman"/>
          <w:sz w:val="24"/>
          <w:szCs w:val="24"/>
          <w:lang w:val="es-PE"/>
        </w:rPr>
        <w:t xml:space="preserve"> trabaja el servicio de GPS, se debe indicar que no son válidos por cuanto los mismos son aplicables para el supuesto de “robo” y el presente caso es un supuesto de “hurto”. 7) Que, sobre que la empresa solicitante comunicó el “robo total” (falso) pasadas tres (3) horas de ocurrido el hecho, se debe señalar que dicha aseveración es falsa, puesto que tal como se indica en la denuncia policial, el hurto del vehículo ocurrió a las 22.45 pm (10.45 pm) y el Gerente Administrativo comunica el “hurto” a las 00.45 horas, es decir dentro del plazo de las dos horas a pesar que no tenía la obligación contractual de realizar dicha comunicación por cuanto se trata de un supuesto de Hurto.</w:t>
      </w:r>
    </w:p>
    <w:p w:rsidRPr="00F94B58" w:rsidR="00F94B58" w:rsidP="00F94B58" w:rsidRDefault="00F94B58" w14:paraId="494B817B" w14:textId="36ECD5D6">
      <w:pPr>
        <w:spacing w:line="240" w:lineRule="auto"/>
        <w:jc w:val="both"/>
        <w:rPr>
          <w:rFonts w:ascii="Times New Roman" w:hAnsi="Times New Roman" w:cs="Times New Roman"/>
          <w:sz w:val="24"/>
          <w:szCs w:val="24"/>
          <w:lang w:val="es-PE"/>
        </w:rPr>
      </w:pPr>
      <w:r w:rsidRPr="77259789" w:rsidR="00F94B58">
        <w:rPr>
          <w:rFonts w:ascii="Times New Roman" w:hAnsi="Times New Roman" w:cs="Times New Roman"/>
          <w:sz w:val="24"/>
          <w:szCs w:val="24"/>
          <w:lang w:val="es-PE"/>
        </w:rPr>
        <w:t xml:space="preserve">Que, habiéndose corrido traslado a </w:t>
      </w:r>
      <w:r w:rsidRPr="77259789" w:rsidR="55A700FA">
        <w:rPr>
          <w:rFonts w:ascii="Times New Roman" w:hAnsi="Times New Roman" w:cs="Times New Roman"/>
          <w:sz w:val="24"/>
          <w:szCs w:val="24"/>
          <w:lang w:val="es-PE"/>
        </w:rPr>
        <w:t>..............................</w:t>
      </w:r>
      <w:r w:rsidRPr="77259789" w:rsidR="00F94B58">
        <w:rPr>
          <w:rFonts w:ascii="Times New Roman" w:hAnsi="Times New Roman" w:cs="Times New Roman"/>
          <w:sz w:val="24"/>
          <w:szCs w:val="24"/>
          <w:lang w:val="es-PE"/>
        </w:rPr>
        <w:t xml:space="preserve"> Seguros del señalado Recurso Impugnativo, la aseguradora contestó lo siguiente: 1) Que, en relación la carga contractual de contratar el servicio de GPS con alguno de los proveedores establecidos en la póliza contratada, debe tenerse en cuenta que se pactó expresamente que el vehículo asegurado debe contar con un dispositivo GPS instalado por un proveedor autorizado por la compañía y, que si el asegurado </w:t>
      </w:r>
      <w:r w:rsidRPr="77259789" w:rsidR="00F94B58">
        <w:rPr>
          <w:rFonts w:ascii="Times New Roman" w:hAnsi="Times New Roman" w:cs="Times New Roman"/>
          <w:sz w:val="24"/>
          <w:szCs w:val="24"/>
          <w:lang w:val="es-PE"/>
        </w:rPr>
        <w:t xml:space="preserve">no contrató con alguno de los referidos proveedores, se tiene por incumplida dicha carga contractual y por ende en caso de ocurrir un siniestro por robo total o hurto (como en este caso) no corresponde aplicar la cobertura del seguro. 2) Que, así mismo, resulta pertinente precisar que la cobertura de una póliza de seguro no es ilimitada, sino que está circunscrita a lo establecido en el mismo seguro, conforme a lo establecido en el artículo 1° de la Ley 29946 – Ley de Contrato de Seguro. En este sentido, por imperio de la norma es que los términos y condiciones de las coberturas contenidas en el contrato de seguro, tienen un parámetro que encuadra las obligaciones y cargas de cada parte. 3) Que, no obstante, lo indicado, el asegurado en su escrito de reclamo y en la audiencia alegó que no corresponde aplicar dicha carga contractual puesto que, según su apreciación aquella está destinada únicamente para    la cobertura de robo total, siendo que, en este caso, según su versión ocurrió un hurto y no un robo y por ende según su interpretación le corresponde aplicar la cobertura de hurto total que no tendría dicha condición especial de contratar el GPS con determinados proveedores. 4) Que, se asume que el asegurado tiene dicha interpretación errónea porque en la condición especial de la contratación de GPS se indica que se refiere a la cobertura de robo total, sin embargo, se debe precisar que en la póliza contratada la cobertura es “PERDIDA TOTAL POR ROBO O HURTO”, es decir, la cobertura es una sola para ambos supuestos conforme en la misma póliza contratante por el reclamante. 5) Que, de otro lado el asegurado también plantea un segundo argumento en el cual señala que habría informado a la aseguradora de la contratación del GPS con la empresa </w:t>
      </w:r>
      <w:r w:rsidRPr="77259789" w:rsidR="441767C8">
        <w:rPr>
          <w:rFonts w:ascii="Times New Roman" w:hAnsi="Times New Roman" w:cs="Times New Roman"/>
          <w:sz w:val="24"/>
          <w:szCs w:val="24"/>
          <w:lang w:val="es-PE"/>
        </w:rPr>
        <w:t>..............................</w:t>
      </w:r>
      <w:r w:rsidRPr="77259789" w:rsidR="00F94B58">
        <w:rPr>
          <w:rFonts w:ascii="Times New Roman" w:hAnsi="Times New Roman" w:cs="Times New Roman"/>
          <w:sz w:val="24"/>
          <w:szCs w:val="24"/>
          <w:lang w:val="es-PE"/>
        </w:rPr>
        <w:t xml:space="preserve">, y que ello también habría sido validado por </w:t>
      </w:r>
      <w:r w:rsidRPr="77259789" w:rsidR="55A700FA">
        <w:rPr>
          <w:rFonts w:ascii="Times New Roman" w:hAnsi="Times New Roman" w:cs="Times New Roman"/>
          <w:sz w:val="24"/>
          <w:szCs w:val="24"/>
          <w:lang w:val="es-PE"/>
        </w:rPr>
        <w:t>..............................</w:t>
      </w:r>
      <w:r w:rsidRPr="77259789" w:rsidR="00F94B58">
        <w:rPr>
          <w:rFonts w:ascii="Times New Roman" w:hAnsi="Times New Roman" w:cs="Times New Roman"/>
          <w:sz w:val="24"/>
          <w:szCs w:val="24"/>
          <w:lang w:val="es-PE"/>
        </w:rPr>
        <w:t xml:space="preserve"> Seguros. Que dicho argumento es falso, puesto que la aseguradora en ningún momento fue informada de la contratación del GPS con dicho proveedor y, menos aún, realizó algún tipo de validación como temerariamente afirma el reclamante. Que, en ese sentido, al no haber acreditado la reclamante la realización de dicha comunicación y menos aún que se haya realizado la alegada validación, dicho argumento también debe ser desestimado. 6) Que, en relación al reporte extemporáneo del siniestro como causal de exclusión, debe tenerse en cuenta que el asegurado llamó a la central de emergencia de la compañía el 30/12/2020 a las 12:51 am, cuya copia de la grabación obra en autos, siendo que en dicha llamada aquel señaló que llegó al lugar de los hechos el 29/12/2020 a las 9:30 pm (en el peor de los casos) y se dio cuenta de que el vehículo ya no estaba donde lo había dejado a las 9:50 pm (en el peor de los casos), por lo que según el registro de la central telefónica se evidencia que el asegurado demoró injustificadamente tres (3) horas en comunicar la existencia del siniestro. Que, en consecuencia, habiéndose efectuado el reporte del siniestro de forma extemporánea, se incurrió de forma injustificada en incumplimiento de las cargas contractuales establecidas en el contrato de seguro, impidiendo a la aseguradora verificar las circunstancias y responsabilidades del siniestro, lo que determina la pérdida del derecho indemnizatorio conforme a lo establecido en el numeral 6.1.5 del artículo 6° de las Condiciones Generales de la Póliza contratada. </w:t>
      </w:r>
    </w:p>
    <w:p w:rsidRPr="00F94B58" w:rsidR="00F94B58" w:rsidP="00F94B58" w:rsidRDefault="00F94B58" w14:paraId="70B326A5" w14:textId="77777777">
      <w:pPr>
        <w:spacing w:line="240" w:lineRule="auto"/>
        <w:jc w:val="both"/>
        <w:rPr>
          <w:rFonts w:ascii="Times New Roman" w:hAnsi="Times New Roman" w:cs="Times New Roman"/>
          <w:i/>
          <w:sz w:val="24"/>
          <w:szCs w:val="24"/>
          <w:lang w:val="es-PE"/>
        </w:rPr>
      </w:pPr>
      <w:r w:rsidRPr="00F94B58">
        <w:rPr>
          <w:rFonts w:ascii="Times New Roman" w:hAnsi="Times New Roman" w:cs="Times New Roman"/>
          <w:sz w:val="24"/>
          <w:szCs w:val="24"/>
          <w:lang w:val="es-PE"/>
        </w:rPr>
        <w:t>Que, atendiendo a lo expuesto, esta Defensoría resuelve finalmente lo siguiente:</w:t>
      </w:r>
    </w:p>
    <w:p w:rsidRPr="00F94B58" w:rsidR="00F94B58" w:rsidP="00F94B58" w:rsidRDefault="00F94B58" w14:paraId="23DE756A" w14:textId="1016DAF2">
      <w:pPr>
        <w:spacing w:line="240" w:lineRule="auto"/>
        <w:jc w:val="both"/>
        <w:rPr>
          <w:rFonts w:ascii="Times New Roman" w:hAnsi="Times New Roman" w:cs="Times New Roman"/>
          <w:sz w:val="24"/>
          <w:szCs w:val="24"/>
          <w:lang w:val="es-PE"/>
        </w:rPr>
      </w:pPr>
      <w:r w:rsidRPr="77259789" w:rsidR="00F94B58">
        <w:rPr>
          <w:rFonts w:ascii="Times New Roman" w:hAnsi="Times New Roman" w:cs="Times New Roman"/>
          <w:b w:val="1"/>
          <w:bCs w:val="1"/>
          <w:sz w:val="24"/>
          <w:szCs w:val="24"/>
          <w:lang w:val="es-PE"/>
        </w:rPr>
        <w:t>PRIMERO:</w:t>
      </w:r>
      <w:r w:rsidRPr="77259789" w:rsidR="00F94B58">
        <w:rPr>
          <w:rFonts w:ascii="Times New Roman" w:hAnsi="Times New Roman" w:cs="Times New Roman"/>
          <w:sz w:val="24"/>
          <w:szCs w:val="24"/>
          <w:lang w:val="es-PE"/>
        </w:rPr>
        <w:t xml:space="preserve"> Que el artículo 10 (Procedimiento) del Reglamento de la DEFASEG (</w:t>
      </w:r>
      <w:hyperlink r:id="R6a3568efe5364b14">
        <w:r w:rsidRPr="77259789" w:rsidR="00F94B58">
          <w:rPr>
            <w:rStyle w:val="Hipervnculo"/>
            <w:rFonts w:ascii="Times New Roman" w:hAnsi="Times New Roman" w:cs="Times New Roman"/>
            <w:color w:val="auto"/>
            <w:sz w:val="24"/>
            <w:szCs w:val="24"/>
            <w:lang w:val="es-PE"/>
          </w:rPr>
          <w:t>http://www.defaseg.com.pe/reglamento</w:t>
        </w:r>
      </w:hyperlink>
      <w:r w:rsidRPr="77259789" w:rsidR="00F94B58">
        <w:rPr>
          <w:rFonts w:ascii="Times New Roman" w:hAnsi="Times New Roman" w:cs="Times New Roman"/>
          <w:sz w:val="24"/>
          <w:szCs w:val="24"/>
          <w:lang w:val="es-PE"/>
        </w:rPr>
        <w:t xml:space="preserve">) establece que cualquiera de las partes que no se encuentre de acuerdo con la decisión adoptada por el colegiado sobre la materia reclamada, podrá impugnarla, interponiendo el correspondiente Recurso Impugnativo. Conforme a ello, en el caso concreto, </w:t>
      </w:r>
      <w:r w:rsidRPr="77259789" w:rsidR="484B1214">
        <w:rPr>
          <w:rFonts w:ascii="Times New Roman" w:hAnsi="Times New Roman" w:cs="Times New Roman"/>
          <w:sz w:val="24"/>
          <w:szCs w:val="24"/>
          <w:lang w:val="es-PE"/>
        </w:rPr>
        <w:t>..........................................</w:t>
      </w:r>
      <w:r w:rsidRPr="77259789" w:rsidR="00F94B58">
        <w:rPr>
          <w:rFonts w:ascii="Times New Roman" w:hAnsi="Times New Roman" w:cs="Times New Roman"/>
          <w:sz w:val="24"/>
          <w:szCs w:val="24"/>
          <w:lang w:val="es-PE"/>
        </w:rPr>
        <w:t>, al interponer el Recurso Impugnativo, ha ejercido formalmente su derecho a contradecir lo resuelto por la Defensoría, aunque se espera razonablemente que sustente objetivamente la razón de su desacuerdo, destacando el vicio o error en que se habría incurrido y que permitiría fundamentar que lo resuelto no se ajusta a derecho ni a los correspondientes actuados.</w:t>
      </w:r>
    </w:p>
    <w:p w:rsidRPr="00F94B58" w:rsidR="00F94B58" w:rsidP="00F94B58" w:rsidRDefault="00F94B58" w14:paraId="284B2585" w14:textId="77777777">
      <w:pPr>
        <w:spacing w:line="240" w:lineRule="auto"/>
        <w:jc w:val="both"/>
        <w:rPr>
          <w:rFonts w:ascii="Times New Roman" w:hAnsi="Times New Roman" w:cs="Times New Roman"/>
          <w:sz w:val="24"/>
          <w:szCs w:val="24"/>
          <w:lang w:val="es-PE"/>
        </w:rPr>
      </w:pPr>
      <w:r w:rsidRPr="00F94B58">
        <w:rPr>
          <w:rFonts w:ascii="Times New Roman" w:hAnsi="Times New Roman" w:cs="Times New Roman"/>
          <w:b/>
          <w:sz w:val="24"/>
          <w:szCs w:val="24"/>
          <w:lang w:val="es-PE"/>
        </w:rPr>
        <w:lastRenderedPageBreak/>
        <w:t>SEGUNDO:</w:t>
      </w:r>
      <w:r w:rsidRPr="00F94B58">
        <w:rPr>
          <w:rFonts w:ascii="Times New Roman" w:hAnsi="Times New Roman" w:cs="Times New Roman"/>
          <w:sz w:val="24"/>
          <w:szCs w:val="24"/>
          <w:lang w:val="es-PE"/>
        </w:rPr>
        <w:t xml:space="preserve"> Que, de la lectura del Recurso Impugnativo interpuesto se aprecia que el asegurado insiste en lo ya expresado con ocasión de presentar su escrito de reclamación, argumentos que ya fueron debidamente analizados en los Considerandos, Sétimo, Octavo, Noveno y Décimo de la Resolución recurrida. A juicio de este colegiado, el contenido del señalado Recurso Impugnativo evidencia simplemente la disconformidad de este último con el sentido de lo resuelto. En consecuencia, el Recurso Impugnativo interpuesto puede ser categorizado, por su contenido mismo, como una solicitud de revisión general, sustentado en el muy respetable criterio de la asegurada que este colegiado no comparte, pero sin aportar argumento o medio probatorio alguno que permita objetivamente a este colegiado apreciar que habría incurrido efectivamente en un error o vicio al momento de resolver.</w:t>
      </w:r>
    </w:p>
    <w:p w:rsidRPr="00F94B58" w:rsidR="00F94B58" w:rsidP="00F94B58" w:rsidRDefault="00F94B58" w14:paraId="65EB3A21" w14:textId="17771E56">
      <w:pPr>
        <w:spacing w:line="240" w:lineRule="auto"/>
        <w:jc w:val="both"/>
        <w:rPr>
          <w:rFonts w:ascii="Times New Roman" w:hAnsi="Times New Roman" w:cs="Times New Roman"/>
          <w:sz w:val="24"/>
          <w:szCs w:val="24"/>
          <w:lang w:val="es-PE"/>
        </w:rPr>
      </w:pPr>
      <w:r w:rsidRPr="77259789" w:rsidR="00F94B58">
        <w:rPr>
          <w:rFonts w:ascii="Times New Roman" w:hAnsi="Times New Roman" w:cs="Times New Roman"/>
          <w:sz w:val="24"/>
          <w:szCs w:val="24"/>
          <w:lang w:val="es-PE"/>
        </w:rPr>
        <w:t xml:space="preserve">Que, sin perjuicio de lo anterior, la reclamante indica nuevamente en el presente Recurso Impugnativo  que el colegiado se ha equivocado al haber recurrido a la RAE para buscar el significado de robo y hurto y, que no es en la RAE donde se debe buscar estos conceptos sino en los artículos 188° del Código Penal referido a Robo y en el artículo 185 y 186 del Código Penal para Hurto ya que, el mencionado Código Penal  establece que en el Robo se ejerce con violencia sobre las personas y no sobre las cosas y que, el mismo Código define el Hurto y el Robo de manera distinta; la distinción característica entre ambos delitos es que el Robo se realiza con violencia contra personas y el Hurto no se utiliza violencia, ambos son delitos con consecuencias jurídicas diferentes, por ello el Robo tiene mayor pena que el Hurto. Que, al respecto, este colegiado considera que no es correcta tal afirmación ya que, es claro que el Código Penal diferencia el Robo del Hurto en función de que el Robo se efectúa con violencia sobre las personas y el Hurto se efectúa sin violencia contra las personas y en razón a ello diferencia las penas en cada caso; sin embargo, para efectos de los seguros, al ser coberturas contra daños materiales, el robo se define como la sustracción de bienes con violencia contra las personas y/o cosas que son sustraídas, mientras que el hurto es la desaparición misteriosa sin violencia contra las personas y/o cosas. Lo mencionado no solo se aprecia en las definiciones de la RAE, sino también en los Diccionarios internacionales de Seguros, como el de </w:t>
      </w:r>
      <w:r w:rsidRPr="77259789" w:rsidR="55A700FA">
        <w:rPr>
          <w:rFonts w:ascii="Times New Roman" w:hAnsi="Times New Roman" w:cs="Times New Roman"/>
          <w:sz w:val="24"/>
          <w:szCs w:val="24"/>
          <w:lang w:val="es-PE"/>
        </w:rPr>
        <w:t>..............................</w:t>
      </w:r>
      <w:r w:rsidRPr="77259789" w:rsidR="00F94B58">
        <w:rPr>
          <w:rFonts w:ascii="Times New Roman" w:hAnsi="Times New Roman" w:cs="Times New Roman"/>
          <w:sz w:val="24"/>
          <w:szCs w:val="24"/>
          <w:lang w:val="es-PE"/>
        </w:rPr>
        <w:t xml:space="preserve"> Internacional.</w:t>
      </w:r>
    </w:p>
    <w:p w:rsidRPr="00F94B58" w:rsidR="00F94B58" w:rsidP="00F94B58" w:rsidRDefault="00F94B58" w14:paraId="0C21E386" w14:textId="77777777">
      <w:pPr>
        <w:spacing w:line="240" w:lineRule="auto"/>
        <w:jc w:val="both"/>
        <w:rPr>
          <w:rFonts w:ascii="Times New Roman" w:hAnsi="Times New Roman" w:cs="Times New Roman"/>
          <w:sz w:val="24"/>
          <w:szCs w:val="24"/>
          <w:lang w:val="es-PE"/>
        </w:rPr>
      </w:pPr>
      <w:r w:rsidRPr="00F94B58">
        <w:rPr>
          <w:rFonts w:ascii="Times New Roman" w:hAnsi="Times New Roman" w:cs="Times New Roman"/>
          <w:sz w:val="24"/>
          <w:szCs w:val="24"/>
          <w:lang w:val="es-PE"/>
        </w:rPr>
        <w:t>Por consiguiente, este colegiado reitera su análisis contenido en la resolución recurrida.</w:t>
      </w:r>
    </w:p>
    <w:p w:rsidRPr="00F94B58" w:rsidR="00F94B58" w:rsidP="00F94B58" w:rsidRDefault="00F94B58" w14:paraId="0B2255DD" w14:textId="77777777">
      <w:pPr>
        <w:spacing w:line="240" w:lineRule="auto"/>
        <w:jc w:val="both"/>
        <w:rPr>
          <w:rFonts w:ascii="Times New Roman" w:hAnsi="Times New Roman" w:cs="Times New Roman"/>
          <w:sz w:val="24"/>
          <w:szCs w:val="24"/>
          <w:lang w:val="es-PE"/>
        </w:rPr>
      </w:pPr>
      <w:r w:rsidRPr="00F94B58">
        <w:rPr>
          <w:rFonts w:ascii="Times New Roman" w:hAnsi="Times New Roman" w:cs="Times New Roman"/>
          <w:sz w:val="24"/>
          <w:szCs w:val="24"/>
          <w:lang w:val="es-PE"/>
        </w:rPr>
        <w:t xml:space="preserve">En atención a las consideraciones precedentes, este colegiado no aprecia mérito ni razón objetiva para revocar la resolución recurrida </w:t>
      </w:r>
      <w:proofErr w:type="gramStart"/>
      <w:r w:rsidRPr="00F94B58">
        <w:rPr>
          <w:rFonts w:ascii="Times New Roman" w:hAnsi="Times New Roman" w:cs="Times New Roman"/>
          <w:sz w:val="24"/>
          <w:szCs w:val="24"/>
          <w:lang w:val="es-PE"/>
        </w:rPr>
        <w:t>y</w:t>
      </w:r>
      <w:proofErr w:type="gramEnd"/>
      <w:r w:rsidRPr="00F94B58">
        <w:rPr>
          <w:rFonts w:ascii="Times New Roman" w:hAnsi="Times New Roman" w:cs="Times New Roman"/>
          <w:sz w:val="24"/>
          <w:szCs w:val="24"/>
          <w:lang w:val="es-PE"/>
        </w:rPr>
        <w:t xml:space="preserve"> por lo tanto</w:t>
      </w:r>
    </w:p>
    <w:p w:rsidRPr="00F94B58" w:rsidR="00F94B58" w:rsidP="00F94B58" w:rsidRDefault="00F94B58" w14:paraId="3F44AC05" w14:textId="77777777">
      <w:pPr>
        <w:spacing w:line="240" w:lineRule="auto"/>
        <w:jc w:val="both"/>
        <w:rPr>
          <w:rFonts w:ascii="Times New Roman" w:hAnsi="Times New Roman" w:cs="Times New Roman"/>
          <w:b/>
          <w:sz w:val="24"/>
          <w:szCs w:val="24"/>
          <w:lang w:val="es-PE"/>
        </w:rPr>
      </w:pPr>
      <w:r w:rsidRPr="00F94B58">
        <w:rPr>
          <w:rFonts w:ascii="Times New Roman" w:hAnsi="Times New Roman" w:cs="Times New Roman"/>
          <w:b/>
          <w:sz w:val="24"/>
          <w:szCs w:val="24"/>
          <w:lang w:val="es-PE"/>
        </w:rPr>
        <w:t xml:space="preserve">RESUELVE: </w:t>
      </w:r>
    </w:p>
    <w:p w:rsidRPr="00F94B58" w:rsidR="00F94B58" w:rsidP="00F94B58" w:rsidRDefault="00F94B58" w14:paraId="48880027" w14:textId="650C80C4">
      <w:pPr>
        <w:spacing w:line="240" w:lineRule="auto"/>
        <w:jc w:val="both"/>
        <w:rPr>
          <w:rFonts w:ascii="Times New Roman" w:hAnsi="Times New Roman" w:cs="Times New Roman"/>
          <w:sz w:val="24"/>
          <w:szCs w:val="24"/>
          <w:lang w:val="es-PE"/>
        </w:rPr>
      </w:pPr>
      <w:r w:rsidRPr="77259789" w:rsidR="00F94B58">
        <w:rPr>
          <w:rFonts w:ascii="Times New Roman" w:hAnsi="Times New Roman" w:cs="Times New Roman"/>
          <w:sz w:val="24"/>
          <w:szCs w:val="24"/>
          <w:lang w:val="es-PE"/>
        </w:rPr>
        <w:t xml:space="preserve">Declarar </w:t>
      </w:r>
      <w:r w:rsidRPr="77259789" w:rsidR="00F94B58">
        <w:rPr>
          <w:rFonts w:ascii="Times New Roman" w:hAnsi="Times New Roman" w:cs="Times New Roman"/>
          <w:b w:val="1"/>
          <w:bCs w:val="1"/>
          <w:sz w:val="24"/>
          <w:szCs w:val="24"/>
          <w:lang w:val="es-PE"/>
        </w:rPr>
        <w:t>INFUNDADO</w:t>
      </w:r>
      <w:r w:rsidRPr="77259789" w:rsidR="00F94B58">
        <w:rPr>
          <w:rFonts w:ascii="Times New Roman" w:hAnsi="Times New Roman" w:cs="Times New Roman"/>
          <w:sz w:val="24"/>
          <w:szCs w:val="24"/>
          <w:lang w:val="es-PE"/>
        </w:rPr>
        <w:t xml:space="preserve"> el Recurso Impugnativo interpuesto y, por consiguiente, RATIFICAR la Resolución </w:t>
      </w:r>
      <w:r w:rsidRPr="77259789" w:rsidR="00F94B58">
        <w:rPr>
          <w:rFonts w:ascii="Times New Roman" w:hAnsi="Times New Roman" w:cs="Times New Roman"/>
          <w:sz w:val="24"/>
          <w:szCs w:val="24"/>
          <w:lang w:val="es-PE"/>
        </w:rPr>
        <w:t>N°</w:t>
      </w:r>
      <w:r w:rsidRPr="77259789" w:rsidR="00F94B58">
        <w:rPr>
          <w:rFonts w:ascii="Times New Roman" w:hAnsi="Times New Roman" w:cs="Times New Roman"/>
          <w:sz w:val="24"/>
          <w:szCs w:val="24"/>
          <w:lang w:val="es-PE"/>
        </w:rPr>
        <w:t xml:space="preserve"> 094/21 que declaró INFUNDADA la reclamación interpuesta por </w:t>
      </w:r>
      <w:r w:rsidRPr="77259789" w:rsidR="484B1214">
        <w:rPr>
          <w:rFonts w:ascii="Times New Roman" w:hAnsi="Times New Roman" w:cs="Times New Roman"/>
          <w:b w:val="1"/>
          <w:bCs w:val="1"/>
          <w:sz w:val="24"/>
          <w:szCs w:val="24"/>
          <w:lang w:val="es-PE"/>
        </w:rPr>
        <w:t>..........................................</w:t>
      </w:r>
      <w:r w:rsidRPr="77259789" w:rsidR="00F94B58">
        <w:rPr>
          <w:rFonts w:ascii="Times New Roman" w:hAnsi="Times New Roman" w:cs="Times New Roman"/>
          <w:sz w:val="24"/>
          <w:szCs w:val="24"/>
          <w:lang w:val="es-PE"/>
        </w:rPr>
        <w:t xml:space="preserve"> contra </w:t>
      </w:r>
      <w:r w:rsidRPr="77259789" w:rsidR="55A700FA">
        <w:rPr>
          <w:rFonts w:ascii="Times New Roman" w:hAnsi="Times New Roman" w:cs="Times New Roman"/>
          <w:b w:val="1"/>
          <w:bCs w:val="1"/>
          <w:sz w:val="24"/>
          <w:szCs w:val="24"/>
          <w:lang w:val="es-PE"/>
        </w:rPr>
        <w:t>..............................</w:t>
      </w:r>
      <w:r w:rsidRPr="77259789" w:rsidR="00F94B58">
        <w:rPr>
          <w:rFonts w:ascii="Times New Roman" w:hAnsi="Times New Roman" w:cs="Times New Roman"/>
          <w:b w:val="1"/>
          <w:bCs w:val="1"/>
          <w:sz w:val="24"/>
          <w:szCs w:val="24"/>
          <w:lang w:val="es-PE"/>
        </w:rPr>
        <w:t xml:space="preserve"> SEGUROS</w:t>
      </w:r>
      <w:r w:rsidRPr="77259789" w:rsidR="00F94B58">
        <w:rPr>
          <w:rFonts w:ascii="Times New Roman" w:hAnsi="Times New Roman" w:cs="Times New Roman"/>
          <w:sz w:val="24"/>
          <w:szCs w:val="24"/>
          <w:lang w:val="es-PE"/>
        </w:rPr>
        <w:t>, dejando a salvo el derecho de la reclamante de acudir a otras instancias que considere pertinentes.</w:t>
      </w:r>
    </w:p>
    <w:p w:rsidRPr="00FB0C48" w:rsidR="005E398E" w:rsidP="00CF69DD" w:rsidRDefault="005E398E" w14:paraId="489525D7" w14:textId="77777777">
      <w:pPr>
        <w:suppressAutoHyphens/>
        <w:spacing w:after="0" w:line="240" w:lineRule="auto"/>
        <w:outlineLvl w:val="0"/>
        <w:rPr>
          <w:rFonts w:ascii="Times New Roman" w:hAnsi="Times New Roman" w:eastAsia="Arial Unicode MS" w:cs="Times New Roman"/>
          <w:bCs/>
          <w:sz w:val="24"/>
          <w:szCs w:val="24"/>
          <w:lang w:val="es-PE"/>
        </w:rPr>
      </w:pPr>
    </w:p>
    <w:p w:rsidRPr="00FB0C48" w:rsidR="00C671F5" w:rsidP="005E398E" w:rsidRDefault="0091528B" w14:paraId="486C3F46" w14:textId="35C03BCB">
      <w:pPr>
        <w:suppressAutoHyphens/>
        <w:spacing w:after="0" w:line="240" w:lineRule="auto"/>
        <w:jc w:val="right"/>
        <w:outlineLvl w:val="0"/>
        <w:rPr>
          <w:rFonts w:ascii="Times New Roman" w:hAnsi="Times New Roman" w:eastAsia="Arial Unicode MS" w:cs="Times New Roman"/>
          <w:sz w:val="24"/>
          <w:szCs w:val="24"/>
          <w:lang w:val="es-PE" w:eastAsia="ar-SA"/>
        </w:rPr>
      </w:pPr>
      <w:r w:rsidRPr="00FB0C48">
        <w:rPr>
          <w:rFonts w:ascii="Times New Roman" w:hAnsi="Times New Roman" w:eastAsia="Arial Unicode MS" w:cs="Times New Roman"/>
          <w:sz w:val="24"/>
          <w:szCs w:val="24"/>
          <w:lang w:val="es-PE" w:eastAsia="ar-SA"/>
        </w:rPr>
        <w:t xml:space="preserve">Lima, </w:t>
      </w:r>
      <w:r w:rsidRPr="00FB0C48" w:rsidR="00FD35C4">
        <w:rPr>
          <w:rFonts w:ascii="Times New Roman" w:hAnsi="Times New Roman" w:eastAsia="Arial Unicode MS" w:cs="Times New Roman"/>
          <w:sz w:val="24"/>
          <w:szCs w:val="24"/>
          <w:lang w:val="es-PE" w:eastAsia="ar-SA"/>
        </w:rPr>
        <w:t>0</w:t>
      </w:r>
      <w:r w:rsidR="00C361E6">
        <w:rPr>
          <w:rFonts w:ascii="Times New Roman" w:hAnsi="Times New Roman" w:eastAsia="Arial Unicode MS" w:cs="Times New Roman"/>
          <w:sz w:val="24"/>
          <w:szCs w:val="24"/>
          <w:lang w:val="es-PE" w:eastAsia="ar-SA"/>
        </w:rPr>
        <w:t>4</w:t>
      </w:r>
      <w:r w:rsidRPr="00FB0C48" w:rsidR="00DD21B2">
        <w:rPr>
          <w:rFonts w:ascii="Times New Roman" w:hAnsi="Times New Roman" w:eastAsia="Arial Unicode MS" w:cs="Times New Roman"/>
          <w:sz w:val="24"/>
          <w:szCs w:val="24"/>
          <w:lang w:val="es-PE" w:eastAsia="ar-SA"/>
        </w:rPr>
        <w:t xml:space="preserve"> </w:t>
      </w:r>
      <w:r w:rsidRPr="00FB0C48" w:rsidR="00707C99">
        <w:rPr>
          <w:rFonts w:ascii="Times New Roman" w:hAnsi="Times New Roman" w:eastAsia="Arial Unicode MS" w:cs="Times New Roman"/>
          <w:sz w:val="24"/>
          <w:szCs w:val="24"/>
          <w:lang w:val="es-PE" w:eastAsia="ar-SA"/>
        </w:rPr>
        <w:t>de</w:t>
      </w:r>
      <w:r w:rsidRPr="00FB0C48" w:rsidR="00864B0B">
        <w:rPr>
          <w:rFonts w:ascii="Times New Roman" w:hAnsi="Times New Roman" w:eastAsia="Arial Unicode MS" w:cs="Times New Roman"/>
          <w:sz w:val="24"/>
          <w:szCs w:val="24"/>
          <w:lang w:val="es-PE" w:eastAsia="ar-SA"/>
        </w:rPr>
        <w:t xml:space="preserve"> </w:t>
      </w:r>
      <w:r w:rsidRPr="00FB0C48" w:rsidR="00FD35C4">
        <w:rPr>
          <w:rFonts w:ascii="Times New Roman" w:hAnsi="Times New Roman" w:eastAsia="Arial Unicode MS" w:cs="Times New Roman"/>
          <w:sz w:val="24"/>
          <w:szCs w:val="24"/>
          <w:lang w:val="es-PE" w:eastAsia="ar-SA"/>
        </w:rPr>
        <w:t>octubre</w:t>
      </w:r>
      <w:r w:rsidRPr="00FB0C48" w:rsidR="00F06498">
        <w:rPr>
          <w:rFonts w:ascii="Times New Roman" w:hAnsi="Times New Roman" w:eastAsia="Arial Unicode MS" w:cs="Times New Roman"/>
          <w:sz w:val="24"/>
          <w:szCs w:val="24"/>
          <w:lang w:val="es-PE" w:eastAsia="ar-SA"/>
        </w:rPr>
        <w:t xml:space="preserve"> de 202</w:t>
      </w:r>
      <w:r w:rsidRPr="00FB0C48" w:rsidR="00231C58">
        <w:rPr>
          <w:rFonts w:ascii="Times New Roman" w:hAnsi="Times New Roman" w:eastAsia="Arial Unicode MS" w:cs="Times New Roman"/>
          <w:sz w:val="24"/>
          <w:szCs w:val="24"/>
          <w:lang w:val="es-PE" w:eastAsia="ar-SA"/>
        </w:rPr>
        <w:t>1</w:t>
      </w:r>
      <w:r w:rsidRPr="00FB0C48" w:rsidR="00707C99">
        <w:rPr>
          <w:rFonts w:ascii="Times New Roman" w:hAnsi="Times New Roman" w:eastAsia="Times New Roman" w:cs="Times New Roman"/>
          <w:sz w:val="24"/>
          <w:szCs w:val="24"/>
          <w:lang w:val="es-PE" w:eastAsia="ar-SA"/>
        </w:rPr>
        <w:t xml:space="preserve"> </w:t>
      </w:r>
    </w:p>
    <w:p w:rsidRPr="00FB0C48" w:rsidR="00231C58" w:rsidP="004A374A" w:rsidRDefault="00231C58" w14:paraId="2B9BAAC8" w14:textId="77777777">
      <w:pPr>
        <w:suppressAutoHyphens/>
        <w:spacing w:after="0" w:line="240" w:lineRule="auto"/>
        <w:outlineLvl w:val="0"/>
        <w:rPr>
          <w:rFonts w:ascii="Times New Roman" w:hAnsi="Times New Roman" w:eastAsia="Times New Roman" w:cs="Times New Roman"/>
          <w:sz w:val="24"/>
          <w:szCs w:val="24"/>
          <w:lang w:val="es-PE" w:eastAsia="ar-SA"/>
        </w:rPr>
      </w:pPr>
    </w:p>
    <w:p w:rsidRPr="00FB0C48" w:rsidR="00C671F5" w:rsidP="004A374A" w:rsidRDefault="00C671F5" w14:paraId="7BC448E0" w14:textId="77777777">
      <w:pPr>
        <w:spacing w:after="0" w:line="240" w:lineRule="auto"/>
        <w:jc w:val="both"/>
        <w:rPr>
          <w:rFonts w:ascii="Times New Roman" w:hAnsi="Times New Roman" w:cs="Times New Roman"/>
          <w:b/>
          <w:bCs/>
          <w:i/>
          <w:iCs/>
          <w:sz w:val="24"/>
          <w:szCs w:val="24"/>
          <w:lang w:val="es-PE"/>
        </w:rPr>
      </w:pPr>
      <w:r w:rsidRPr="00FB0C48">
        <w:rPr>
          <w:rFonts w:ascii="Times New Roman" w:hAnsi="Times New Roman" w:cs="Times New Roman"/>
          <w:b/>
          <w:bCs/>
          <w:i/>
          <w:iCs/>
          <w:sz w:val="24"/>
          <w:szCs w:val="24"/>
          <w:lang w:val="es-PE"/>
        </w:rPr>
        <w:t>La Secretaría Técnica certifica que la presente resolución cuenta con el voto de los vocales cuyos nombres figuran en el presente documento.</w:t>
      </w:r>
    </w:p>
    <w:p w:rsidRPr="00FB0C48" w:rsidR="00C671F5" w:rsidP="004A374A" w:rsidRDefault="00C671F5" w14:paraId="3408E6CE" w14:textId="34A8A6C1">
      <w:pPr>
        <w:spacing w:after="0" w:line="240" w:lineRule="auto"/>
        <w:jc w:val="both"/>
        <w:rPr>
          <w:rFonts w:ascii="Times New Roman" w:hAnsi="Times New Roman" w:cs="Times New Roman"/>
          <w:b/>
          <w:bCs/>
          <w:i/>
          <w:iCs/>
          <w:sz w:val="24"/>
          <w:szCs w:val="24"/>
          <w:lang w:val="es-PE"/>
        </w:rPr>
      </w:pPr>
    </w:p>
    <w:p w:rsidRPr="00FB0C48" w:rsidR="009F3DD4" w:rsidP="009F3DD4" w:rsidRDefault="009F3DD4" w14:paraId="451211B4" w14:textId="7C22B670">
      <w:pPr>
        <w:spacing w:after="0" w:line="360" w:lineRule="auto"/>
        <w:jc w:val="center"/>
        <w:rPr>
          <w:rFonts w:ascii="Times New Roman" w:hAnsi="Times New Roman" w:cs="Times New Roman"/>
          <w:b/>
          <w:bCs/>
          <w:sz w:val="24"/>
          <w:szCs w:val="24"/>
          <w:lang w:val="es-PE"/>
        </w:rPr>
      </w:pPr>
      <w:r w:rsidRPr="00FB0C48">
        <w:rPr>
          <w:rFonts w:ascii="Times New Roman" w:hAnsi="Times New Roman" w:cs="Times New Roman"/>
          <w:b/>
          <w:bCs/>
          <w:sz w:val="24"/>
          <w:szCs w:val="24"/>
          <w:lang w:val="es-PE"/>
        </w:rPr>
        <w:t xml:space="preserve">Rolando Eyzaguirre Maccan – </w:t>
      </w:r>
      <w:proofErr w:type="gramStart"/>
      <w:r w:rsidRPr="00FB0C48">
        <w:rPr>
          <w:rFonts w:ascii="Times New Roman" w:hAnsi="Times New Roman" w:cs="Times New Roman"/>
          <w:b/>
          <w:bCs/>
          <w:sz w:val="24"/>
          <w:szCs w:val="24"/>
          <w:lang w:val="es-PE"/>
        </w:rPr>
        <w:t>Presidente</w:t>
      </w:r>
      <w:proofErr w:type="gramEnd"/>
    </w:p>
    <w:p w:rsidRPr="00FB0C48" w:rsidR="0032345B" w:rsidP="004A374A" w:rsidRDefault="0032345B" w14:paraId="033E3E13" w14:textId="0AB92EBA">
      <w:pPr>
        <w:spacing w:after="0" w:line="360" w:lineRule="auto"/>
        <w:jc w:val="center"/>
        <w:rPr>
          <w:rFonts w:ascii="Times New Roman" w:hAnsi="Times New Roman" w:cs="Times New Roman"/>
          <w:b/>
          <w:bCs/>
          <w:sz w:val="24"/>
          <w:szCs w:val="24"/>
          <w:lang w:val="es-PE"/>
        </w:rPr>
      </w:pPr>
      <w:r w:rsidRPr="00FB0C48">
        <w:rPr>
          <w:rFonts w:ascii="Times New Roman" w:hAnsi="Times New Roman" w:cs="Times New Roman"/>
          <w:b/>
          <w:bCs/>
          <w:sz w:val="24"/>
          <w:szCs w:val="24"/>
          <w:lang w:val="es-PE"/>
        </w:rPr>
        <w:t>María Eugenia Valdez Fernández Baca– Vocal</w:t>
      </w:r>
    </w:p>
    <w:p w:rsidRPr="00FB0C48" w:rsidR="009F3DD4" w:rsidP="009F3DD4" w:rsidRDefault="009F3DD4" w14:paraId="7D425A6D" w14:textId="6D9D2A80">
      <w:pPr>
        <w:spacing w:after="0" w:line="360" w:lineRule="auto"/>
        <w:jc w:val="center"/>
        <w:rPr>
          <w:rFonts w:ascii="Times New Roman" w:hAnsi="Times New Roman" w:cs="Times New Roman"/>
          <w:sz w:val="24"/>
          <w:szCs w:val="24"/>
          <w:lang w:val="es-PE"/>
        </w:rPr>
      </w:pPr>
      <w:r w:rsidRPr="00FB0C48">
        <w:rPr>
          <w:rFonts w:ascii="Times New Roman" w:hAnsi="Times New Roman" w:cs="Times New Roman"/>
          <w:b/>
          <w:bCs/>
          <w:sz w:val="24"/>
          <w:szCs w:val="24"/>
          <w:lang w:val="es-PE"/>
        </w:rPr>
        <w:lastRenderedPageBreak/>
        <w:t>Marco Antonio Ortega Piana – Vocal</w:t>
      </w:r>
    </w:p>
    <w:p w:rsidRPr="00FB0C48" w:rsidR="00C671F5" w:rsidP="004A374A" w:rsidRDefault="00C671F5" w14:paraId="3A9CFE9F" w14:textId="4DFF4426">
      <w:pPr>
        <w:spacing w:after="0" w:line="360" w:lineRule="auto"/>
        <w:jc w:val="center"/>
        <w:rPr>
          <w:rFonts w:ascii="Times New Roman" w:hAnsi="Times New Roman" w:cs="Times New Roman"/>
          <w:sz w:val="24"/>
          <w:szCs w:val="24"/>
          <w:lang w:val="es-PE"/>
        </w:rPr>
      </w:pPr>
      <w:r w:rsidRPr="00FB0C48">
        <w:rPr>
          <w:rFonts w:ascii="Times New Roman" w:hAnsi="Times New Roman" w:cs="Times New Roman"/>
          <w:b/>
          <w:bCs/>
          <w:sz w:val="24"/>
          <w:szCs w:val="24"/>
          <w:lang w:val="es-PE"/>
        </w:rPr>
        <w:t xml:space="preserve">Gonzalo Abad del Busto </w:t>
      </w:r>
      <w:r w:rsidRPr="00FB0C48" w:rsidR="00231C58">
        <w:rPr>
          <w:rFonts w:ascii="Times New Roman" w:hAnsi="Times New Roman" w:cs="Times New Roman"/>
          <w:b/>
          <w:bCs/>
          <w:sz w:val="24"/>
          <w:szCs w:val="24"/>
          <w:lang w:val="es-PE"/>
        </w:rPr>
        <w:t xml:space="preserve">– </w:t>
      </w:r>
      <w:r w:rsidRPr="00FB0C48">
        <w:rPr>
          <w:rFonts w:ascii="Times New Roman" w:hAnsi="Times New Roman" w:cs="Times New Roman"/>
          <w:b/>
          <w:bCs/>
          <w:sz w:val="24"/>
          <w:szCs w:val="24"/>
          <w:lang w:val="es-PE"/>
        </w:rPr>
        <w:t>Vocal</w:t>
      </w:r>
    </w:p>
    <w:p w:rsidRPr="00ED2911" w:rsidR="00C671F5" w:rsidP="004A374A" w:rsidRDefault="00C671F5" w14:paraId="33E0FAB8" w14:textId="77777777">
      <w:pPr>
        <w:suppressAutoHyphens/>
        <w:spacing w:after="0" w:line="240" w:lineRule="auto"/>
        <w:outlineLvl w:val="0"/>
        <w:rPr>
          <w:rFonts w:ascii="Times New Roman" w:hAnsi="Times New Roman" w:eastAsia="Arial Unicode MS" w:cs="Times New Roman"/>
          <w:lang w:val="es-PE" w:eastAsia="ar-SA"/>
        </w:rPr>
      </w:pPr>
    </w:p>
    <w:p w:rsidRPr="000345DA" w:rsidR="00C671F5" w:rsidP="004A374A" w:rsidRDefault="00C671F5" w14:paraId="2C3A0205" w14:textId="77777777">
      <w:pPr>
        <w:spacing w:line="240" w:lineRule="auto"/>
        <w:rPr>
          <w:rFonts w:ascii="Times New Roman" w:hAnsi="Times New Roman" w:eastAsia="Arial Unicode MS" w:cs="Times New Roman"/>
          <w:sz w:val="24"/>
          <w:szCs w:val="24"/>
          <w:lang w:val="es-PE" w:eastAsia="ar-SA"/>
        </w:rPr>
      </w:pPr>
    </w:p>
    <w:sectPr w:rsidRPr="000345DA" w:rsidR="00C671F5" w:rsidSect="00077B6F">
      <w:headerReference w:type="default" r:id="rId9"/>
      <w:footerReference w:type="default" r:id="rId10"/>
      <w:pgSz w:w="11906" w:h="16838" w:orient="portrait"/>
      <w:pgMar w:top="1700" w:right="1420" w:bottom="1400" w:left="14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A038CF" w:rsidP="00784355" w:rsidRDefault="00A038CF" w14:paraId="14D21A9E" w14:textId="77777777">
      <w:pPr>
        <w:spacing w:after="0" w:line="240" w:lineRule="auto"/>
      </w:pPr>
      <w:r>
        <w:separator/>
      </w:r>
    </w:p>
  </w:endnote>
  <w:endnote w:type="continuationSeparator" w:id="0">
    <w:p w:rsidR="00A038CF" w:rsidP="00784355" w:rsidRDefault="00A038CF" w14:paraId="39AE0E78"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52618902"/>
      <w:docPartObj>
        <w:docPartGallery w:val="Page Numbers (Bottom of Page)"/>
        <w:docPartUnique/>
      </w:docPartObj>
    </w:sdtPr>
    <w:sdtEndPr/>
    <w:sdtContent>
      <w:sdt>
        <w:sdtPr>
          <w:id w:val="-1769616900"/>
          <w:docPartObj>
            <w:docPartGallery w:val="Page Numbers (Top of Page)"/>
            <w:docPartUnique/>
          </w:docPartObj>
        </w:sdtPr>
        <w:sdtEndPr/>
        <w:sdtContent>
          <w:p w:rsidR="00C671F5" w:rsidRDefault="00C671F5" w14:paraId="1A7D4DE2" w14:textId="27FEA839">
            <w:pPr>
              <w:pStyle w:val="Piedepgina"/>
              <w:jc w:val="right"/>
            </w:pPr>
            <w:r w:rsidRPr="009C7C2B">
              <w:rPr>
                <w:rFonts w:ascii="Times New Roman" w:hAnsi="Times New Roman" w:cs="Times New Roman"/>
                <w:sz w:val="18"/>
                <w:szCs w:val="18"/>
                <w:lang w:val="es-ES"/>
              </w:rPr>
              <w:t xml:space="preserve">Página </w:t>
            </w:r>
            <w:r w:rsidRPr="009C7C2B">
              <w:rPr>
                <w:rFonts w:ascii="Times New Roman" w:hAnsi="Times New Roman" w:cs="Times New Roman"/>
                <w:b/>
                <w:bCs/>
                <w:sz w:val="18"/>
                <w:szCs w:val="18"/>
              </w:rPr>
              <w:fldChar w:fldCharType="begin"/>
            </w:r>
            <w:r w:rsidRPr="009C7C2B">
              <w:rPr>
                <w:rFonts w:ascii="Times New Roman" w:hAnsi="Times New Roman" w:cs="Times New Roman"/>
                <w:b/>
                <w:bCs/>
                <w:sz w:val="18"/>
                <w:szCs w:val="18"/>
              </w:rPr>
              <w:instrText>PAGE</w:instrText>
            </w:r>
            <w:r w:rsidRPr="009C7C2B">
              <w:rPr>
                <w:rFonts w:ascii="Times New Roman" w:hAnsi="Times New Roman" w:cs="Times New Roman"/>
                <w:b/>
                <w:bCs/>
                <w:sz w:val="18"/>
                <w:szCs w:val="18"/>
              </w:rPr>
              <w:fldChar w:fldCharType="separate"/>
            </w:r>
            <w:r w:rsidRPr="009C7C2B">
              <w:rPr>
                <w:rFonts w:ascii="Times New Roman" w:hAnsi="Times New Roman" w:cs="Times New Roman"/>
                <w:b/>
                <w:bCs/>
                <w:sz w:val="18"/>
                <w:szCs w:val="18"/>
                <w:lang w:val="es-ES"/>
              </w:rPr>
              <w:t>2</w:t>
            </w:r>
            <w:r w:rsidRPr="009C7C2B">
              <w:rPr>
                <w:rFonts w:ascii="Times New Roman" w:hAnsi="Times New Roman" w:cs="Times New Roman"/>
                <w:b/>
                <w:bCs/>
                <w:sz w:val="18"/>
                <w:szCs w:val="18"/>
              </w:rPr>
              <w:fldChar w:fldCharType="end"/>
            </w:r>
            <w:r w:rsidRPr="009C7C2B">
              <w:rPr>
                <w:rFonts w:ascii="Times New Roman" w:hAnsi="Times New Roman" w:cs="Times New Roman"/>
                <w:sz w:val="18"/>
                <w:szCs w:val="18"/>
                <w:lang w:val="es-ES"/>
              </w:rPr>
              <w:t xml:space="preserve"> de </w:t>
            </w:r>
            <w:r w:rsidRPr="009C7C2B">
              <w:rPr>
                <w:rFonts w:ascii="Times New Roman" w:hAnsi="Times New Roman" w:cs="Times New Roman"/>
                <w:b/>
                <w:bCs/>
                <w:sz w:val="18"/>
                <w:szCs w:val="18"/>
              </w:rPr>
              <w:fldChar w:fldCharType="begin"/>
            </w:r>
            <w:r w:rsidRPr="009C7C2B">
              <w:rPr>
                <w:rFonts w:ascii="Times New Roman" w:hAnsi="Times New Roman" w:cs="Times New Roman"/>
                <w:b/>
                <w:bCs/>
                <w:sz w:val="18"/>
                <w:szCs w:val="18"/>
              </w:rPr>
              <w:instrText>NUMPAGES</w:instrText>
            </w:r>
            <w:r w:rsidRPr="009C7C2B">
              <w:rPr>
                <w:rFonts w:ascii="Times New Roman" w:hAnsi="Times New Roman" w:cs="Times New Roman"/>
                <w:b/>
                <w:bCs/>
                <w:sz w:val="18"/>
                <w:szCs w:val="18"/>
              </w:rPr>
              <w:fldChar w:fldCharType="separate"/>
            </w:r>
            <w:r w:rsidRPr="009C7C2B">
              <w:rPr>
                <w:rFonts w:ascii="Times New Roman" w:hAnsi="Times New Roman" w:cs="Times New Roman"/>
                <w:b/>
                <w:bCs/>
                <w:sz w:val="18"/>
                <w:szCs w:val="18"/>
                <w:lang w:val="es-ES"/>
              </w:rPr>
              <w:t>2</w:t>
            </w:r>
            <w:r w:rsidRPr="009C7C2B">
              <w:rPr>
                <w:rFonts w:ascii="Times New Roman" w:hAnsi="Times New Roman" w:cs="Times New Roman"/>
                <w:b/>
                <w:bCs/>
                <w:sz w:val="18"/>
                <w:szCs w:val="18"/>
              </w:rPr>
              <w:fldChar w:fldCharType="end"/>
            </w:r>
          </w:p>
        </w:sdtContent>
      </w:sdt>
    </w:sdtContent>
  </w:sdt>
  <w:p w:rsidR="00784355" w:rsidRDefault="00784355" w14:paraId="3BA05C52"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A038CF" w:rsidP="00784355" w:rsidRDefault="00A038CF" w14:paraId="26AF3262" w14:textId="77777777">
      <w:pPr>
        <w:spacing w:after="0" w:line="240" w:lineRule="auto"/>
      </w:pPr>
      <w:r>
        <w:separator/>
      </w:r>
    </w:p>
  </w:footnote>
  <w:footnote w:type="continuationSeparator" w:id="0">
    <w:p w:rsidR="00A038CF" w:rsidP="00784355" w:rsidRDefault="00A038CF" w14:paraId="0CB3CCD8"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C671F5" w:rsidRDefault="00C671F5" w14:paraId="0810BC29" w14:textId="579E5393">
    <w:pPr>
      <w:pStyle w:val="Encabezado"/>
    </w:pPr>
    <w:r>
      <w:rPr>
        <w:noProof/>
      </w:rPr>
      <w:drawing>
        <wp:inline distT="0" distB="0" distL="0" distR="0" wp14:anchorId="50540C2C" wp14:editId="4363C38F">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C671F5" w:rsidRDefault="00C671F5" w14:paraId="52A8D4E0"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F2B65D9"/>
    <w:multiLevelType w:val="hybridMultilevel"/>
    <w:tmpl w:val="537460CC"/>
    <w:lvl w:ilvl="0" w:tplc="FFFFFFFF">
      <w:start w:val="1"/>
      <w:numFmt w:val="lowerLetter"/>
      <w:lvlText w:val=""/>
      <w:lvlJc w:val="left"/>
      <w:pPr>
        <w:ind w:left="0" w:firstLine="0"/>
      </w:pPr>
    </w:lvl>
    <w:lvl w:ilvl="1" w:tplc="FFFFFFFF">
      <w:numFmt w:val="decimal"/>
      <w:lvlText w:val=""/>
      <w:lvlJc w:val="left"/>
      <w:pPr>
        <w:ind w:left="0" w:firstLine="0"/>
      </w:pPr>
    </w:lvl>
    <w:lvl w:ilvl="2" w:tplc="FFFFFFFF">
      <w:numFmt w:val="decimal"/>
      <w:lvlText w:val=""/>
      <w:lvlJc w:val="left"/>
      <w:pPr>
        <w:ind w:left="0" w:firstLine="0"/>
      </w:pPr>
    </w:lvl>
    <w:lvl w:ilvl="3" w:tplc="FFFFFFFF">
      <w:numFmt w:val="decimal"/>
      <w:lvlText w:val=""/>
      <w:lvlJc w:val="left"/>
      <w:pPr>
        <w:ind w:left="0" w:firstLine="0"/>
      </w:pPr>
    </w:lvl>
    <w:lvl w:ilvl="4" w:tplc="FFFFFFFF">
      <w:numFmt w:val="decimal"/>
      <w:lvlText w:val=""/>
      <w:lvlJc w:val="left"/>
      <w:pPr>
        <w:ind w:left="0" w:firstLine="0"/>
      </w:pPr>
    </w:lvl>
    <w:lvl w:ilvl="5" w:tplc="FFFFFFFF">
      <w:numFmt w:val="decimal"/>
      <w:lvlText w:val=""/>
      <w:lvlJc w:val="left"/>
      <w:pPr>
        <w:ind w:left="0" w:firstLine="0"/>
      </w:pPr>
    </w:lvl>
    <w:lvl w:ilvl="6" w:tplc="FFFFFFFF">
      <w:numFmt w:val="decimal"/>
      <w:lvlText w:val=""/>
      <w:lvlJc w:val="left"/>
      <w:pPr>
        <w:ind w:left="0" w:firstLine="0"/>
      </w:pPr>
    </w:lvl>
    <w:lvl w:ilvl="7" w:tplc="FFFFFFFF">
      <w:numFmt w:val="decimal"/>
      <w:lvlText w:val=""/>
      <w:lvlJc w:val="left"/>
      <w:pPr>
        <w:ind w:left="0" w:firstLine="0"/>
      </w:pPr>
    </w:lvl>
    <w:lvl w:ilvl="8" w:tplc="FFFFFFFF">
      <w:numFmt w:val="decimal"/>
      <w:lvlText w:val=""/>
      <w:lvlJc w:val="left"/>
      <w:pPr>
        <w:ind w:left="0" w:firstLine="0"/>
      </w:pPr>
    </w:lvl>
  </w:abstractNum>
  <w:abstractNum w:abstractNumId="1" w15:restartNumberingAfterBreak="0">
    <w:nsid w:val="07EE5EF4"/>
    <w:multiLevelType w:val="multilevel"/>
    <w:tmpl w:val="EC0C25EA"/>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D4F42E5"/>
    <w:multiLevelType w:val="hybridMultilevel"/>
    <w:tmpl w:val="4E324998"/>
    <w:lvl w:ilvl="0" w:tplc="84FC2ADA">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 w15:restartNumberingAfterBreak="0">
    <w:nsid w:val="1EE5617D"/>
    <w:multiLevelType w:val="hybridMultilevel"/>
    <w:tmpl w:val="B164D5D6"/>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 w15:restartNumberingAfterBreak="0">
    <w:nsid w:val="433E757B"/>
    <w:multiLevelType w:val="hybridMultilevel"/>
    <w:tmpl w:val="FCAAC25E"/>
    <w:lvl w:ilvl="0" w:tplc="DA581794">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5" w15:restartNumberingAfterBreak="0">
    <w:nsid w:val="456C0ACA"/>
    <w:multiLevelType w:val="hybridMultilevel"/>
    <w:tmpl w:val="486244DC"/>
    <w:lvl w:ilvl="0" w:tplc="377608F0">
      <w:start w:val="1"/>
      <w:numFmt w:val="decimal"/>
      <w:lvlText w:val="%1."/>
      <w:lvlJc w:val="left"/>
      <w:pPr>
        <w:ind w:left="720" w:hanging="360"/>
      </w:pPr>
      <w:rPr>
        <w:rFonts w:hint="default" w:eastAsia="Arial Unicode MS"/>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45E05C8C"/>
    <w:multiLevelType w:val="hybridMultilevel"/>
    <w:tmpl w:val="91D4F5F6"/>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4E3B6F4F"/>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553520A4"/>
    <w:multiLevelType w:val="hybridMultilevel"/>
    <w:tmpl w:val="D6DC67FE"/>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58DE0505"/>
    <w:multiLevelType w:val="hybridMultilevel"/>
    <w:tmpl w:val="3A8C86B4"/>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0" w15:restartNumberingAfterBreak="0">
    <w:nsid w:val="5A7F0944"/>
    <w:multiLevelType w:val="hybridMultilevel"/>
    <w:tmpl w:val="27985540"/>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num w:numId="1">
    <w:abstractNumId w:val="1"/>
  </w:num>
  <w:num w:numId="2">
    <w:abstractNumId w:val="8"/>
  </w:num>
  <w:num w:numId="3">
    <w:abstractNumId w:val="6"/>
  </w:num>
  <w:num w:numId="4">
    <w:abstractNumId w:val="5"/>
  </w:num>
  <w:num w:numId="5">
    <w:abstractNumId w:val="7"/>
  </w:num>
  <w:num w:numId="6">
    <w:abstractNumId w:val="0"/>
    <w:lvlOverride w:ilvl="0">
      <w:startOverride w:val="1"/>
    </w:lvlOverride>
    <w:lvlOverride w:ilvl="1"/>
    <w:lvlOverride w:ilvl="2"/>
    <w:lvlOverride w:ilvl="3"/>
    <w:lvlOverride w:ilvl="4"/>
    <w:lvlOverride w:ilvl="5"/>
    <w:lvlOverride w:ilvl="6"/>
    <w:lvlOverride w:ilvl="7"/>
    <w:lvlOverride w:ilvl="8"/>
  </w:num>
  <w:num w:numId="7">
    <w:abstractNumId w:val="3"/>
  </w:num>
  <w:num w:numId="8">
    <w:abstractNumId w:val="4"/>
  </w:num>
  <w:num w:numId="9">
    <w:abstractNumId w:val="10"/>
  </w:num>
  <w:num w:numId="10">
    <w:abstractNumId w:val="9"/>
  </w:num>
  <w:num w:numId="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7C99"/>
    <w:rsid w:val="000010A4"/>
    <w:rsid w:val="0000190A"/>
    <w:rsid w:val="0000279F"/>
    <w:rsid w:val="00002C5E"/>
    <w:rsid w:val="00005B96"/>
    <w:rsid w:val="00010987"/>
    <w:rsid w:val="00013057"/>
    <w:rsid w:val="000159CC"/>
    <w:rsid w:val="00015C22"/>
    <w:rsid w:val="000167E0"/>
    <w:rsid w:val="000235E9"/>
    <w:rsid w:val="0002637D"/>
    <w:rsid w:val="0002733C"/>
    <w:rsid w:val="00027978"/>
    <w:rsid w:val="000345DA"/>
    <w:rsid w:val="00037922"/>
    <w:rsid w:val="0004480C"/>
    <w:rsid w:val="0004492D"/>
    <w:rsid w:val="00053D16"/>
    <w:rsid w:val="00056D9F"/>
    <w:rsid w:val="00062040"/>
    <w:rsid w:val="00063183"/>
    <w:rsid w:val="0006548C"/>
    <w:rsid w:val="00070DB6"/>
    <w:rsid w:val="00071A25"/>
    <w:rsid w:val="00072C60"/>
    <w:rsid w:val="000752E4"/>
    <w:rsid w:val="0007539A"/>
    <w:rsid w:val="00076E73"/>
    <w:rsid w:val="00077B6F"/>
    <w:rsid w:val="00080A9A"/>
    <w:rsid w:val="00080E45"/>
    <w:rsid w:val="000835CB"/>
    <w:rsid w:val="00083D69"/>
    <w:rsid w:val="00083F50"/>
    <w:rsid w:val="00084148"/>
    <w:rsid w:val="00092684"/>
    <w:rsid w:val="000A274F"/>
    <w:rsid w:val="000A5666"/>
    <w:rsid w:val="000A5CAA"/>
    <w:rsid w:val="000B19A0"/>
    <w:rsid w:val="000B58D8"/>
    <w:rsid w:val="000C0734"/>
    <w:rsid w:val="000D0DFE"/>
    <w:rsid w:val="000E1B0F"/>
    <w:rsid w:val="000E1E6F"/>
    <w:rsid w:val="000F6340"/>
    <w:rsid w:val="00101978"/>
    <w:rsid w:val="0011308C"/>
    <w:rsid w:val="00125B9B"/>
    <w:rsid w:val="001320DF"/>
    <w:rsid w:val="00136E12"/>
    <w:rsid w:val="001373AF"/>
    <w:rsid w:val="001377EF"/>
    <w:rsid w:val="00150874"/>
    <w:rsid w:val="001508BC"/>
    <w:rsid w:val="001529FE"/>
    <w:rsid w:val="00161642"/>
    <w:rsid w:val="001703D8"/>
    <w:rsid w:val="00170E39"/>
    <w:rsid w:val="00174918"/>
    <w:rsid w:val="00174DA5"/>
    <w:rsid w:val="00176D59"/>
    <w:rsid w:val="00180AB4"/>
    <w:rsid w:val="00181908"/>
    <w:rsid w:val="00181DCE"/>
    <w:rsid w:val="00187BFD"/>
    <w:rsid w:val="001A008A"/>
    <w:rsid w:val="001A3395"/>
    <w:rsid w:val="001A44E1"/>
    <w:rsid w:val="001B1E59"/>
    <w:rsid w:val="001B58A3"/>
    <w:rsid w:val="001D0EED"/>
    <w:rsid w:val="001D59D9"/>
    <w:rsid w:val="001D6136"/>
    <w:rsid w:val="001E119C"/>
    <w:rsid w:val="00201C0D"/>
    <w:rsid w:val="00203EF7"/>
    <w:rsid w:val="00204407"/>
    <w:rsid w:val="0020749F"/>
    <w:rsid w:val="002108AD"/>
    <w:rsid w:val="00211977"/>
    <w:rsid w:val="002130B0"/>
    <w:rsid w:val="0021627D"/>
    <w:rsid w:val="00217715"/>
    <w:rsid w:val="00224CEE"/>
    <w:rsid w:val="00225288"/>
    <w:rsid w:val="00227D02"/>
    <w:rsid w:val="00231C58"/>
    <w:rsid w:val="002331C3"/>
    <w:rsid w:val="0023526C"/>
    <w:rsid w:val="00241719"/>
    <w:rsid w:val="00243F6B"/>
    <w:rsid w:val="00256592"/>
    <w:rsid w:val="0027261F"/>
    <w:rsid w:val="00272F4F"/>
    <w:rsid w:val="0027301E"/>
    <w:rsid w:val="00274985"/>
    <w:rsid w:val="002768C6"/>
    <w:rsid w:val="00276A92"/>
    <w:rsid w:val="00277667"/>
    <w:rsid w:val="00290AC5"/>
    <w:rsid w:val="00290CA4"/>
    <w:rsid w:val="00292018"/>
    <w:rsid w:val="0029331C"/>
    <w:rsid w:val="002A31D3"/>
    <w:rsid w:val="002A3E88"/>
    <w:rsid w:val="002A7E2E"/>
    <w:rsid w:val="002B726E"/>
    <w:rsid w:val="002C2A0F"/>
    <w:rsid w:val="002C3466"/>
    <w:rsid w:val="002D0DB0"/>
    <w:rsid w:val="002D3B01"/>
    <w:rsid w:val="002E1221"/>
    <w:rsid w:val="002E17F9"/>
    <w:rsid w:val="002F09CA"/>
    <w:rsid w:val="002F15FE"/>
    <w:rsid w:val="002F35F0"/>
    <w:rsid w:val="002F3B75"/>
    <w:rsid w:val="003045E3"/>
    <w:rsid w:val="00310DD6"/>
    <w:rsid w:val="00313D12"/>
    <w:rsid w:val="0032132E"/>
    <w:rsid w:val="0032345B"/>
    <w:rsid w:val="00326A2F"/>
    <w:rsid w:val="0033211B"/>
    <w:rsid w:val="00340E4B"/>
    <w:rsid w:val="00345DF0"/>
    <w:rsid w:val="00345F7F"/>
    <w:rsid w:val="00347D7E"/>
    <w:rsid w:val="00353092"/>
    <w:rsid w:val="003544B1"/>
    <w:rsid w:val="003557A0"/>
    <w:rsid w:val="00357D70"/>
    <w:rsid w:val="00362449"/>
    <w:rsid w:val="00364E0F"/>
    <w:rsid w:val="003657C9"/>
    <w:rsid w:val="00366842"/>
    <w:rsid w:val="00367746"/>
    <w:rsid w:val="00374B0E"/>
    <w:rsid w:val="00377D5A"/>
    <w:rsid w:val="0038167C"/>
    <w:rsid w:val="0038290F"/>
    <w:rsid w:val="00385B6E"/>
    <w:rsid w:val="00387D06"/>
    <w:rsid w:val="00391F72"/>
    <w:rsid w:val="00392259"/>
    <w:rsid w:val="003A3F8C"/>
    <w:rsid w:val="003B348C"/>
    <w:rsid w:val="003B3A93"/>
    <w:rsid w:val="003B41F7"/>
    <w:rsid w:val="003B798E"/>
    <w:rsid w:val="003D09A9"/>
    <w:rsid w:val="003D4684"/>
    <w:rsid w:val="003D4687"/>
    <w:rsid w:val="003E0CC2"/>
    <w:rsid w:val="003E450C"/>
    <w:rsid w:val="003F0C97"/>
    <w:rsid w:val="003F1149"/>
    <w:rsid w:val="003F1B5F"/>
    <w:rsid w:val="003F651C"/>
    <w:rsid w:val="00402772"/>
    <w:rsid w:val="00403814"/>
    <w:rsid w:val="004049B9"/>
    <w:rsid w:val="004060E9"/>
    <w:rsid w:val="00414F05"/>
    <w:rsid w:val="0041626C"/>
    <w:rsid w:val="00417E23"/>
    <w:rsid w:val="004210F7"/>
    <w:rsid w:val="00425F75"/>
    <w:rsid w:val="00431D81"/>
    <w:rsid w:val="00440BC2"/>
    <w:rsid w:val="00444232"/>
    <w:rsid w:val="00460C30"/>
    <w:rsid w:val="00465FB9"/>
    <w:rsid w:val="00466302"/>
    <w:rsid w:val="0047370C"/>
    <w:rsid w:val="0047522D"/>
    <w:rsid w:val="00476BA1"/>
    <w:rsid w:val="00482259"/>
    <w:rsid w:val="00496A1A"/>
    <w:rsid w:val="004A374A"/>
    <w:rsid w:val="004A3E25"/>
    <w:rsid w:val="004A690A"/>
    <w:rsid w:val="004B51ED"/>
    <w:rsid w:val="004C51EC"/>
    <w:rsid w:val="004C6983"/>
    <w:rsid w:val="004D6978"/>
    <w:rsid w:val="004E65DD"/>
    <w:rsid w:val="004F549E"/>
    <w:rsid w:val="00504C79"/>
    <w:rsid w:val="00517CFF"/>
    <w:rsid w:val="005201E9"/>
    <w:rsid w:val="00521B4C"/>
    <w:rsid w:val="00522E2A"/>
    <w:rsid w:val="005259E7"/>
    <w:rsid w:val="005265A5"/>
    <w:rsid w:val="00527B27"/>
    <w:rsid w:val="00530698"/>
    <w:rsid w:val="005316B2"/>
    <w:rsid w:val="00531BEE"/>
    <w:rsid w:val="005323A2"/>
    <w:rsid w:val="005335EE"/>
    <w:rsid w:val="0053470F"/>
    <w:rsid w:val="00535473"/>
    <w:rsid w:val="00537DBF"/>
    <w:rsid w:val="00540F01"/>
    <w:rsid w:val="00544BFC"/>
    <w:rsid w:val="00545F19"/>
    <w:rsid w:val="00547EE5"/>
    <w:rsid w:val="00567DEC"/>
    <w:rsid w:val="0057035B"/>
    <w:rsid w:val="005818E3"/>
    <w:rsid w:val="005819C6"/>
    <w:rsid w:val="00582D26"/>
    <w:rsid w:val="0058358B"/>
    <w:rsid w:val="00583A87"/>
    <w:rsid w:val="00585D65"/>
    <w:rsid w:val="005904C2"/>
    <w:rsid w:val="00592259"/>
    <w:rsid w:val="005948EF"/>
    <w:rsid w:val="00597430"/>
    <w:rsid w:val="005A0B70"/>
    <w:rsid w:val="005A4C4E"/>
    <w:rsid w:val="005A782D"/>
    <w:rsid w:val="005B1AC5"/>
    <w:rsid w:val="005B2924"/>
    <w:rsid w:val="005C524E"/>
    <w:rsid w:val="005C5AB9"/>
    <w:rsid w:val="005D3E68"/>
    <w:rsid w:val="005E00D1"/>
    <w:rsid w:val="005E0EC2"/>
    <w:rsid w:val="005E2CBE"/>
    <w:rsid w:val="005E398E"/>
    <w:rsid w:val="005E4870"/>
    <w:rsid w:val="005F4C97"/>
    <w:rsid w:val="005F7D93"/>
    <w:rsid w:val="00605902"/>
    <w:rsid w:val="00606105"/>
    <w:rsid w:val="0061360C"/>
    <w:rsid w:val="00613A39"/>
    <w:rsid w:val="00622ABC"/>
    <w:rsid w:val="00623204"/>
    <w:rsid w:val="00624034"/>
    <w:rsid w:val="00632285"/>
    <w:rsid w:val="006442E0"/>
    <w:rsid w:val="0064607A"/>
    <w:rsid w:val="00652672"/>
    <w:rsid w:val="006543D4"/>
    <w:rsid w:val="0065542B"/>
    <w:rsid w:val="0065594D"/>
    <w:rsid w:val="00655A90"/>
    <w:rsid w:val="00655BA3"/>
    <w:rsid w:val="00657AD2"/>
    <w:rsid w:val="006672C4"/>
    <w:rsid w:val="00671DB5"/>
    <w:rsid w:val="00680C36"/>
    <w:rsid w:val="00680D8A"/>
    <w:rsid w:val="00686BB2"/>
    <w:rsid w:val="006878E1"/>
    <w:rsid w:val="0069304A"/>
    <w:rsid w:val="00697D6C"/>
    <w:rsid w:val="006A0499"/>
    <w:rsid w:val="006B5CAE"/>
    <w:rsid w:val="006C1A65"/>
    <w:rsid w:val="006C29A7"/>
    <w:rsid w:val="006C4C21"/>
    <w:rsid w:val="006C6261"/>
    <w:rsid w:val="006D2BA9"/>
    <w:rsid w:val="006D3600"/>
    <w:rsid w:val="006D397E"/>
    <w:rsid w:val="006E2366"/>
    <w:rsid w:val="006E4547"/>
    <w:rsid w:val="006F2F97"/>
    <w:rsid w:val="006F36EF"/>
    <w:rsid w:val="006F47A8"/>
    <w:rsid w:val="006F4986"/>
    <w:rsid w:val="0070030F"/>
    <w:rsid w:val="00701598"/>
    <w:rsid w:val="00701893"/>
    <w:rsid w:val="00703430"/>
    <w:rsid w:val="00703E14"/>
    <w:rsid w:val="00704A95"/>
    <w:rsid w:val="00706392"/>
    <w:rsid w:val="00706EB2"/>
    <w:rsid w:val="00707038"/>
    <w:rsid w:val="00707C99"/>
    <w:rsid w:val="0072050F"/>
    <w:rsid w:val="00720DBC"/>
    <w:rsid w:val="0072240A"/>
    <w:rsid w:val="007261FD"/>
    <w:rsid w:val="007300C4"/>
    <w:rsid w:val="00744447"/>
    <w:rsid w:val="00760034"/>
    <w:rsid w:val="007703E9"/>
    <w:rsid w:val="007708AB"/>
    <w:rsid w:val="00771625"/>
    <w:rsid w:val="00781235"/>
    <w:rsid w:val="00782FF5"/>
    <w:rsid w:val="00784355"/>
    <w:rsid w:val="007906AF"/>
    <w:rsid w:val="00794424"/>
    <w:rsid w:val="007950DD"/>
    <w:rsid w:val="007965C0"/>
    <w:rsid w:val="007A09BB"/>
    <w:rsid w:val="007A4108"/>
    <w:rsid w:val="007A4EA9"/>
    <w:rsid w:val="007A7F95"/>
    <w:rsid w:val="007B1018"/>
    <w:rsid w:val="007C14D0"/>
    <w:rsid w:val="007C213D"/>
    <w:rsid w:val="007C69FE"/>
    <w:rsid w:val="007D13E3"/>
    <w:rsid w:val="007D13F3"/>
    <w:rsid w:val="007D39D3"/>
    <w:rsid w:val="007D5BB1"/>
    <w:rsid w:val="007D7213"/>
    <w:rsid w:val="007E5917"/>
    <w:rsid w:val="007F74F1"/>
    <w:rsid w:val="008010D0"/>
    <w:rsid w:val="008020A1"/>
    <w:rsid w:val="00816B3F"/>
    <w:rsid w:val="0081754D"/>
    <w:rsid w:val="008177B9"/>
    <w:rsid w:val="00821801"/>
    <w:rsid w:val="0083290A"/>
    <w:rsid w:val="00836831"/>
    <w:rsid w:val="00837DDE"/>
    <w:rsid w:val="0084334E"/>
    <w:rsid w:val="008523F5"/>
    <w:rsid w:val="008548F9"/>
    <w:rsid w:val="008552E9"/>
    <w:rsid w:val="0085575C"/>
    <w:rsid w:val="0085791F"/>
    <w:rsid w:val="00857988"/>
    <w:rsid w:val="0086244F"/>
    <w:rsid w:val="00864B0B"/>
    <w:rsid w:val="00871F40"/>
    <w:rsid w:val="00883121"/>
    <w:rsid w:val="0088392F"/>
    <w:rsid w:val="00884426"/>
    <w:rsid w:val="00886D60"/>
    <w:rsid w:val="00887814"/>
    <w:rsid w:val="008916FF"/>
    <w:rsid w:val="00891DB3"/>
    <w:rsid w:val="00895A85"/>
    <w:rsid w:val="008A1D12"/>
    <w:rsid w:val="008A3A47"/>
    <w:rsid w:val="008C6A59"/>
    <w:rsid w:val="008D55AF"/>
    <w:rsid w:val="008D6DDF"/>
    <w:rsid w:val="008F1161"/>
    <w:rsid w:val="008F1AB2"/>
    <w:rsid w:val="008F479E"/>
    <w:rsid w:val="009011F1"/>
    <w:rsid w:val="0090251A"/>
    <w:rsid w:val="009127A6"/>
    <w:rsid w:val="0091528B"/>
    <w:rsid w:val="009157B1"/>
    <w:rsid w:val="00917CAF"/>
    <w:rsid w:val="009272D7"/>
    <w:rsid w:val="00933532"/>
    <w:rsid w:val="00943343"/>
    <w:rsid w:val="00946694"/>
    <w:rsid w:val="00951B99"/>
    <w:rsid w:val="00955C03"/>
    <w:rsid w:val="00964237"/>
    <w:rsid w:val="00966813"/>
    <w:rsid w:val="00967B16"/>
    <w:rsid w:val="0097301B"/>
    <w:rsid w:val="00974D2D"/>
    <w:rsid w:val="009754DD"/>
    <w:rsid w:val="009765CD"/>
    <w:rsid w:val="00997863"/>
    <w:rsid w:val="009A1120"/>
    <w:rsid w:val="009A28B5"/>
    <w:rsid w:val="009A5B27"/>
    <w:rsid w:val="009A6404"/>
    <w:rsid w:val="009A701F"/>
    <w:rsid w:val="009A7E68"/>
    <w:rsid w:val="009B29C9"/>
    <w:rsid w:val="009B4291"/>
    <w:rsid w:val="009C1066"/>
    <w:rsid w:val="009C1372"/>
    <w:rsid w:val="009C5373"/>
    <w:rsid w:val="009C6404"/>
    <w:rsid w:val="009C7C2B"/>
    <w:rsid w:val="009D3B98"/>
    <w:rsid w:val="009D6055"/>
    <w:rsid w:val="009E5F11"/>
    <w:rsid w:val="009E7994"/>
    <w:rsid w:val="009E7FDD"/>
    <w:rsid w:val="009F143B"/>
    <w:rsid w:val="009F2EEB"/>
    <w:rsid w:val="009F3DD4"/>
    <w:rsid w:val="00A02104"/>
    <w:rsid w:val="00A02270"/>
    <w:rsid w:val="00A038CF"/>
    <w:rsid w:val="00A077D2"/>
    <w:rsid w:val="00A14F48"/>
    <w:rsid w:val="00A16942"/>
    <w:rsid w:val="00A17A72"/>
    <w:rsid w:val="00A23996"/>
    <w:rsid w:val="00A25F51"/>
    <w:rsid w:val="00A30393"/>
    <w:rsid w:val="00A32246"/>
    <w:rsid w:val="00A328C0"/>
    <w:rsid w:val="00A3714C"/>
    <w:rsid w:val="00A427D6"/>
    <w:rsid w:val="00A46E96"/>
    <w:rsid w:val="00A51F2A"/>
    <w:rsid w:val="00A62BEC"/>
    <w:rsid w:val="00A658C1"/>
    <w:rsid w:val="00A6710A"/>
    <w:rsid w:val="00A734AD"/>
    <w:rsid w:val="00A837A0"/>
    <w:rsid w:val="00A83AB0"/>
    <w:rsid w:val="00A83D6A"/>
    <w:rsid w:val="00A90926"/>
    <w:rsid w:val="00A97287"/>
    <w:rsid w:val="00AA2A1F"/>
    <w:rsid w:val="00AA2DED"/>
    <w:rsid w:val="00AB1C66"/>
    <w:rsid w:val="00AB69B3"/>
    <w:rsid w:val="00AC5A9E"/>
    <w:rsid w:val="00AD1FEC"/>
    <w:rsid w:val="00AD2DF1"/>
    <w:rsid w:val="00AE4125"/>
    <w:rsid w:val="00AF16B6"/>
    <w:rsid w:val="00AF5E87"/>
    <w:rsid w:val="00B00552"/>
    <w:rsid w:val="00B02BEE"/>
    <w:rsid w:val="00B115C4"/>
    <w:rsid w:val="00B11C1C"/>
    <w:rsid w:val="00B17BD8"/>
    <w:rsid w:val="00B30B53"/>
    <w:rsid w:val="00B313E9"/>
    <w:rsid w:val="00B32325"/>
    <w:rsid w:val="00B340A4"/>
    <w:rsid w:val="00B40968"/>
    <w:rsid w:val="00B45C2D"/>
    <w:rsid w:val="00B56649"/>
    <w:rsid w:val="00B625F2"/>
    <w:rsid w:val="00B663DC"/>
    <w:rsid w:val="00B710D8"/>
    <w:rsid w:val="00B73629"/>
    <w:rsid w:val="00B7466E"/>
    <w:rsid w:val="00B779BD"/>
    <w:rsid w:val="00B8021E"/>
    <w:rsid w:val="00B8028F"/>
    <w:rsid w:val="00B833BE"/>
    <w:rsid w:val="00B87B08"/>
    <w:rsid w:val="00B94FDB"/>
    <w:rsid w:val="00B956C4"/>
    <w:rsid w:val="00BB2152"/>
    <w:rsid w:val="00BB2BE0"/>
    <w:rsid w:val="00BB405B"/>
    <w:rsid w:val="00BC29D0"/>
    <w:rsid w:val="00BC3B86"/>
    <w:rsid w:val="00BD797F"/>
    <w:rsid w:val="00BE1470"/>
    <w:rsid w:val="00BE6FFA"/>
    <w:rsid w:val="00BE7C72"/>
    <w:rsid w:val="00BF1421"/>
    <w:rsid w:val="00BF414E"/>
    <w:rsid w:val="00BF5A34"/>
    <w:rsid w:val="00BF78BF"/>
    <w:rsid w:val="00C00BBF"/>
    <w:rsid w:val="00C04AA4"/>
    <w:rsid w:val="00C05445"/>
    <w:rsid w:val="00C12CBD"/>
    <w:rsid w:val="00C134DB"/>
    <w:rsid w:val="00C25B78"/>
    <w:rsid w:val="00C319ED"/>
    <w:rsid w:val="00C32068"/>
    <w:rsid w:val="00C33FEF"/>
    <w:rsid w:val="00C35DA4"/>
    <w:rsid w:val="00C361E6"/>
    <w:rsid w:val="00C4163B"/>
    <w:rsid w:val="00C41F24"/>
    <w:rsid w:val="00C45F20"/>
    <w:rsid w:val="00C47619"/>
    <w:rsid w:val="00C52848"/>
    <w:rsid w:val="00C61FF5"/>
    <w:rsid w:val="00C671F5"/>
    <w:rsid w:val="00C67E5D"/>
    <w:rsid w:val="00C70DB9"/>
    <w:rsid w:val="00C72528"/>
    <w:rsid w:val="00C748FF"/>
    <w:rsid w:val="00C74DA7"/>
    <w:rsid w:val="00C767DA"/>
    <w:rsid w:val="00C805FB"/>
    <w:rsid w:val="00C83750"/>
    <w:rsid w:val="00C8675B"/>
    <w:rsid w:val="00C86CD7"/>
    <w:rsid w:val="00C91C1D"/>
    <w:rsid w:val="00C9376B"/>
    <w:rsid w:val="00C9581A"/>
    <w:rsid w:val="00C960BE"/>
    <w:rsid w:val="00C9791B"/>
    <w:rsid w:val="00CA3682"/>
    <w:rsid w:val="00CB44BB"/>
    <w:rsid w:val="00CC4AEF"/>
    <w:rsid w:val="00CC6C0C"/>
    <w:rsid w:val="00CD4BE8"/>
    <w:rsid w:val="00CE4825"/>
    <w:rsid w:val="00CF178F"/>
    <w:rsid w:val="00CF55D6"/>
    <w:rsid w:val="00CF69DD"/>
    <w:rsid w:val="00CF78D3"/>
    <w:rsid w:val="00D01E70"/>
    <w:rsid w:val="00D10B27"/>
    <w:rsid w:val="00D12CFF"/>
    <w:rsid w:val="00D156AF"/>
    <w:rsid w:val="00D16367"/>
    <w:rsid w:val="00D2092C"/>
    <w:rsid w:val="00D22AA1"/>
    <w:rsid w:val="00D22DC3"/>
    <w:rsid w:val="00D25683"/>
    <w:rsid w:val="00D27042"/>
    <w:rsid w:val="00D3549D"/>
    <w:rsid w:val="00D35EC2"/>
    <w:rsid w:val="00D4253A"/>
    <w:rsid w:val="00D50B42"/>
    <w:rsid w:val="00D56F67"/>
    <w:rsid w:val="00D57228"/>
    <w:rsid w:val="00D61C6D"/>
    <w:rsid w:val="00D64034"/>
    <w:rsid w:val="00D67860"/>
    <w:rsid w:val="00D67F30"/>
    <w:rsid w:val="00D73109"/>
    <w:rsid w:val="00D76C43"/>
    <w:rsid w:val="00D810EC"/>
    <w:rsid w:val="00D835B6"/>
    <w:rsid w:val="00D84464"/>
    <w:rsid w:val="00DA0540"/>
    <w:rsid w:val="00DA2840"/>
    <w:rsid w:val="00DA4030"/>
    <w:rsid w:val="00DB15FD"/>
    <w:rsid w:val="00DB58EC"/>
    <w:rsid w:val="00DC399B"/>
    <w:rsid w:val="00DD21B2"/>
    <w:rsid w:val="00DD5E2B"/>
    <w:rsid w:val="00DF3781"/>
    <w:rsid w:val="00DF6E69"/>
    <w:rsid w:val="00E03DCE"/>
    <w:rsid w:val="00E107CA"/>
    <w:rsid w:val="00E1216B"/>
    <w:rsid w:val="00E1477F"/>
    <w:rsid w:val="00E16C63"/>
    <w:rsid w:val="00E25D54"/>
    <w:rsid w:val="00E30E76"/>
    <w:rsid w:val="00E33B24"/>
    <w:rsid w:val="00E341F5"/>
    <w:rsid w:val="00E43D94"/>
    <w:rsid w:val="00E531B9"/>
    <w:rsid w:val="00E53BC5"/>
    <w:rsid w:val="00E55106"/>
    <w:rsid w:val="00E57869"/>
    <w:rsid w:val="00E61DBC"/>
    <w:rsid w:val="00E63AD1"/>
    <w:rsid w:val="00E64057"/>
    <w:rsid w:val="00E6613C"/>
    <w:rsid w:val="00E66AFF"/>
    <w:rsid w:val="00E6771C"/>
    <w:rsid w:val="00E70381"/>
    <w:rsid w:val="00E70F8F"/>
    <w:rsid w:val="00E73015"/>
    <w:rsid w:val="00E73DEF"/>
    <w:rsid w:val="00E80D65"/>
    <w:rsid w:val="00E865E7"/>
    <w:rsid w:val="00EA4C4B"/>
    <w:rsid w:val="00EA77BE"/>
    <w:rsid w:val="00EC19C1"/>
    <w:rsid w:val="00EC7271"/>
    <w:rsid w:val="00ED2911"/>
    <w:rsid w:val="00ED38AF"/>
    <w:rsid w:val="00ED60A1"/>
    <w:rsid w:val="00ED6123"/>
    <w:rsid w:val="00EE1C4A"/>
    <w:rsid w:val="00EE6D21"/>
    <w:rsid w:val="00EF0B7F"/>
    <w:rsid w:val="00EF3171"/>
    <w:rsid w:val="00F01B55"/>
    <w:rsid w:val="00F0237B"/>
    <w:rsid w:val="00F06498"/>
    <w:rsid w:val="00F11E0A"/>
    <w:rsid w:val="00F13013"/>
    <w:rsid w:val="00F14F22"/>
    <w:rsid w:val="00F16CF9"/>
    <w:rsid w:val="00F20B09"/>
    <w:rsid w:val="00F3335E"/>
    <w:rsid w:val="00F349E0"/>
    <w:rsid w:val="00F439B5"/>
    <w:rsid w:val="00F52E75"/>
    <w:rsid w:val="00F54C75"/>
    <w:rsid w:val="00F57DED"/>
    <w:rsid w:val="00F626D4"/>
    <w:rsid w:val="00F63F49"/>
    <w:rsid w:val="00F65837"/>
    <w:rsid w:val="00F65B93"/>
    <w:rsid w:val="00F72D00"/>
    <w:rsid w:val="00F81150"/>
    <w:rsid w:val="00F833B7"/>
    <w:rsid w:val="00F83A22"/>
    <w:rsid w:val="00F84CF9"/>
    <w:rsid w:val="00F87C6C"/>
    <w:rsid w:val="00F87E38"/>
    <w:rsid w:val="00F94B58"/>
    <w:rsid w:val="00F97EA2"/>
    <w:rsid w:val="00FA155E"/>
    <w:rsid w:val="00FA2322"/>
    <w:rsid w:val="00FB0C48"/>
    <w:rsid w:val="00FB4B0C"/>
    <w:rsid w:val="00FC0D10"/>
    <w:rsid w:val="00FC1934"/>
    <w:rsid w:val="00FC382A"/>
    <w:rsid w:val="00FD35C4"/>
    <w:rsid w:val="00FE2121"/>
    <w:rsid w:val="00FE38F0"/>
    <w:rsid w:val="00FE43A9"/>
    <w:rsid w:val="00FF41F3"/>
    <w:rsid w:val="34AE8957"/>
    <w:rsid w:val="441767C8"/>
    <w:rsid w:val="484B1214"/>
    <w:rsid w:val="4BE42BED"/>
    <w:rsid w:val="55A700FA"/>
    <w:rsid w:val="5DE52E6F"/>
    <w:rsid w:val="772597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7FDCB09"/>
  <w15:docId w15:val="{2B3C2E73-2082-41D0-89C5-876A736899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Ttulo2">
    <w:name w:val="heading 2"/>
    <w:basedOn w:val="Normal"/>
    <w:next w:val="Normal"/>
    <w:link w:val="Ttulo2Car"/>
    <w:uiPriority w:val="9"/>
    <w:unhideWhenUsed/>
    <w:qFormat/>
    <w:rsid w:val="00F626D4"/>
    <w:pPr>
      <w:keepNext/>
      <w:keepLines/>
      <w:spacing w:before="40" w:after="0"/>
      <w:outlineLvl w:val="1"/>
    </w:pPr>
    <w:rPr>
      <w:rFonts w:asciiTheme="majorHAnsi" w:hAnsiTheme="majorHAnsi" w:eastAsiaTheme="majorEastAsia" w:cstheme="majorBidi"/>
      <w:color w:val="2E74B5" w:themeColor="accent1" w:themeShade="BF"/>
      <w:sz w:val="26"/>
      <w:szCs w:val="26"/>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Prrafodelista">
    <w:name w:val="List Paragraph"/>
    <w:basedOn w:val="Normal"/>
    <w:uiPriority w:val="34"/>
    <w:qFormat/>
    <w:rsid w:val="00A17A72"/>
    <w:pPr>
      <w:ind w:left="720"/>
      <w:contextualSpacing/>
    </w:pPr>
  </w:style>
  <w:style w:type="paragraph" w:styleId="Textoindependiente">
    <w:name w:val="Body Text"/>
    <w:basedOn w:val="Normal"/>
    <w:link w:val="TextoindependienteCar"/>
    <w:rsid w:val="00BD797F"/>
    <w:pPr>
      <w:suppressAutoHyphens/>
      <w:spacing w:after="0" w:line="240" w:lineRule="auto"/>
      <w:jc w:val="both"/>
    </w:pPr>
    <w:rPr>
      <w:rFonts w:ascii="Times New Roman" w:hAnsi="Times New Roman" w:eastAsia="Times New Roman" w:cs="Times New Roman"/>
      <w:bCs/>
      <w:sz w:val="24"/>
      <w:szCs w:val="24"/>
      <w:lang w:val="es-MX" w:eastAsia="ar-SA"/>
    </w:rPr>
  </w:style>
  <w:style w:type="character" w:styleId="TextoindependienteCar" w:customStyle="1">
    <w:name w:val="Texto independiente Car"/>
    <w:basedOn w:val="Fuentedeprrafopredeter"/>
    <w:link w:val="Textoindependiente"/>
    <w:rsid w:val="00BD797F"/>
    <w:rPr>
      <w:rFonts w:ascii="Times New Roman" w:hAnsi="Times New Roman" w:eastAsia="Times New Roman" w:cs="Times New Roman"/>
      <w:bCs/>
      <w:sz w:val="24"/>
      <w:szCs w:val="24"/>
      <w:lang w:val="es-MX" w:eastAsia="ar-SA"/>
    </w:rPr>
  </w:style>
  <w:style w:type="character" w:styleId="Hipervnculo">
    <w:name w:val="Hyperlink"/>
    <w:basedOn w:val="Fuentedeprrafopredeter"/>
    <w:uiPriority w:val="99"/>
    <w:unhideWhenUsed/>
    <w:rsid w:val="00201C0D"/>
    <w:rPr>
      <w:color w:val="0563C1" w:themeColor="hyperlink"/>
      <w:u w:val="single"/>
    </w:rPr>
  </w:style>
  <w:style w:type="character" w:styleId="Mencionar1" w:customStyle="1">
    <w:name w:val="Mencionar1"/>
    <w:basedOn w:val="Fuentedeprrafopredeter"/>
    <w:uiPriority w:val="99"/>
    <w:semiHidden/>
    <w:unhideWhenUsed/>
    <w:rsid w:val="00201C0D"/>
    <w:rPr>
      <w:color w:val="2B579A"/>
      <w:shd w:val="clear" w:color="auto" w:fill="E6E6E6"/>
    </w:rPr>
  </w:style>
  <w:style w:type="character" w:styleId="Hipervnculovisitado">
    <w:name w:val="FollowedHyperlink"/>
    <w:basedOn w:val="Fuentedeprrafopredeter"/>
    <w:uiPriority w:val="99"/>
    <w:semiHidden/>
    <w:unhideWhenUsed/>
    <w:rsid w:val="00201C0D"/>
    <w:rPr>
      <w:color w:val="954F72" w:themeColor="followedHyperlink"/>
      <w:u w:val="single"/>
    </w:rPr>
  </w:style>
  <w:style w:type="character" w:styleId="Mencinsinresolver1" w:customStyle="1">
    <w:name w:val="Mención sin resolver1"/>
    <w:basedOn w:val="Fuentedeprrafopredeter"/>
    <w:uiPriority w:val="99"/>
    <w:semiHidden/>
    <w:unhideWhenUsed/>
    <w:rsid w:val="00B45C2D"/>
    <w:rPr>
      <w:color w:val="808080"/>
      <w:shd w:val="clear" w:color="auto" w:fill="E6E6E6"/>
    </w:rPr>
  </w:style>
  <w:style w:type="paragraph" w:styleId="Sangradetextonormal">
    <w:name w:val="Body Text Indent"/>
    <w:basedOn w:val="Normal"/>
    <w:link w:val="SangradetextonormalCar"/>
    <w:uiPriority w:val="99"/>
    <w:unhideWhenUsed/>
    <w:rsid w:val="00D22DC3"/>
    <w:pPr>
      <w:spacing w:after="120" w:line="276" w:lineRule="auto"/>
      <w:ind w:left="283"/>
    </w:pPr>
    <w:rPr>
      <w:rFonts w:ascii="Calibri" w:hAnsi="Calibri" w:eastAsia="Calibri" w:cs="Times New Roman"/>
      <w:lang w:val="es-PE"/>
    </w:rPr>
  </w:style>
  <w:style w:type="character" w:styleId="SangradetextonormalCar" w:customStyle="1">
    <w:name w:val="Sangría de texto normal Car"/>
    <w:basedOn w:val="Fuentedeprrafopredeter"/>
    <w:link w:val="Sangradetextonormal"/>
    <w:uiPriority w:val="99"/>
    <w:rsid w:val="00D22DC3"/>
    <w:rPr>
      <w:rFonts w:ascii="Calibri" w:hAnsi="Calibri" w:eastAsia="Calibri" w:cs="Times New Roman"/>
      <w:lang w:val="es-PE"/>
    </w:rPr>
  </w:style>
  <w:style w:type="paragraph" w:styleId="Encabezado">
    <w:name w:val="header"/>
    <w:basedOn w:val="Normal"/>
    <w:link w:val="EncabezadoCar"/>
    <w:uiPriority w:val="99"/>
    <w:unhideWhenUsed/>
    <w:rsid w:val="00784355"/>
    <w:pPr>
      <w:tabs>
        <w:tab w:val="center" w:pos="4419"/>
        <w:tab w:val="right" w:pos="8838"/>
      </w:tabs>
      <w:spacing w:after="0" w:line="240" w:lineRule="auto"/>
    </w:pPr>
  </w:style>
  <w:style w:type="character" w:styleId="EncabezadoCar" w:customStyle="1">
    <w:name w:val="Encabezado Car"/>
    <w:basedOn w:val="Fuentedeprrafopredeter"/>
    <w:link w:val="Encabezado"/>
    <w:uiPriority w:val="99"/>
    <w:rsid w:val="00784355"/>
  </w:style>
  <w:style w:type="paragraph" w:styleId="Piedepgina">
    <w:name w:val="footer"/>
    <w:basedOn w:val="Normal"/>
    <w:link w:val="PiedepginaCar"/>
    <w:uiPriority w:val="99"/>
    <w:unhideWhenUsed/>
    <w:rsid w:val="00784355"/>
    <w:pPr>
      <w:tabs>
        <w:tab w:val="center" w:pos="4419"/>
        <w:tab w:val="right" w:pos="8838"/>
      </w:tabs>
      <w:spacing w:after="0" w:line="240" w:lineRule="auto"/>
    </w:pPr>
  </w:style>
  <w:style w:type="character" w:styleId="PiedepginaCar" w:customStyle="1">
    <w:name w:val="Pie de página Car"/>
    <w:basedOn w:val="Fuentedeprrafopredeter"/>
    <w:link w:val="Piedepgina"/>
    <w:uiPriority w:val="99"/>
    <w:rsid w:val="00784355"/>
  </w:style>
  <w:style w:type="paragraph" w:styleId="Default" w:customStyle="1">
    <w:name w:val="Default"/>
    <w:rsid w:val="00072C60"/>
    <w:pPr>
      <w:autoSpaceDE w:val="0"/>
      <w:autoSpaceDN w:val="0"/>
      <w:adjustRightInd w:val="0"/>
      <w:spacing w:after="0" w:line="240" w:lineRule="auto"/>
    </w:pPr>
    <w:rPr>
      <w:rFonts w:ascii="Arial" w:hAnsi="Arial" w:cs="Arial"/>
      <w:color w:val="000000"/>
      <w:sz w:val="24"/>
      <w:szCs w:val="24"/>
      <w:lang w:val="es-PE"/>
    </w:rPr>
  </w:style>
  <w:style w:type="character" w:styleId="Textoennegrita">
    <w:name w:val="Strong"/>
    <w:qFormat/>
    <w:rsid w:val="00062040"/>
    <w:rPr>
      <w:b/>
      <w:bCs/>
    </w:rPr>
  </w:style>
  <w:style w:type="character" w:styleId="Ttulo2Car" w:customStyle="1">
    <w:name w:val="Título 2 Car"/>
    <w:basedOn w:val="Fuentedeprrafopredeter"/>
    <w:link w:val="Ttulo2"/>
    <w:uiPriority w:val="9"/>
    <w:rsid w:val="00F626D4"/>
    <w:rPr>
      <w:rFonts w:asciiTheme="majorHAnsi" w:hAnsiTheme="majorHAnsi" w:eastAsiaTheme="majorEastAsia" w:cstheme="majorBidi"/>
      <w:color w:val="2E74B5"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229695">
      <w:bodyDiv w:val="1"/>
      <w:marLeft w:val="0"/>
      <w:marRight w:val="0"/>
      <w:marTop w:val="0"/>
      <w:marBottom w:val="0"/>
      <w:divBdr>
        <w:top w:val="none" w:sz="0" w:space="0" w:color="auto"/>
        <w:left w:val="none" w:sz="0" w:space="0" w:color="auto"/>
        <w:bottom w:val="none" w:sz="0" w:space="0" w:color="auto"/>
        <w:right w:val="none" w:sz="0" w:space="0" w:color="auto"/>
      </w:divBdr>
    </w:div>
    <w:div w:id="447822248">
      <w:bodyDiv w:val="1"/>
      <w:marLeft w:val="0"/>
      <w:marRight w:val="0"/>
      <w:marTop w:val="0"/>
      <w:marBottom w:val="0"/>
      <w:divBdr>
        <w:top w:val="none" w:sz="0" w:space="0" w:color="auto"/>
        <w:left w:val="none" w:sz="0" w:space="0" w:color="auto"/>
        <w:bottom w:val="none" w:sz="0" w:space="0" w:color="auto"/>
        <w:right w:val="none" w:sz="0" w:space="0" w:color="auto"/>
      </w:divBdr>
    </w:div>
    <w:div w:id="725370302">
      <w:bodyDiv w:val="1"/>
      <w:marLeft w:val="0"/>
      <w:marRight w:val="0"/>
      <w:marTop w:val="0"/>
      <w:marBottom w:val="0"/>
      <w:divBdr>
        <w:top w:val="none" w:sz="0" w:space="0" w:color="auto"/>
        <w:left w:val="none" w:sz="0" w:space="0" w:color="auto"/>
        <w:bottom w:val="none" w:sz="0" w:space="0" w:color="auto"/>
        <w:right w:val="none" w:sz="0" w:space="0" w:color="auto"/>
      </w:divBdr>
    </w:div>
    <w:div w:id="1063138293">
      <w:bodyDiv w:val="1"/>
      <w:marLeft w:val="0"/>
      <w:marRight w:val="0"/>
      <w:marTop w:val="0"/>
      <w:marBottom w:val="0"/>
      <w:divBdr>
        <w:top w:val="none" w:sz="0" w:space="0" w:color="auto"/>
        <w:left w:val="none" w:sz="0" w:space="0" w:color="auto"/>
        <w:bottom w:val="none" w:sz="0" w:space="0" w:color="auto"/>
        <w:right w:val="none" w:sz="0" w:space="0" w:color="auto"/>
      </w:divBdr>
    </w:div>
    <w:div w:id="1175342425">
      <w:bodyDiv w:val="1"/>
      <w:marLeft w:val="0"/>
      <w:marRight w:val="0"/>
      <w:marTop w:val="0"/>
      <w:marBottom w:val="0"/>
      <w:divBdr>
        <w:top w:val="none" w:sz="0" w:space="0" w:color="auto"/>
        <w:left w:val="none" w:sz="0" w:space="0" w:color="auto"/>
        <w:bottom w:val="none" w:sz="0" w:space="0" w:color="auto"/>
        <w:right w:val="none" w:sz="0" w:space="0" w:color="auto"/>
      </w:divBdr>
    </w:div>
    <w:div w:id="1532961771">
      <w:bodyDiv w:val="1"/>
      <w:marLeft w:val="0"/>
      <w:marRight w:val="0"/>
      <w:marTop w:val="0"/>
      <w:marBottom w:val="0"/>
      <w:divBdr>
        <w:top w:val="none" w:sz="0" w:space="0" w:color="auto"/>
        <w:left w:val="none" w:sz="0" w:space="0" w:color="auto"/>
        <w:bottom w:val="none" w:sz="0" w:space="0" w:color="auto"/>
        <w:right w:val="none" w:sz="0" w:space="0" w:color="auto"/>
      </w:divBdr>
    </w:div>
    <w:div w:id="1876379910">
      <w:bodyDiv w:val="1"/>
      <w:marLeft w:val="0"/>
      <w:marRight w:val="0"/>
      <w:marTop w:val="0"/>
      <w:marBottom w:val="0"/>
      <w:divBdr>
        <w:top w:val="none" w:sz="0" w:space="0" w:color="auto"/>
        <w:left w:val="none" w:sz="0" w:space="0" w:color="auto"/>
        <w:bottom w:val="none" w:sz="0" w:space="0" w:color="auto"/>
        <w:right w:val="none" w:sz="0" w:space="0" w:color="auto"/>
      </w:divBdr>
    </w:div>
    <w:div w:id="1896088095">
      <w:bodyDiv w:val="1"/>
      <w:marLeft w:val="0"/>
      <w:marRight w:val="0"/>
      <w:marTop w:val="0"/>
      <w:marBottom w:val="0"/>
      <w:divBdr>
        <w:top w:val="none" w:sz="0" w:space="0" w:color="auto"/>
        <w:left w:val="none" w:sz="0" w:space="0" w:color="auto"/>
        <w:bottom w:val="none" w:sz="0" w:space="0" w:color="auto"/>
        <w:right w:val="none" w:sz="0" w:space="0" w:color="auto"/>
      </w:divBdr>
    </w:div>
    <w:div w:id="1945065298">
      <w:bodyDiv w:val="1"/>
      <w:marLeft w:val="0"/>
      <w:marRight w:val="0"/>
      <w:marTop w:val="0"/>
      <w:marBottom w:val="0"/>
      <w:divBdr>
        <w:top w:val="none" w:sz="0" w:space="0" w:color="auto"/>
        <w:left w:val="none" w:sz="0" w:space="0" w:color="auto"/>
        <w:bottom w:val="none" w:sz="0" w:space="0" w:color="auto"/>
        <w:right w:val="none" w:sz="0" w:space="0" w:color="auto"/>
      </w:divBdr>
    </w:div>
    <w:div w:id="2016027959">
      <w:bodyDiv w:val="1"/>
      <w:marLeft w:val="0"/>
      <w:marRight w:val="0"/>
      <w:marTop w:val="0"/>
      <w:marBottom w:val="0"/>
      <w:divBdr>
        <w:top w:val="none" w:sz="0" w:space="0" w:color="auto"/>
        <w:left w:val="none" w:sz="0" w:space="0" w:color="auto"/>
        <w:bottom w:val="none" w:sz="0" w:space="0" w:color="auto"/>
        <w:right w:val="none" w:sz="0" w:space="0" w:color="auto"/>
      </w:divBdr>
    </w:div>
    <w:div w:id="2062513091">
      <w:bodyDiv w:val="1"/>
      <w:marLeft w:val="120"/>
      <w:marRight w:val="120"/>
      <w:marTop w:val="0"/>
      <w:marBottom w:val="120"/>
      <w:divBdr>
        <w:top w:val="none" w:sz="0" w:space="0" w:color="auto"/>
        <w:left w:val="none" w:sz="0" w:space="0" w:color="auto"/>
        <w:bottom w:val="none" w:sz="0" w:space="0" w:color="auto"/>
        <w:right w:val="none" w:sz="0" w:space="0" w:color="auto"/>
      </w:divBdr>
      <w:divsChild>
        <w:div w:id="420759835">
          <w:marLeft w:val="0"/>
          <w:marRight w:val="0"/>
          <w:marTop w:val="0"/>
          <w:marBottom w:val="0"/>
          <w:divBdr>
            <w:top w:val="none" w:sz="0" w:space="0" w:color="auto"/>
            <w:left w:val="none" w:sz="0" w:space="0" w:color="auto"/>
            <w:bottom w:val="none" w:sz="0" w:space="0" w:color="auto"/>
            <w:right w:val="none" w:sz="0" w:space="0" w:color="auto"/>
          </w:divBdr>
          <w:divsChild>
            <w:div w:id="280571514">
              <w:marLeft w:val="0"/>
              <w:marRight w:val="0"/>
              <w:marTop w:val="0"/>
              <w:marBottom w:val="0"/>
              <w:divBdr>
                <w:top w:val="none" w:sz="0" w:space="0" w:color="auto"/>
                <w:left w:val="none" w:sz="0" w:space="0" w:color="auto"/>
                <w:bottom w:val="none" w:sz="0" w:space="0" w:color="auto"/>
                <w:right w:val="none" w:sz="0" w:space="0" w:color="auto"/>
              </w:divBdr>
              <w:divsChild>
                <w:div w:id="392125744">
                  <w:marLeft w:val="0"/>
                  <w:marRight w:val="0"/>
                  <w:marTop w:val="0"/>
                  <w:marBottom w:val="0"/>
                  <w:divBdr>
                    <w:top w:val="none" w:sz="0" w:space="0" w:color="auto"/>
                    <w:left w:val="none" w:sz="0" w:space="0" w:color="auto"/>
                    <w:bottom w:val="none" w:sz="0" w:space="0" w:color="auto"/>
                    <w:right w:val="none" w:sz="0" w:space="0" w:color="auto"/>
                  </w:divBdr>
                  <w:divsChild>
                    <w:div w:id="479807244">
                      <w:marLeft w:val="0"/>
                      <w:marRight w:val="0"/>
                      <w:marTop w:val="0"/>
                      <w:marBottom w:val="0"/>
                      <w:divBdr>
                        <w:top w:val="none" w:sz="0" w:space="0" w:color="auto"/>
                        <w:left w:val="none" w:sz="0" w:space="0" w:color="auto"/>
                        <w:bottom w:val="none" w:sz="0" w:space="0" w:color="auto"/>
                        <w:right w:val="none" w:sz="0" w:space="0" w:color="auto"/>
                      </w:divBdr>
                    </w:div>
                    <w:div w:id="1012563595">
                      <w:marLeft w:val="0"/>
                      <w:marRight w:val="0"/>
                      <w:marTop w:val="0"/>
                      <w:marBottom w:val="0"/>
                      <w:divBdr>
                        <w:top w:val="none" w:sz="0" w:space="0" w:color="auto"/>
                        <w:left w:val="none" w:sz="0" w:space="0" w:color="auto"/>
                        <w:bottom w:val="none" w:sz="0" w:space="0" w:color="auto"/>
                        <w:right w:val="none" w:sz="0" w:space="0" w:color="auto"/>
                      </w:divBdr>
                    </w:div>
                    <w:div w:id="1380402914">
                      <w:marLeft w:val="0"/>
                      <w:marRight w:val="0"/>
                      <w:marTop w:val="0"/>
                      <w:marBottom w:val="0"/>
                      <w:divBdr>
                        <w:top w:val="none" w:sz="0" w:space="0" w:color="auto"/>
                        <w:left w:val="none" w:sz="0" w:space="0" w:color="auto"/>
                        <w:bottom w:val="none" w:sz="0" w:space="0" w:color="auto"/>
                        <w:right w:val="none" w:sz="0" w:space="0" w:color="auto"/>
                      </w:divBdr>
                    </w:div>
                    <w:div w:id="1651052697">
                      <w:marLeft w:val="0"/>
                      <w:marRight w:val="0"/>
                      <w:marTop w:val="0"/>
                      <w:marBottom w:val="0"/>
                      <w:divBdr>
                        <w:top w:val="none" w:sz="0" w:space="0" w:color="auto"/>
                        <w:left w:val="none" w:sz="0" w:space="0" w:color="auto"/>
                        <w:bottom w:val="none" w:sz="0" w:space="0" w:color="auto"/>
                        <w:right w:val="none" w:sz="0" w:space="0" w:color="auto"/>
                      </w:divBdr>
                    </w:div>
                    <w:div w:id="1122310314">
                      <w:marLeft w:val="0"/>
                      <w:marRight w:val="0"/>
                      <w:marTop w:val="0"/>
                      <w:marBottom w:val="0"/>
                      <w:divBdr>
                        <w:top w:val="none" w:sz="0" w:space="0" w:color="auto"/>
                        <w:left w:val="none" w:sz="0" w:space="0" w:color="auto"/>
                        <w:bottom w:val="none" w:sz="0" w:space="0" w:color="auto"/>
                        <w:right w:val="none" w:sz="0" w:space="0" w:color="auto"/>
                      </w:divBdr>
                    </w:div>
                    <w:div w:id="1374381368">
                      <w:marLeft w:val="0"/>
                      <w:marRight w:val="0"/>
                      <w:marTop w:val="0"/>
                      <w:marBottom w:val="0"/>
                      <w:divBdr>
                        <w:top w:val="none" w:sz="0" w:space="0" w:color="auto"/>
                        <w:left w:val="none" w:sz="0" w:space="0" w:color="auto"/>
                        <w:bottom w:val="none" w:sz="0" w:space="0" w:color="auto"/>
                        <w:right w:val="none" w:sz="0" w:space="0" w:color="auto"/>
                      </w:divBdr>
                    </w:div>
                    <w:div w:id="1253008545">
                      <w:marLeft w:val="0"/>
                      <w:marRight w:val="0"/>
                      <w:marTop w:val="0"/>
                      <w:marBottom w:val="0"/>
                      <w:divBdr>
                        <w:top w:val="none" w:sz="0" w:space="0" w:color="auto"/>
                        <w:left w:val="none" w:sz="0" w:space="0" w:color="auto"/>
                        <w:bottom w:val="none" w:sz="0" w:space="0" w:color="auto"/>
                        <w:right w:val="none" w:sz="0" w:space="0" w:color="auto"/>
                      </w:divBdr>
                    </w:div>
                    <w:div w:id="723793192">
                      <w:marLeft w:val="0"/>
                      <w:marRight w:val="0"/>
                      <w:marTop w:val="0"/>
                      <w:marBottom w:val="0"/>
                      <w:divBdr>
                        <w:top w:val="none" w:sz="0" w:space="0" w:color="auto"/>
                        <w:left w:val="none" w:sz="0" w:space="0" w:color="auto"/>
                        <w:bottom w:val="none" w:sz="0" w:space="0" w:color="auto"/>
                        <w:right w:val="none" w:sz="0" w:space="0" w:color="auto"/>
                      </w:divBdr>
                    </w:div>
                    <w:div w:id="1271207168">
                      <w:marLeft w:val="0"/>
                      <w:marRight w:val="0"/>
                      <w:marTop w:val="0"/>
                      <w:marBottom w:val="0"/>
                      <w:divBdr>
                        <w:top w:val="none" w:sz="0" w:space="0" w:color="auto"/>
                        <w:left w:val="none" w:sz="0" w:space="0" w:color="auto"/>
                        <w:bottom w:val="none" w:sz="0" w:space="0" w:color="auto"/>
                        <w:right w:val="none" w:sz="0" w:space="0" w:color="auto"/>
                      </w:divBdr>
                    </w:div>
                    <w:div w:id="885414522">
                      <w:marLeft w:val="0"/>
                      <w:marRight w:val="0"/>
                      <w:marTop w:val="0"/>
                      <w:marBottom w:val="0"/>
                      <w:divBdr>
                        <w:top w:val="none" w:sz="0" w:space="0" w:color="auto"/>
                        <w:left w:val="none" w:sz="0" w:space="0" w:color="auto"/>
                        <w:bottom w:val="none" w:sz="0" w:space="0" w:color="auto"/>
                        <w:right w:val="none" w:sz="0" w:space="0" w:color="auto"/>
                      </w:divBdr>
                    </w:div>
                    <w:div w:id="603196444">
                      <w:marLeft w:val="0"/>
                      <w:marRight w:val="0"/>
                      <w:marTop w:val="0"/>
                      <w:marBottom w:val="0"/>
                      <w:divBdr>
                        <w:top w:val="none" w:sz="0" w:space="0" w:color="auto"/>
                        <w:left w:val="none" w:sz="0" w:space="0" w:color="auto"/>
                        <w:bottom w:val="none" w:sz="0" w:space="0" w:color="auto"/>
                        <w:right w:val="none" w:sz="0" w:space="0" w:color="auto"/>
                      </w:divBdr>
                    </w:div>
                    <w:div w:id="520359496">
                      <w:marLeft w:val="0"/>
                      <w:marRight w:val="0"/>
                      <w:marTop w:val="0"/>
                      <w:marBottom w:val="0"/>
                      <w:divBdr>
                        <w:top w:val="none" w:sz="0" w:space="0" w:color="auto"/>
                        <w:left w:val="none" w:sz="0" w:space="0" w:color="auto"/>
                        <w:bottom w:val="none" w:sz="0" w:space="0" w:color="auto"/>
                        <w:right w:val="none" w:sz="0" w:space="0" w:color="auto"/>
                      </w:divBdr>
                    </w:div>
                    <w:div w:id="1738089035">
                      <w:marLeft w:val="0"/>
                      <w:marRight w:val="0"/>
                      <w:marTop w:val="0"/>
                      <w:marBottom w:val="0"/>
                      <w:divBdr>
                        <w:top w:val="none" w:sz="0" w:space="0" w:color="auto"/>
                        <w:left w:val="none" w:sz="0" w:space="0" w:color="auto"/>
                        <w:bottom w:val="none" w:sz="0" w:space="0" w:color="auto"/>
                        <w:right w:val="none" w:sz="0" w:space="0" w:color="auto"/>
                      </w:divBdr>
                    </w:div>
                    <w:div w:id="608974899">
                      <w:marLeft w:val="0"/>
                      <w:marRight w:val="0"/>
                      <w:marTop w:val="0"/>
                      <w:marBottom w:val="0"/>
                      <w:divBdr>
                        <w:top w:val="none" w:sz="0" w:space="0" w:color="auto"/>
                        <w:left w:val="none" w:sz="0" w:space="0" w:color="auto"/>
                        <w:bottom w:val="none" w:sz="0" w:space="0" w:color="auto"/>
                        <w:right w:val="none" w:sz="0" w:space="0" w:color="auto"/>
                      </w:divBdr>
                    </w:div>
                    <w:div w:id="566843197">
                      <w:marLeft w:val="0"/>
                      <w:marRight w:val="0"/>
                      <w:marTop w:val="0"/>
                      <w:marBottom w:val="0"/>
                      <w:divBdr>
                        <w:top w:val="none" w:sz="0" w:space="0" w:color="auto"/>
                        <w:left w:val="none" w:sz="0" w:space="0" w:color="auto"/>
                        <w:bottom w:val="none" w:sz="0" w:space="0" w:color="auto"/>
                        <w:right w:val="none" w:sz="0" w:space="0" w:color="auto"/>
                      </w:divBdr>
                    </w:div>
                    <w:div w:id="1683891510">
                      <w:marLeft w:val="0"/>
                      <w:marRight w:val="0"/>
                      <w:marTop w:val="0"/>
                      <w:marBottom w:val="0"/>
                      <w:divBdr>
                        <w:top w:val="none" w:sz="0" w:space="0" w:color="auto"/>
                        <w:left w:val="none" w:sz="0" w:space="0" w:color="auto"/>
                        <w:bottom w:val="none" w:sz="0" w:space="0" w:color="auto"/>
                        <w:right w:val="none" w:sz="0" w:space="0" w:color="auto"/>
                      </w:divBdr>
                    </w:div>
                    <w:div w:id="250747864">
                      <w:marLeft w:val="0"/>
                      <w:marRight w:val="0"/>
                      <w:marTop w:val="0"/>
                      <w:marBottom w:val="0"/>
                      <w:divBdr>
                        <w:top w:val="none" w:sz="0" w:space="0" w:color="auto"/>
                        <w:left w:val="none" w:sz="0" w:space="0" w:color="auto"/>
                        <w:bottom w:val="none" w:sz="0" w:space="0" w:color="auto"/>
                        <w:right w:val="none" w:sz="0" w:space="0" w:color="auto"/>
                      </w:divBdr>
                    </w:div>
                    <w:div w:id="1148354529">
                      <w:marLeft w:val="0"/>
                      <w:marRight w:val="0"/>
                      <w:marTop w:val="0"/>
                      <w:marBottom w:val="0"/>
                      <w:divBdr>
                        <w:top w:val="none" w:sz="0" w:space="0" w:color="auto"/>
                        <w:left w:val="none" w:sz="0" w:space="0" w:color="auto"/>
                        <w:bottom w:val="none" w:sz="0" w:space="0" w:color="auto"/>
                        <w:right w:val="none" w:sz="0" w:space="0" w:color="auto"/>
                      </w:divBdr>
                    </w:div>
                    <w:div w:id="451361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70447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6a3568efe5364b14" Type="http://schemas.openxmlformats.org/officeDocument/2006/relationships/hyperlink" Target="http://www.defaseg.com.pe/reglamento"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ustomXml" Target="../customXml/item4.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0CB4739-B224-40EE-99F9-7AE77CB5FDF7}">
  <ds:schemaRefs>
    <ds:schemaRef ds:uri="http://schemas.openxmlformats.org/officeDocument/2006/bibliography"/>
  </ds:schemaRefs>
</ds:datastoreItem>
</file>

<file path=customXml/itemProps2.xml><?xml version="1.0" encoding="utf-8"?>
<ds:datastoreItem xmlns:ds="http://schemas.openxmlformats.org/officeDocument/2006/customXml" ds:itemID="{12A77F35-8AA8-4673-9331-4236F69B2361}"/>
</file>

<file path=customXml/itemProps3.xml><?xml version="1.0" encoding="utf-8"?>
<ds:datastoreItem xmlns:ds="http://schemas.openxmlformats.org/officeDocument/2006/customXml" ds:itemID="{59CFB1EA-D9BD-43A3-AB18-B1F6989E9505}"/>
</file>

<file path=customXml/itemProps4.xml><?xml version="1.0" encoding="utf-8"?>
<ds:datastoreItem xmlns:ds="http://schemas.openxmlformats.org/officeDocument/2006/customXml" ds:itemID="{900437FB-FF4A-4E42-A6B5-148475916A53}"/>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vaio</dc:creator>
  <cp:keywords/>
  <dc:description/>
  <cp:lastModifiedBy>Valeria Santos</cp:lastModifiedBy>
  <cp:revision>93</cp:revision>
  <cp:lastPrinted>2021-10-05T15:08:00Z</cp:lastPrinted>
  <dcterms:created xsi:type="dcterms:W3CDTF">2020-12-18T20:17:00Z</dcterms:created>
  <dcterms:modified xsi:type="dcterms:W3CDTF">2026-02-04T20:14:57Z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