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700BB" w:rsidR="00EF0B7F" w:rsidP="00EF0B7F" w:rsidRDefault="00201C0D" w14:paraId="632C635A" w14:textId="78A876B4">
      <w:pPr>
        <w:pStyle w:val="Ttulo2"/>
        <w:jc w:val="center"/>
        <w:rPr>
          <w:rFonts w:ascii="Times New Roman" w:hAnsi="Times New Roman" w:cs="Times New Roman"/>
          <w:b/>
          <w:bCs/>
          <w:color w:val="auto"/>
          <w:sz w:val="24"/>
          <w:szCs w:val="24"/>
          <w:lang w:val="es-PE" w:eastAsia="ar-SA"/>
        </w:rPr>
      </w:pPr>
      <w:r w:rsidRPr="000700BB">
        <w:rPr>
          <w:rFonts w:ascii="Times New Roman" w:hAnsi="Times New Roman" w:cs="Times New Roman"/>
          <w:b/>
          <w:bCs/>
          <w:color w:val="auto"/>
          <w:sz w:val="24"/>
          <w:szCs w:val="24"/>
          <w:lang w:val="es-PE" w:eastAsia="ar-SA"/>
        </w:rPr>
        <w:t xml:space="preserve">RESOLUCIÓN DE RECURSO IMPUGNATIVO </w:t>
      </w:r>
      <w:r w:rsidRPr="000700BB" w:rsidR="00707C99">
        <w:rPr>
          <w:rFonts w:ascii="Times New Roman" w:hAnsi="Times New Roman" w:cs="Times New Roman"/>
          <w:b/>
          <w:bCs/>
          <w:color w:val="auto"/>
          <w:sz w:val="24"/>
          <w:szCs w:val="24"/>
          <w:lang w:val="es-PE" w:eastAsia="ar-SA"/>
        </w:rPr>
        <w:t xml:space="preserve">N° </w:t>
      </w:r>
      <w:r w:rsidRPr="000700BB" w:rsidR="00C671F5">
        <w:rPr>
          <w:rFonts w:ascii="Times New Roman" w:hAnsi="Times New Roman" w:cs="Times New Roman"/>
          <w:b/>
          <w:bCs/>
          <w:color w:val="auto"/>
          <w:sz w:val="24"/>
          <w:szCs w:val="24"/>
          <w:lang w:val="es-PE" w:eastAsia="ar-SA"/>
        </w:rPr>
        <w:t>0</w:t>
      </w:r>
      <w:r w:rsidRPr="000700BB" w:rsidR="00DD21B2">
        <w:rPr>
          <w:rFonts w:ascii="Times New Roman" w:hAnsi="Times New Roman" w:cs="Times New Roman"/>
          <w:b/>
          <w:bCs/>
          <w:color w:val="auto"/>
          <w:sz w:val="24"/>
          <w:szCs w:val="24"/>
          <w:lang w:val="es-PE" w:eastAsia="ar-SA"/>
        </w:rPr>
        <w:t>5</w:t>
      </w:r>
      <w:r w:rsidR="003924AA">
        <w:rPr>
          <w:rFonts w:ascii="Times New Roman" w:hAnsi="Times New Roman" w:cs="Times New Roman"/>
          <w:b/>
          <w:bCs/>
          <w:color w:val="auto"/>
          <w:sz w:val="24"/>
          <w:szCs w:val="24"/>
          <w:lang w:val="es-PE" w:eastAsia="ar-SA"/>
        </w:rPr>
        <w:t>8</w:t>
      </w:r>
      <w:r w:rsidRPr="000700BB" w:rsidR="00517CFF">
        <w:rPr>
          <w:rFonts w:ascii="Times New Roman" w:hAnsi="Times New Roman" w:cs="Times New Roman"/>
          <w:b/>
          <w:bCs/>
          <w:color w:val="auto"/>
          <w:sz w:val="24"/>
          <w:szCs w:val="24"/>
          <w:lang w:val="es-PE" w:eastAsia="ar-SA"/>
        </w:rPr>
        <w:t>/</w:t>
      </w:r>
      <w:r w:rsidRPr="000700BB" w:rsidR="00C671F5">
        <w:rPr>
          <w:rFonts w:ascii="Times New Roman" w:hAnsi="Times New Roman" w:cs="Times New Roman"/>
          <w:b/>
          <w:bCs/>
          <w:color w:val="auto"/>
          <w:sz w:val="24"/>
          <w:szCs w:val="24"/>
          <w:lang w:val="es-PE" w:eastAsia="ar-SA"/>
        </w:rPr>
        <w:t>2</w:t>
      </w:r>
      <w:r w:rsidRPr="000700BB" w:rsidR="00231C58">
        <w:rPr>
          <w:rFonts w:ascii="Times New Roman" w:hAnsi="Times New Roman" w:cs="Times New Roman"/>
          <w:b/>
          <w:bCs/>
          <w:color w:val="auto"/>
          <w:sz w:val="24"/>
          <w:szCs w:val="24"/>
          <w:lang w:val="es-PE" w:eastAsia="ar-SA"/>
        </w:rPr>
        <w:t>1</w:t>
      </w:r>
    </w:p>
    <w:p w:rsidRPr="000700BB" w:rsidR="00FB0C48" w:rsidP="00FB0C48" w:rsidRDefault="00FB0C48" w14:paraId="71F35ACE" w14:textId="77777777">
      <w:pPr>
        <w:jc w:val="both"/>
        <w:outlineLvl w:val="0"/>
        <w:rPr>
          <w:rFonts w:ascii="Times New Roman" w:hAnsi="Times New Roman" w:cs="Times New Roman"/>
          <w:b/>
          <w:bCs/>
          <w:sz w:val="24"/>
          <w:szCs w:val="24"/>
          <w:lang w:val="es-MX"/>
        </w:rPr>
      </w:pPr>
    </w:p>
    <w:p w:rsidRPr="003924AA" w:rsidR="003924AA" w:rsidP="003924AA" w:rsidRDefault="003924AA" w14:paraId="636C639B" w14:textId="77777777">
      <w:pPr>
        <w:spacing w:after="0" w:line="240" w:lineRule="auto"/>
        <w:jc w:val="both"/>
        <w:rPr>
          <w:rFonts w:ascii="Times New Roman" w:hAnsi="Times New Roman" w:cs="Times New Roman"/>
          <w:sz w:val="24"/>
          <w:szCs w:val="24"/>
          <w:lang w:val="es-PE"/>
        </w:rPr>
      </w:pPr>
      <w:r w:rsidRPr="003924AA">
        <w:rPr>
          <w:rFonts w:ascii="Times New Roman" w:hAnsi="Times New Roman" w:cs="Times New Roman"/>
          <w:b/>
          <w:sz w:val="24"/>
          <w:szCs w:val="24"/>
          <w:lang w:val="es-PE"/>
        </w:rPr>
        <w:t xml:space="preserve">Vistos: </w:t>
      </w:r>
    </w:p>
    <w:p w:rsidRPr="003924AA" w:rsidR="003924AA" w:rsidP="003924AA" w:rsidRDefault="003924AA" w14:paraId="50360F58" w14:textId="77777777">
      <w:pPr>
        <w:spacing w:after="0" w:line="240" w:lineRule="auto"/>
        <w:jc w:val="both"/>
        <w:rPr>
          <w:rFonts w:ascii="Times New Roman" w:hAnsi="Times New Roman" w:cs="Times New Roman"/>
          <w:sz w:val="24"/>
          <w:szCs w:val="24"/>
          <w:lang w:val="es-PE"/>
        </w:rPr>
      </w:pPr>
    </w:p>
    <w:p w:rsidRPr="003924AA" w:rsidR="003924AA" w:rsidP="003924AA" w:rsidRDefault="003924AA" w14:paraId="44F77B3C" w14:textId="38764FAD">
      <w:pPr>
        <w:spacing w:line="240" w:lineRule="auto"/>
        <w:jc w:val="both"/>
        <w:rPr>
          <w:rFonts w:ascii="Times New Roman" w:hAnsi="Times New Roman" w:cs="Times New Roman"/>
          <w:sz w:val="24"/>
          <w:szCs w:val="24"/>
          <w:lang w:val="es-PE"/>
        </w:rPr>
      </w:pPr>
      <w:r w:rsidRPr="30BF0F38" w:rsidR="003924AA">
        <w:rPr>
          <w:rFonts w:ascii="Times New Roman" w:hAnsi="Times New Roman" w:cs="Times New Roman"/>
          <w:sz w:val="24"/>
          <w:szCs w:val="24"/>
          <w:lang w:val="es-PE"/>
        </w:rPr>
        <w:t xml:space="preserve">El Recurso Impugnativo presentado el 28 de setiembre de 2021, interpuesto por </w:t>
      </w:r>
      <w:r w:rsidRPr="30BF0F38" w:rsidR="7E2B1EDC">
        <w:rPr>
          <w:rFonts w:ascii="Times New Roman" w:hAnsi="Times New Roman" w:cs="Times New Roman"/>
          <w:sz w:val="24"/>
          <w:szCs w:val="24"/>
          <w:lang w:val="es-PE"/>
        </w:rPr>
        <w:t>................................</w:t>
      </w:r>
      <w:r w:rsidRPr="30BF0F38" w:rsidR="003924AA">
        <w:rPr>
          <w:rFonts w:ascii="Times New Roman" w:hAnsi="Times New Roman" w:cs="Times New Roman"/>
          <w:sz w:val="24"/>
          <w:szCs w:val="24"/>
          <w:lang w:val="es-PE"/>
        </w:rPr>
        <w:t xml:space="preserve">, respecto de la Resolución </w:t>
      </w:r>
      <w:r w:rsidRPr="30BF0F38" w:rsidR="003924AA">
        <w:rPr>
          <w:rFonts w:ascii="Times New Roman" w:hAnsi="Times New Roman" w:cs="Times New Roman"/>
          <w:sz w:val="24"/>
          <w:szCs w:val="24"/>
          <w:lang w:val="es-PE"/>
        </w:rPr>
        <w:t>N°</w:t>
      </w:r>
      <w:r w:rsidRPr="30BF0F38" w:rsidR="003924AA">
        <w:rPr>
          <w:rFonts w:ascii="Times New Roman" w:hAnsi="Times New Roman" w:cs="Times New Roman"/>
          <w:sz w:val="24"/>
          <w:szCs w:val="24"/>
          <w:lang w:val="es-PE"/>
        </w:rPr>
        <w:t xml:space="preserve"> 132/21 emitida el 20 de setiembre de 2021 por esta Defensoría del Asegurado (DEFASEG) que declaró FUNDADA la reclamación interpuesta por </w:t>
      </w:r>
      <w:r w:rsidRPr="30BF0F38" w:rsidR="54E518C0">
        <w:rPr>
          <w:rFonts w:ascii="Times New Roman" w:hAnsi="Times New Roman" w:cs="Times New Roman"/>
          <w:sz w:val="24"/>
          <w:szCs w:val="24"/>
          <w:lang w:val="es-PE"/>
        </w:rPr>
        <w:t>................................</w:t>
      </w:r>
      <w:r w:rsidRPr="30BF0F38" w:rsidR="003924AA">
        <w:rPr>
          <w:rFonts w:ascii="Times New Roman" w:hAnsi="Times New Roman" w:cs="Times New Roman"/>
          <w:sz w:val="24"/>
          <w:szCs w:val="24"/>
          <w:lang w:val="es-PE"/>
        </w:rPr>
        <w:t>,</w:t>
      </w:r>
      <w:r w:rsidRPr="30BF0F38" w:rsidR="003924AA">
        <w:rPr>
          <w:rFonts w:ascii="Times New Roman" w:hAnsi="Times New Roman" w:cs="Times New Roman"/>
          <w:sz w:val="24"/>
          <w:szCs w:val="24"/>
          <w:lang w:val="es-PE"/>
        </w:rPr>
        <w:t xml:space="preserve"> sobre la aplicación de la cobertura de Daño Propio, como consecuencia de la Pérdida Total del vehículo de placa de rodaje </w:t>
      </w:r>
      <w:r w:rsidRPr="30BF0F38" w:rsidR="6C899834">
        <w:rPr>
          <w:rFonts w:ascii="Times New Roman" w:hAnsi="Times New Roman" w:cs="Times New Roman"/>
          <w:sz w:val="24"/>
          <w:szCs w:val="24"/>
          <w:lang w:val="es-PE"/>
        </w:rPr>
        <w:t>................................</w:t>
      </w:r>
      <w:r w:rsidRPr="30BF0F38" w:rsidR="003924AA">
        <w:rPr>
          <w:rFonts w:ascii="Times New Roman" w:hAnsi="Times New Roman" w:cs="Times New Roman"/>
          <w:sz w:val="24"/>
          <w:szCs w:val="24"/>
          <w:lang w:val="es-PE"/>
        </w:rPr>
        <w:t>.</w:t>
      </w:r>
    </w:p>
    <w:p w:rsidRPr="003924AA" w:rsidR="003924AA" w:rsidP="003924AA" w:rsidRDefault="003924AA" w14:paraId="653F8596" w14:textId="77777777">
      <w:pPr>
        <w:spacing w:line="240" w:lineRule="auto"/>
        <w:jc w:val="both"/>
        <w:rPr>
          <w:rFonts w:ascii="Times New Roman" w:hAnsi="Times New Roman" w:cs="Times New Roman"/>
          <w:sz w:val="24"/>
          <w:szCs w:val="24"/>
          <w:lang w:val="es-PE"/>
        </w:rPr>
      </w:pPr>
      <w:r w:rsidRPr="003924AA">
        <w:rPr>
          <w:rFonts w:ascii="Times New Roman" w:hAnsi="Times New Roman" w:cs="Times New Roman"/>
          <w:sz w:val="24"/>
          <w:szCs w:val="24"/>
          <w:lang w:val="es-PE"/>
        </w:rPr>
        <w:t>Que el señalado Recurso Impugnativo se fundamenta resumidamente en lo siguiente: 1) Que, el primer argumento de la Defensoría para declarar fundada la reclamación, se fundamenta en el hecho que el ejemplar de la póliza de automóviles presentada por la aseguradora en su escrito de descargo carece de la constancia de recepción por parte de la asegurada y como tal no se encuentra acreditada la entrega y aceptación de las condiciones y cláusulas antes citadas para  oponer las exclusiones de cobertura, no obstante que se ha acreditado la entrega al corredor de seguros del banco contratante. 2) Que, con respecto a este punto, es necesario manifestar que, si bien es cierto la póliza que adjuntó la aseguradora no se encuentra suscrita por la asegurada, lo cual supone que esta no fue notificada con la póliza y con el tenor de las referidas cláusulas y condicionado para su conocimiento, sin embargo, resulta cierto que el asegurado en su escrito de reclamo acompañó la póliza de seguro de automóviles, lo cual prueba fehacientemente que si tenía pleno conocimiento de las condiciones y cláusulas antes referidas. 3) Que, se debe partir de la primicia que, el asegurado tenía pleno conocimiento de la existencia de un seguro vehicular por la existencia misma de su crédito vehicular con la entidad financiera contratante, el cual contemplaba derechos y obligaciones; sin embargo, bajo el razonamiento de la resolución impugnada el asegurado solo tendría derechos de la cobertura, mas no obligaciones o cargas contractuales que cumplir por no acreditar su entrega de la póliza, no obstante mediar la entrega al contratante. 4) Que, la aseguradora cumplió con la póliza al contratante a través de su corredor de seguros, ello en razón de que es una póliza colectiva o grupal, no individual. Conforme al Reglamento de Transparencia y Comercialización (Resolución SBS 4143-2019) la aseguradora cumplió con la entrega de la póliza y sus condiciones al banco contratante, conforme la citada normativa era el asegurado quien podrá solicitar una copia por duplicado de la misma a la compañía de seguros. Se adjunta copia de la entrega de la póliza al banco contratante.</w:t>
      </w:r>
    </w:p>
    <w:p w:rsidRPr="003924AA" w:rsidR="003924AA" w:rsidP="003924AA" w:rsidRDefault="003924AA" w14:paraId="50F4AEB2" w14:textId="77777777">
      <w:pPr>
        <w:spacing w:line="240" w:lineRule="auto"/>
        <w:jc w:val="both"/>
        <w:rPr>
          <w:rFonts w:ascii="Times New Roman" w:hAnsi="Times New Roman" w:cs="Times New Roman"/>
          <w:sz w:val="24"/>
          <w:szCs w:val="24"/>
          <w:lang w:val="es-PE"/>
        </w:rPr>
      </w:pPr>
      <w:r w:rsidRPr="003924AA">
        <w:rPr>
          <w:rFonts w:ascii="Times New Roman" w:hAnsi="Times New Roman" w:cs="Times New Roman"/>
          <w:sz w:val="24"/>
          <w:szCs w:val="24"/>
          <w:lang w:val="es-PE"/>
        </w:rPr>
        <w:t xml:space="preserve">Que, habiéndose corrido traslado al asegurado del referido Recurso impugnatorio, el mismo con fecha 01 de octubre de 2021, expresa lo siguiente: 1) Que, en la Ley de Contrato de Seguros N° 29946, Artículo 137 sobre Condiciones no informadas prescribe: “No son oponibles al asegurado los contenidos contractuales que no le hayan sido informados en el certificado mencionado en el artículo anterior, cuyo contenido mínimo se sujeta a las disposiciones de la Superintendencia”. Que, en esta línea, la aseguradora confirma que la póliza, así como el tenor de las referidas cláusulas y condiciones no fueron notificadas al asegurado, por lo consiguiente, las exclusiones no informadas debidamente no pueden ser oponibles en caso de siniestro. Que, así mismo, tratándose de una póliza colectiva o grupal y de conformidad al Reglamento de Transparencia y Comercialización “En los seguros de grupo o colectivos, los certificados de seguro, para el número total de asegurados y la póliza de seguro al contratante. La empresa puede entregar el certificado de seguro al asegurado a través del contratante, sin perjuicio de la responsabilidad que le corresponde” 2) Que, el asegurado ratifica que las condiciones de la  </w:t>
      </w:r>
      <w:r w:rsidRPr="003924AA">
        <w:rPr>
          <w:rFonts w:ascii="Times New Roman" w:hAnsi="Times New Roman" w:cs="Times New Roman"/>
          <w:sz w:val="24"/>
          <w:szCs w:val="24"/>
          <w:lang w:val="es-PE"/>
        </w:rPr>
        <w:lastRenderedPageBreak/>
        <w:t>póliza se las hicieron llegar al final del proceso y esto se prueba con la inexistencia de cargo de recepción del suscrito que acredite la entrega y aceptación de las condiciones y  cláusulas para oponer las exclusiones de cobertura y en segundo lugar con los correros electrónicos de fecha 17 de abril de 2021 y del 02 de agosto de 2021, en donde se evidencia que continúan sin adjuntar la póliza completa con el detalle de las condiciones y, para mayor detalle, acompaña al presente los correos en mención.</w:t>
      </w:r>
    </w:p>
    <w:p w:rsidRPr="003924AA" w:rsidR="003924AA" w:rsidP="003924AA" w:rsidRDefault="003924AA" w14:paraId="55DECF62" w14:textId="77777777">
      <w:pPr>
        <w:spacing w:line="240" w:lineRule="auto"/>
        <w:jc w:val="both"/>
        <w:rPr>
          <w:rFonts w:ascii="Times New Roman" w:hAnsi="Times New Roman" w:cs="Times New Roman"/>
          <w:sz w:val="24"/>
          <w:szCs w:val="24"/>
          <w:lang w:val="es-PE"/>
        </w:rPr>
      </w:pPr>
      <w:r w:rsidRPr="003924AA">
        <w:rPr>
          <w:rFonts w:ascii="Times New Roman" w:hAnsi="Times New Roman" w:cs="Times New Roman"/>
          <w:sz w:val="24"/>
          <w:szCs w:val="24"/>
          <w:lang w:val="es-PE"/>
        </w:rPr>
        <w:t>Que, atendiendo a lo expuesto, esta Defensoría resuelve finalmente lo siguiente:</w:t>
      </w:r>
    </w:p>
    <w:p w:rsidRPr="003924AA" w:rsidR="003924AA" w:rsidP="003924AA" w:rsidRDefault="003924AA" w14:paraId="5FC6D1F2" w14:textId="1DA4A9E5">
      <w:pPr>
        <w:spacing w:line="240" w:lineRule="auto"/>
        <w:jc w:val="both"/>
        <w:rPr>
          <w:rFonts w:ascii="Times New Roman" w:hAnsi="Times New Roman" w:cs="Times New Roman"/>
          <w:sz w:val="24"/>
          <w:szCs w:val="24"/>
          <w:lang w:val="es-PE"/>
        </w:rPr>
      </w:pPr>
      <w:r w:rsidRPr="30BF0F38" w:rsidR="003924AA">
        <w:rPr>
          <w:rFonts w:ascii="Times New Roman" w:hAnsi="Times New Roman" w:cs="Times New Roman"/>
          <w:b w:val="1"/>
          <w:bCs w:val="1"/>
          <w:sz w:val="24"/>
          <w:szCs w:val="24"/>
          <w:lang w:val="es-PE"/>
        </w:rPr>
        <w:t>PRIMERO:</w:t>
      </w:r>
      <w:r w:rsidRPr="30BF0F38" w:rsidR="003924AA">
        <w:rPr>
          <w:rFonts w:ascii="Times New Roman" w:hAnsi="Times New Roman" w:cs="Times New Roman"/>
          <w:sz w:val="24"/>
          <w:szCs w:val="24"/>
          <w:lang w:val="es-PE"/>
        </w:rPr>
        <w:t xml:space="preserve"> Que el artículo 10 (Procedimiento) del Reglamento de la DEFASEG (</w:t>
      </w:r>
      <w:hyperlink r:id="Rab37cb7b6b9c4c47">
        <w:r w:rsidRPr="30BF0F38" w:rsidR="003924AA">
          <w:rPr>
            <w:rStyle w:val="Hipervnculo"/>
            <w:rFonts w:ascii="Times New Roman" w:hAnsi="Times New Roman" w:cs="Times New Roman"/>
            <w:sz w:val="24"/>
            <w:szCs w:val="24"/>
            <w:lang w:val="es-PE"/>
          </w:rPr>
          <w:t>http://www.defaseg.com.pe/reglamento</w:t>
        </w:r>
      </w:hyperlink>
      <w:r w:rsidRPr="30BF0F38" w:rsidR="003924AA">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30BF0F38" w:rsidR="7E2B1EDC">
        <w:rPr>
          <w:rFonts w:ascii="Times New Roman" w:hAnsi="Times New Roman" w:cs="Times New Roman"/>
          <w:sz w:val="24"/>
          <w:szCs w:val="24"/>
          <w:lang w:val="es-PE"/>
        </w:rPr>
        <w:t>................................</w:t>
      </w:r>
      <w:r w:rsidRPr="30BF0F38" w:rsidR="003924AA">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3924AA" w:rsidR="003924AA" w:rsidP="003924AA" w:rsidRDefault="003924AA" w14:paraId="6971079B" w14:textId="77777777">
      <w:pPr>
        <w:spacing w:line="240" w:lineRule="auto"/>
        <w:jc w:val="both"/>
        <w:rPr>
          <w:rFonts w:ascii="Times New Roman" w:hAnsi="Times New Roman" w:cs="Times New Roman"/>
          <w:sz w:val="24"/>
          <w:szCs w:val="24"/>
          <w:lang w:val="es-PE"/>
        </w:rPr>
      </w:pPr>
      <w:r w:rsidRPr="003924AA">
        <w:rPr>
          <w:rFonts w:ascii="Times New Roman" w:hAnsi="Times New Roman" w:cs="Times New Roman"/>
          <w:b/>
          <w:sz w:val="24"/>
          <w:szCs w:val="24"/>
          <w:lang w:val="es-PE"/>
        </w:rPr>
        <w:t>SEGUNDO:</w:t>
      </w:r>
      <w:r w:rsidRPr="003924AA">
        <w:rPr>
          <w:rFonts w:ascii="Times New Roman" w:hAnsi="Times New Roman" w:cs="Times New Roman"/>
          <w:sz w:val="24"/>
          <w:szCs w:val="24"/>
          <w:lang w:val="es-PE"/>
        </w:rPr>
        <w:t xml:space="preserve"> Que, de la lectura del Recurso Impugnativo interpuesto se aprecia que la aseguradora insiste en lo ya expresado con ocasión de presentar su escrito de contestación a la reclamación, argumentos que ya fueron debidamente analizados en los Considerandos, Sétimo, Octavo, Noveno y Décimo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aseguradora que este colegiado no comparte, pero sin aportar argumento o medio probatorio alguno que permita objetivamente a este colegiado apreciar que habría incurrido efectivamente en un error o vicio al momento de resolver.</w:t>
      </w:r>
    </w:p>
    <w:p w:rsidRPr="003924AA" w:rsidR="003924AA" w:rsidP="003924AA" w:rsidRDefault="003924AA" w14:paraId="303DA538" w14:textId="77777777">
      <w:pPr>
        <w:spacing w:line="240" w:lineRule="auto"/>
        <w:jc w:val="both"/>
        <w:rPr>
          <w:rFonts w:ascii="Times New Roman" w:hAnsi="Times New Roman" w:cs="Times New Roman"/>
          <w:sz w:val="24"/>
          <w:szCs w:val="24"/>
          <w:lang w:val="es-PE"/>
        </w:rPr>
      </w:pPr>
      <w:r w:rsidRPr="003924AA">
        <w:rPr>
          <w:rFonts w:ascii="Times New Roman" w:hAnsi="Times New Roman" w:cs="Times New Roman"/>
          <w:sz w:val="24"/>
          <w:szCs w:val="24"/>
          <w:lang w:val="es-PE"/>
        </w:rPr>
        <w:t>Que, adicionalmente y en relación a los argumentos expuestos por la aseguradora en su Recurso Impugnativo, la DEFASEG considera oportuno ratificar lo siguiente:</w:t>
      </w:r>
    </w:p>
    <w:p w:rsidRPr="003924AA" w:rsidR="003924AA" w:rsidP="003924AA" w:rsidRDefault="003924AA" w14:paraId="47F81C00" w14:textId="7D73F7FB">
      <w:pPr>
        <w:pStyle w:val="Prrafodelista"/>
        <w:numPr>
          <w:ilvl w:val="0"/>
          <w:numId w:val="12"/>
        </w:numPr>
        <w:spacing w:after="200" w:line="240" w:lineRule="auto"/>
        <w:jc w:val="both"/>
        <w:rPr>
          <w:rFonts w:ascii="Times New Roman" w:hAnsi="Times New Roman" w:cs="Times New Roman"/>
          <w:sz w:val="24"/>
          <w:szCs w:val="24"/>
          <w:lang w:val="es-PE"/>
        </w:rPr>
      </w:pPr>
      <w:r w:rsidRPr="30BF0F38" w:rsidR="003924AA">
        <w:rPr>
          <w:rFonts w:ascii="Times New Roman" w:hAnsi="Times New Roman" w:cs="Times New Roman"/>
          <w:sz w:val="24"/>
          <w:szCs w:val="24"/>
          <w:lang w:val="es-PE"/>
        </w:rPr>
        <w:t xml:space="preserve">Que, ante la información del asegurado, de que la póliza le fue entregada al final del proceso, la Defensoría solicitó a </w:t>
      </w:r>
      <w:r w:rsidRPr="30BF0F38" w:rsidR="7E2B1EDC">
        <w:rPr>
          <w:rFonts w:ascii="Times New Roman" w:hAnsi="Times New Roman" w:cs="Times New Roman"/>
          <w:sz w:val="24"/>
          <w:szCs w:val="24"/>
          <w:lang w:val="es-PE"/>
        </w:rPr>
        <w:t>................................</w:t>
      </w:r>
      <w:r w:rsidRPr="30BF0F38" w:rsidR="003924AA">
        <w:rPr>
          <w:rFonts w:ascii="Times New Roman" w:hAnsi="Times New Roman" w:cs="Times New Roman"/>
          <w:sz w:val="24"/>
          <w:szCs w:val="24"/>
          <w:lang w:val="es-PE"/>
        </w:rPr>
        <w:t xml:space="preserve"> presente el cargo de entrega de </w:t>
      </w:r>
      <w:r w:rsidRPr="30BF0F38" w:rsidR="003924AA">
        <w:rPr>
          <w:rFonts w:ascii="Times New Roman" w:hAnsi="Times New Roman" w:cs="Times New Roman"/>
          <w:sz w:val="24"/>
          <w:szCs w:val="24"/>
          <w:lang w:val="es-PE"/>
        </w:rPr>
        <w:t>la misma</w:t>
      </w:r>
      <w:r w:rsidRPr="30BF0F38" w:rsidR="003924AA">
        <w:rPr>
          <w:rFonts w:ascii="Times New Roman" w:hAnsi="Times New Roman" w:cs="Times New Roman"/>
          <w:sz w:val="24"/>
          <w:szCs w:val="24"/>
          <w:lang w:val="es-PE"/>
        </w:rPr>
        <w:t xml:space="preserve"> para lo cual le otorgó un plazo adicional, al final del cual la aseguradora no cumplió con lo solicitado, argumentando de que dicha póliza fue entregada al corredor de seguros del contratante (no del asegurado), lo que no ha probado la fecha en que el asegurado tomó conocimiento de </w:t>
      </w:r>
      <w:r w:rsidRPr="30BF0F38" w:rsidR="003924AA">
        <w:rPr>
          <w:rFonts w:ascii="Times New Roman" w:hAnsi="Times New Roman" w:cs="Times New Roman"/>
          <w:sz w:val="24"/>
          <w:szCs w:val="24"/>
          <w:lang w:val="es-PE"/>
        </w:rPr>
        <w:t>la misma</w:t>
      </w:r>
      <w:r w:rsidRPr="30BF0F38" w:rsidR="003924AA">
        <w:rPr>
          <w:rFonts w:ascii="Times New Roman" w:hAnsi="Times New Roman" w:cs="Times New Roman"/>
          <w:sz w:val="24"/>
          <w:szCs w:val="24"/>
          <w:lang w:val="es-PE"/>
        </w:rPr>
        <w:t>.</w:t>
      </w:r>
    </w:p>
    <w:p w:rsidRPr="003924AA" w:rsidR="003924AA" w:rsidP="003924AA" w:rsidRDefault="003924AA" w14:paraId="145710DB" w14:textId="77777777">
      <w:pPr>
        <w:pStyle w:val="Prrafodelista"/>
        <w:numPr>
          <w:ilvl w:val="0"/>
          <w:numId w:val="12"/>
        </w:numPr>
        <w:spacing w:after="200" w:line="240" w:lineRule="auto"/>
        <w:jc w:val="both"/>
        <w:rPr>
          <w:rFonts w:ascii="Times New Roman" w:hAnsi="Times New Roman" w:cs="Times New Roman"/>
          <w:sz w:val="24"/>
          <w:szCs w:val="24"/>
          <w:lang w:val="es-PE"/>
        </w:rPr>
      </w:pPr>
      <w:r w:rsidRPr="003924AA">
        <w:rPr>
          <w:rFonts w:ascii="Times New Roman" w:hAnsi="Times New Roman" w:cs="Times New Roman"/>
          <w:sz w:val="24"/>
          <w:szCs w:val="24"/>
          <w:lang w:val="es-PE"/>
        </w:rPr>
        <w:t>Que, el artículo 137 – Condiciones no informadas – contenido en la ley 29946, Ley de Contrato de Seguro, expresa literalmente lo siguiente:</w:t>
      </w:r>
    </w:p>
    <w:p w:rsidRPr="003924AA" w:rsidR="003924AA" w:rsidP="003924AA" w:rsidRDefault="003924AA" w14:paraId="6B2E67C4" w14:textId="77777777">
      <w:pPr>
        <w:spacing w:line="240" w:lineRule="auto"/>
        <w:jc w:val="both"/>
        <w:rPr>
          <w:rFonts w:ascii="Times New Roman" w:hAnsi="Times New Roman" w:cs="Times New Roman"/>
          <w:sz w:val="24"/>
          <w:szCs w:val="24"/>
          <w:lang w:val="es-PE"/>
        </w:rPr>
      </w:pPr>
      <w:r w:rsidRPr="003924AA">
        <w:rPr>
          <w:rFonts w:ascii="Times New Roman" w:hAnsi="Times New Roman" w:cs="Times New Roman"/>
          <w:sz w:val="24"/>
          <w:szCs w:val="24"/>
          <w:lang w:val="es-PE"/>
        </w:rPr>
        <w:t>“No son oponibles al asegurado los contenidos contractuales que no le hayan sido informados en el certificado mencionado en el artículo anterior, cuyo contenido mínimo se sujeta a las disposiciones de la Superintendencia”.</w:t>
      </w:r>
    </w:p>
    <w:p w:rsidRPr="003924AA" w:rsidR="003924AA" w:rsidP="003924AA" w:rsidRDefault="003924AA" w14:paraId="6E4FAB9B" w14:textId="77777777">
      <w:pPr>
        <w:spacing w:line="240" w:lineRule="auto"/>
        <w:jc w:val="both"/>
        <w:rPr>
          <w:rFonts w:ascii="Times New Roman" w:hAnsi="Times New Roman" w:cs="Times New Roman"/>
          <w:sz w:val="24"/>
          <w:szCs w:val="24"/>
          <w:lang w:val="es-PE"/>
        </w:rPr>
      </w:pPr>
      <w:r w:rsidRPr="003924AA">
        <w:rPr>
          <w:rFonts w:ascii="Times New Roman" w:hAnsi="Times New Roman" w:cs="Times New Roman"/>
          <w:sz w:val="24"/>
          <w:szCs w:val="24"/>
          <w:lang w:val="es-PE"/>
        </w:rPr>
        <w:t>Por consiguiente, este colegiado reitera su análisis contenido en la resolución recurrida.</w:t>
      </w:r>
    </w:p>
    <w:p w:rsidRPr="003924AA" w:rsidR="003924AA" w:rsidP="003924AA" w:rsidRDefault="003924AA" w14:paraId="01775E9C" w14:textId="77777777">
      <w:pPr>
        <w:spacing w:line="240" w:lineRule="auto"/>
        <w:jc w:val="both"/>
        <w:rPr>
          <w:rFonts w:ascii="Times New Roman" w:hAnsi="Times New Roman" w:cs="Times New Roman"/>
          <w:sz w:val="24"/>
          <w:szCs w:val="24"/>
          <w:lang w:val="es-PE"/>
        </w:rPr>
      </w:pPr>
      <w:r w:rsidRPr="003924AA">
        <w:rPr>
          <w:rFonts w:ascii="Times New Roman" w:hAnsi="Times New Roman" w:cs="Times New Roman"/>
          <w:sz w:val="24"/>
          <w:szCs w:val="24"/>
          <w:lang w:val="es-PE"/>
        </w:rPr>
        <w:t>En atención a las consideraciones precedentes, este colegiado no aprecia mérito ni razón objetiva para revocar la resolución recurrida y, por lo tanto</w:t>
      </w:r>
    </w:p>
    <w:p w:rsidRPr="003924AA" w:rsidR="003924AA" w:rsidP="003924AA" w:rsidRDefault="003924AA" w14:paraId="5B753F8B" w14:textId="77777777">
      <w:pPr>
        <w:spacing w:line="240" w:lineRule="auto"/>
        <w:jc w:val="both"/>
        <w:rPr>
          <w:rFonts w:ascii="Times New Roman" w:hAnsi="Times New Roman" w:cs="Times New Roman"/>
          <w:b/>
          <w:sz w:val="24"/>
          <w:szCs w:val="24"/>
          <w:lang w:val="es-PE"/>
        </w:rPr>
      </w:pPr>
      <w:r w:rsidRPr="003924AA">
        <w:rPr>
          <w:rFonts w:ascii="Times New Roman" w:hAnsi="Times New Roman" w:cs="Times New Roman"/>
          <w:b/>
          <w:sz w:val="24"/>
          <w:szCs w:val="24"/>
          <w:lang w:val="es-PE"/>
        </w:rPr>
        <w:lastRenderedPageBreak/>
        <w:t xml:space="preserve">RESUELVE: </w:t>
      </w:r>
    </w:p>
    <w:p w:rsidRPr="003924AA" w:rsidR="003924AA" w:rsidP="003924AA" w:rsidRDefault="003924AA" w14:paraId="3C138C2B" w14:textId="568BD992">
      <w:pPr>
        <w:jc w:val="both"/>
        <w:rPr>
          <w:rFonts w:ascii="Times New Roman" w:hAnsi="Times New Roman" w:cs="Times New Roman"/>
          <w:sz w:val="24"/>
          <w:szCs w:val="24"/>
          <w:lang w:val="es-PE"/>
        </w:rPr>
      </w:pPr>
      <w:r w:rsidRPr="30BF0F38" w:rsidR="003924AA">
        <w:rPr>
          <w:rFonts w:ascii="Times New Roman" w:hAnsi="Times New Roman" w:cs="Times New Roman"/>
          <w:sz w:val="24"/>
          <w:szCs w:val="24"/>
          <w:lang w:val="es-PE"/>
        </w:rPr>
        <w:t xml:space="preserve">Declarar </w:t>
      </w:r>
      <w:r w:rsidRPr="30BF0F38" w:rsidR="003924AA">
        <w:rPr>
          <w:rFonts w:ascii="Times New Roman" w:hAnsi="Times New Roman" w:cs="Times New Roman"/>
          <w:b w:val="1"/>
          <w:bCs w:val="1"/>
          <w:sz w:val="24"/>
          <w:szCs w:val="24"/>
          <w:lang w:val="es-PE"/>
        </w:rPr>
        <w:t>INFUNDADO</w:t>
      </w:r>
      <w:r w:rsidRPr="30BF0F38" w:rsidR="003924AA">
        <w:rPr>
          <w:rFonts w:ascii="Times New Roman" w:hAnsi="Times New Roman" w:cs="Times New Roman"/>
          <w:sz w:val="24"/>
          <w:szCs w:val="24"/>
          <w:lang w:val="es-PE"/>
        </w:rPr>
        <w:t xml:space="preserve"> el Recurso Impugnativo interpuesto y, por consiguiente, RATIFICAR la Resolución </w:t>
      </w:r>
      <w:r w:rsidRPr="30BF0F38" w:rsidR="003924AA">
        <w:rPr>
          <w:rFonts w:ascii="Times New Roman" w:hAnsi="Times New Roman" w:cs="Times New Roman"/>
          <w:sz w:val="24"/>
          <w:szCs w:val="24"/>
          <w:lang w:val="es-PE"/>
        </w:rPr>
        <w:t>N°</w:t>
      </w:r>
      <w:r w:rsidRPr="30BF0F38" w:rsidR="003924AA">
        <w:rPr>
          <w:rFonts w:ascii="Times New Roman" w:hAnsi="Times New Roman" w:cs="Times New Roman"/>
          <w:sz w:val="24"/>
          <w:szCs w:val="24"/>
          <w:lang w:val="es-PE"/>
        </w:rPr>
        <w:t xml:space="preserve"> 132/21 que declaró FUNDADA la reclamación interpuesta por </w:t>
      </w:r>
      <w:r w:rsidRPr="30BF0F38" w:rsidR="5A975AF7">
        <w:rPr>
          <w:rFonts w:ascii="Times New Roman" w:hAnsi="Times New Roman" w:cs="Times New Roman"/>
          <w:sz w:val="24"/>
          <w:szCs w:val="24"/>
          <w:lang w:val="es-PE"/>
        </w:rPr>
        <w:t>................................</w:t>
      </w:r>
      <w:r w:rsidRPr="30BF0F38" w:rsidR="003924AA">
        <w:rPr>
          <w:rFonts w:ascii="Times New Roman" w:hAnsi="Times New Roman" w:cs="Times New Roman"/>
          <w:sz w:val="24"/>
          <w:szCs w:val="24"/>
          <w:lang w:val="es-PE"/>
        </w:rPr>
        <w:t xml:space="preserve">, contra </w:t>
      </w:r>
      <w:r w:rsidRPr="30BF0F38" w:rsidR="5C4F2A79">
        <w:rPr>
          <w:rFonts w:ascii="Times New Roman" w:hAnsi="Times New Roman" w:cs="Times New Roman"/>
          <w:sz w:val="24"/>
          <w:szCs w:val="24"/>
          <w:lang w:val="es-PE"/>
        </w:rPr>
        <w:t>................................</w:t>
      </w:r>
      <w:r w:rsidRPr="30BF0F38" w:rsidR="003924AA">
        <w:rPr>
          <w:rFonts w:ascii="Times New Roman" w:hAnsi="Times New Roman" w:cs="Times New Roman"/>
          <w:sz w:val="24"/>
          <w:szCs w:val="24"/>
          <w:lang w:val="es-PE"/>
        </w:rPr>
        <w:t>.</w:t>
      </w:r>
    </w:p>
    <w:p w:rsidRPr="000700BB"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0700BB" w:rsidR="00C671F5" w:rsidP="005E398E" w:rsidRDefault="0091528B" w14:paraId="486C3F46" w14:textId="69106AD2">
      <w:pPr>
        <w:suppressAutoHyphens/>
        <w:spacing w:after="0" w:line="240" w:lineRule="auto"/>
        <w:jc w:val="right"/>
        <w:outlineLvl w:val="0"/>
        <w:rPr>
          <w:rFonts w:ascii="Times New Roman" w:hAnsi="Times New Roman" w:eastAsia="Arial Unicode MS" w:cs="Times New Roman"/>
          <w:sz w:val="24"/>
          <w:szCs w:val="24"/>
          <w:lang w:val="es-PE" w:eastAsia="ar-SA"/>
        </w:rPr>
      </w:pPr>
      <w:r w:rsidRPr="000700BB">
        <w:rPr>
          <w:rFonts w:ascii="Times New Roman" w:hAnsi="Times New Roman" w:eastAsia="Arial Unicode MS" w:cs="Times New Roman"/>
          <w:sz w:val="24"/>
          <w:szCs w:val="24"/>
          <w:lang w:val="es-PE" w:eastAsia="ar-SA"/>
        </w:rPr>
        <w:t xml:space="preserve">Lima, </w:t>
      </w:r>
      <w:r w:rsidR="003924AA">
        <w:rPr>
          <w:rFonts w:ascii="Times New Roman" w:hAnsi="Times New Roman" w:eastAsia="Arial Unicode MS" w:cs="Times New Roman"/>
          <w:sz w:val="24"/>
          <w:szCs w:val="24"/>
          <w:lang w:val="es-PE" w:eastAsia="ar-SA"/>
        </w:rPr>
        <w:t>18</w:t>
      </w:r>
      <w:r w:rsidRPr="000700BB" w:rsidR="00DD21B2">
        <w:rPr>
          <w:rFonts w:ascii="Times New Roman" w:hAnsi="Times New Roman" w:eastAsia="Arial Unicode MS" w:cs="Times New Roman"/>
          <w:sz w:val="24"/>
          <w:szCs w:val="24"/>
          <w:lang w:val="es-PE" w:eastAsia="ar-SA"/>
        </w:rPr>
        <w:t xml:space="preserve"> </w:t>
      </w:r>
      <w:r w:rsidRPr="000700BB" w:rsidR="00707C99">
        <w:rPr>
          <w:rFonts w:ascii="Times New Roman" w:hAnsi="Times New Roman" w:eastAsia="Arial Unicode MS" w:cs="Times New Roman"/>
          <w:sz w:val="24"/>
          <w:szCs w:val="24"/>
          <w:lang w:val="es-PE" w:eastAsia="ar-SA"/>
        </w:rPr>
        <w:t>de</w:t>
      </w:r>
      <w:r w:rsidRPr="000700BB" w:rsidR="00864B0B">
        <w:rPr>
          <w:rFonts w:ascii="Times New Roman" w:hAnsi="Times New Roman" w:eastAsia="Arial Unicode MS" w:cs="Times New Roman"/>
          <w:sz w:val="24"/>
          <w:szCs w:val="24"/>
          <w:lang w:val="es-PE" w:eastAsia="ar-SA"/>
        </w:rPr>
        <w:t xml:space="preserve"> </w:t>
      </w:r>
      <w:r w:rsidRPr="000700BB" w:rsidR="00FD35C4">
        <w:rPr>
          <w:rFonts w:ascii="Times New Roman" w:hAnsi="Times New Roman" w:eastAsia="Arial Unicode MS" w:cs="Times New Roman"/>
          <w:sz w:val="24"/>
          <w:szCs w:val="24"/>
          <w:lang w:val="es-PE" w:eastAsia="ar-SA"/>
        </w:rPr>
        <w:t>octubre</w:t>
      </w:r>
      <w:r w:rsidRPr="000700BB" w:rsidR="00F06498">
        <w:rPr>
          <w:rFonts w:ascii="Times New Roman" w:hAnsi="Times New Roman" w:eastAsia="Arial Unicode MS" w:cs="Times New Roman"/>
          <w:sz w:val="24"/>
          <w:szCs w:val="24"/>
          <w:lang w:val="es-PE" w:eastAsia="ar-SA"/>
        </w:rPr>
        <w:t xml:space="preserve"> de 202</w:t>
      </w:r>
      <w:r w:rsidRPr="000700BB" w:rsidR="00231C58">
        <w:rPr>
          <w:rFonts w:ascii="Times New Roman" w:hAnsi="Times New Roman" w:eastAsia="Arial Unicode MS" w:cs="Times New Roman"/>
          <w:sz w:val="24"/>
          <w:szCs w:val="24"/>
          <w:lang w:val="es-PE" w:eastAsia="ar-SA"/>
        </w:rPr>
        <w:t>1</w:t>
      </w:r>
      <w:r w:rsidRPr="000700BB" w:rsidR="00707C99">
        <w:rPr>
          <w:rFonts w:ascii="Times New Roman" w:hAnsi="Times New Roman" w:eastAsia="Times New Roman" w:cs="Times New Roman"/>
          <w:sz w:val="24"/>
          <w:szCs w:val="24"/>
          <w:lang w:val="es-PE" w:eastAsia="ar-SA"/>
        </w:rPr>
        <w:t xml:space="preserve"> </w:t>
      </w:r>
    </w:p>
    <w:p w:rsidRPr="000700BB"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700BB"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0700BB">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700BB" w:rsidR="00C671F5" w:rsidP="004A374A" w:rsidRDefault="00C671F5" w14:paraId="3408E6CE" w14:textId="34A8A6C1">
      <w:pPr>
        <w:spacing w:after="0" w:line="240" w:lineRule="auto"/>
        <w:jc w:val="both"/>
        <w:rPr>
          <w:rFonts w:ascii="Times New Roman" w:hAnsi="Times New Roman" w:cs="Times New Roman"/>
          <w:b/>
          <w:bCs/>
          <w:i/>
          <w:iCs/>
          <w:sz w:val="24"/>
          <w:szCs w:val="24"/>
          <w:lang w:val="es-PE"/>
        </w:rPr>
      </w:pPr>
    </w:p>
    <w:p w:rsidRPr="00FB0C48" w:rsidR="009F00E9" w:rsidP="009F00E9" w:rsidRDefault="009F00E9" w14:paraId="26F325CD" w14:textId="77777777">
      <w:pPr>
        <w:spacing w:after="0" w:line="360" w:lineRule="auto"/>
        <w:jc w:val="center"/>
        <w:rPr>
          <w:rFonts w:ascii="Times New Roman" w:hAnsi="Times New Roman" w:cs="Times New Roman"/>
          <w:b/>
          <w:bCs/>
          <w:sz w:val="24"/>
          <w:szCs w:val="24"/>
          <w:lang w:val="es-PE"/>
        </w:rPr>
      </w:pPr>
      <w:r w:rsidRPr="00FB0C48">
        <w:rPr>
          <w:rFonts w:ascii="Times New Roman" w:hAnsi="Times New Roman" w:cs="Times New Roman"/>
          <w:b/>
          <w:bCs/>
          <w:sz w:val="24"/>
          <w:szCs w:val="24"/>
          <w:lang w:val="es-PE"/>
        </w:rPr>
        <w:t>Rolando Eyzaguirre Maccan – Presidente</w:t>
      </w:r>
    </w:p>
    <w:p w:rsidRPr="00FB0C48" w:rsidR="009F00E9" w:rsidP="009F00E9" w:rsidRDefault="009F00E9" w14:paraId="58FDEFC1" w14:textId="77777777">
      <w:pPr>
        <w:spacing w:after="0" w:line="360" w:lineRule="auto"/>
        <w:jc w:val="center"/>
        <w:rPr>
          <w:rFonts w:ascii="Times New Roman" w:hAnsi="Times New Roman" w:cs="Times New Roman"/>
          <w:b/>
          <w:bCs/>
          <w:sz w:val="24"/>
          <w:szCs w:val="24"/>
          <w:lang w:val="es-PE"/>
        </w:rPr>
      </w:pPr>
      <w:r w:rsidRPr="00FB0C48">
        <w:rPr>
          <w:rFonts w:ascii="Times New Roman" w:hAnsi="Times New Roman" w:cs="Times New Roman"/>
          <w:b/>
          <w:bCs/>
          <w:sz w:val="24"/>
          <w:szCs w:val="24"/>
          <w:lang w:val="es-PE"/>
        </w:rPr>
        <w:t>María Eugenia Valdez Fernández Baca– Vocal</w:t>
      </w:r>
    </w:p>
    <w:p w:rsidRPr="00FB0C48" w:rsidR="009F00E9" w:rsidP="009F00E9" w:rsidRDefault="009F00E9" w14:paraId="20E3A77E" w14:textId="77777777">
      <w:pPr>
        <w:spacing w:after="0" w:line="360" w:lineRule="auto"/>
        <w:jc w:val="center"/>
        <w:rPr>
          <w:rFonts w:ascii="Times New Roman" w:hAnsi="Times New Roman" w:cs="Times New Roman"/>
          <w:sz w:val="24"/>
          <w:szCs w:val="24"/>
          <w:lang w:val="es-PE"/>
        </w:rPr>
      </w:pPr>
      <w:r w:rsidRPr="00FB0C48">
        <w:rPr>
          <w:rFonts w:ascii="Times New Roman" w:hAnsi="Times New Roman" w:cs="Times New Roman"/>
          <w:b/>
          <w:bCs/>
          <w:sz w:val="24"/>
          <w:szCs w:val="24"/>
          <w:lang w:val="es-PE"/>
        </w:rPr>
        <w:t>Marco Antonio Ortega Piana – Vocal</w:t>
      </w:r>
    </w:p>
    <w:p w:rsidRPr="00FB0C48" w:rsidR="009F00E9" w:rsidP="009F00E9" w:rsidRDefault="009F00E9" w14:paraId="589D4139" w14:textId="77777777">
      <w:pPr>
        <w:spacing w:after="0" w:line="360" w:lineRule="auto"/>
        <w:jc w:val="center"/>
        <w:rPr>
          <w:rFonts w:ascii="Times New Roman" w:hAnsi="Times New Roman" w:cs="Times New Roman"/>
          <w:sz w:val="24"/>
          <w:szCs w:val="24"/>
          <w:lang w:val="es-PE"/>
        </w:rPr>
      </w:pPr>
      <w:r w:rsidRPr="00FB0C48">
        <w:rPr>
          <w:rFonts w:ascii="Times New Roman" w:hAnsi="Times New Roman" w:cs="Times New Roman"/>
          <w:b/>
          <w:bCs/>
          <w:sz w:val="24"/>
          <w:szCs w:val="24"/>
          <w:lang w:val="es-PE"/>
        </w:rPr>
        <w:t>Gonzalo Abad del Busto – Vocal</w:t>
      </w:r>
    </w:p>
    <w:p w:rsidRPr="000700BB" w:rsidR="00C671F5" w:rsidP="004A374A"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0700BB"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0700BB"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4668B" w:rsidP="00784355" w:rsidRDefault="0094668B" w14:paraId="22B8E6D4" w14:textId="77777777">
      <w:pPr>
        <w:spacing w:after="0" w:line="240" w:lineRule="auto"/>
      </w:pPr>
      <w:r>
        <w:separator/>
      </w:r>
    </w:p>
  </w:endnote>
  <w:endnote w:type="continuationSeparator" w:id="0">
    <w:p w:rsidR="0094668B" w:rsidP="00784355" w:rsidRDefault="0094668B" w14:paraId="765C1B8D" w14:textId="77777777">
      <w:pPr>
        <w:spacing w:after="0" w:line="240" w:lineRule="auto"/>
      </w:pPr>
      <w:r>
        <w:continuationSeparator/>
      </w:r>
    </w:p>
  </w:endnote>
  <w:endnote w:type="continuationNotice" w:id="1">
    <w:p w:rsidR="0094668B" w:rsidRDefault="0094668B" w14:paraId="17DD97A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4668B" w:rsidP="00784355" w:rsidRDefault="0094668B" w14:paraId="1F2B115A" w14:textId="77777777">
      <w:pPr>
        <w:spacing w:after="0" w:line="240" w:lineRule="auto"/>
      </w:pPr>
      <w:r>
        <w:separator/>
      </w:r>
    </w:p>
  </w:footnote>
  <w:footnote w:type="continuationSeparator" w:id="0">
    <w:p w:rsidR="0094668B" w:rsidP="00784355" w:rsidRDefault="0094668B" w14:paraId="49B556EC" w14:textId="77777777">
      <w:pPr>
        <w:spacing w:after="0" w:line="240" w:lineRule="auto"/>
      </w:pPr>
      <w:r>
        <w:continuationSeparator/>
      </w:r>
    </w:p>
  </w:footnote>
  <w:footnote w:type="continuationNotice" w:id="1">
    <w:p w:rsidR="0094668B" w:rsidRDefault="0094668B" w14:paraId="10C016C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3096C70"/>
    <w:multiLevelType w:val="hybridMultilevel"/>
    <w:tmpl w:val="FCBE89E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45DA"/>
    <w:rsid w:val="00037922"/>
    <w:rsid w:val="0004480C"/>
    <w:rsid w:val="0004492D"/>
    <w:rsid w:val="00053D16"/>
    <w:rsid w:val="00056D9F"/>
    <w:rsid w:val="00062040"/>
    <w:rsid w:val="00063183"/>
    <w:rsid w:val="0006548C"/>
    <w:rsid w:val="000700BB"/>
    <w:rsid w:val="00070DB6"/>
    <w:rsid w:val="00071A25"/>
    <w:rsid w:val="00072C60"/>
    <w:rsid w:val="000752E4"/>
    <w:rsid w:val="0007539A"/>
    <w:rsid w:val="00076E73"/>
    <w:rsid w:val="00077B6F"/>
    <w:rsid w:val="00080A9A"/>
    <w:rsid w:val="00080E45"/>
    <w:rsid w:val="000821DC"/>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0AB4"/>
    <w:rsid w:val="00181908"/>
    <w:rsid w:val="00181DCE"/>
    <w:rsid w:val="00187BFD"/>
    <w:rsid w:val="001A008A"/>
    <w:rsid w:val="001A3395"/>
    <w:rsid w:val="001A44E1"/>
    <w:rsid w:val="001B1E59"/>
    <w:rsid w:val="001B58A3"/>
    <w:rsid w:val="001D0EED"/>
    <w:rsid w:val="001D59D9"/>
    <w:rsid w:val="001D6136"/>
    <w:rsid w:val="001E119C"/>
    <w:rsid w:val="001E3313"/>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15FE"/>
    <w:rsid w:val="002F35F0"/>
    <w:rsid w:val="002F3B75"/>
    <w:rsid w:val="003045E3"/>
    <w:rsid w:val="00310DD6"/>
    <w:rsid w:val="00313D12"/>
    <w:rsid w:val="0032132E"/>
    <w:rsid w:val="0032345B"/>
    <w:rsid w:val="00326A2F"/>
    <w:rsid w:val="0033211B"/>
    <w:rsid w:val="003360D2"/>
    <w:rsid w:val="00340E4B"/>
    <w:rsid w:val="00345DF0"/>
    <w:rsid w:val="00345F7F"/>
    <w:rsid w:val="00347D7E"/>
    <w:rsid w:val="00353092"/>
    <w:rsid w:val="003544B1"/>
    <w:rsid w:val="003557A0"/>
    <w:rsid w:val="00357D70"/>
    <w:rsid w:val="00362449"/>
    <w:rsid w:val="00364E0F"/>
    <w:rsid w:val="003657C9"/>
    <w:rsid w:val="00366842"/>
    <w:rsid w:val="00367746"/>
    <w:rsid w:val="00374B0E"/>
    <w:rsid w:val="00377D5A"/>
    <w:rsid w:val="0038167C"/>
    <w:rsid w:val="0038290F"/>
    <w:rsid w:val="00385B6E"/>
    <w:rsid w:val="00387D06"/>
    <w:rsid w:val="00391F72"/>
    <w:rsid w:val="00392259"/>
    <w:rsid w:val="003924AA"/>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2772"/>
    <w:rsid w:val="00403814"/>
    <w:rsid w:val="004049B9"/>
    <w:rsid w:val="004060E9"/>
    <w:rsid w:val="00414F05"/>
    <w:rsid w:val="0041626C"/>
    <w:rsid w:val="00417E23"/>
    <w:rsid w:val="004210F7"/>
    <w:rsid w:val="00425F75"/>
    <w:rsid w:val="00431D81"/>
    <w:rsid w:val="00440BC2"/>
    <w:rsid w:val="00444232"/>
    <w:rsid w:val="00460C30"/>
    <w:rsid w:val="00465FB9"/>
    <w:rsid w:val="00466302"/>
    <w:rsid w:val="0047370C"/>
    <w:rsid w:val="0047522D"/>
    <w:rsid w:val="00476394"/>
    <w:rsid w:val="00476BA1"/>
    <w:rsid w:val="00482259"/>
    <w:rsid w:val="00496A1A"/>
    <w:rsid w:val="004A374A"/>
    <w:rsid w:val="004A3E25"/>
    <w:rsid w:val="004A690A"/>
    <w:rsid w:val="004B51ED"/>
    <w:rsid w:val="004C51EC"/>
    <w:rsid w:val="004C6983"/>
    <w:rsid w:val="004D2A2A"/>
    <w:rsid w:val="004D6978"/>
    <w:rsid w:val="004E65DD"/>
    <w:rsid w:val="004F549E"/>
    <w:rsid w:val="00504C79"/>
    <w:rsid w:val="00517CFF"/>
    <w:rsid w:val="005201E9"/>
    <w:rsid w:val="00521B4C"/>
    <w:rsid w:val="0052202A"/>
    <w:rsid w:val="00522E2A"/>
    <w:rsid w:val="005259E7"/>
    <w:rsid w:val="005265A5"/>
    <w:rsid w:val="00527B27"/>
    <w:rsid w:val="00530698"/>
    <w:rsid w:val="005316B2"/>
    <w:rsid w:val="00531BEE"/>
    <w:rsid w:val="005323A2"/>
    <w:rsid w:val="005335EE"/>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32285"/>
    <w:rsid w:val="006442E0"/>
    <w:rsid w:val="0064607A"/>
    <w:rsid w:val="00652672"/>
    <w:rsid w:val="006543D4"/>
    <w:rsid w:val="0065542B"/>
    <w:rsid w:val="0065594D"/>
    <w:rsid w:val="00655A90"/>
    <w:rsid w:val="00655BA3"/>
    <w:rsid w:val="00657AD2"/>
    <w:rsid w:val="006672C4"/>
    <w:rsid w:val="00671DB5"/>
    <w:rsid w:val="00676B0D"/>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3E14"/>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4334E"/>
    <w:rsid w:val="008523F5"/>
    <w:rsid w:val="008548F9"/>
    <w:rsid w:val="008552E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8B"/>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3B7"/>
    <w:rsid w:val="009A7E68"/>
    <w:rsid w:val="009B29C9"/>
    <w:rsid w:val="009B4291"/>
    <w:rsid w:val="009C1066"/>
    <w:rsid w:val="009C1372"/>
    <w:rsid w:val="009C5373"/>
    <w:rsid w:val="009C6404"/>
    <w:rsid w:val="009C7C2B"/>
    <w:rsid w:val="009D3B98"/>
    <w:rsid w:val="009D6055"/>
    <w:rsid w:val="009E5F11"/>
    <w:rsid w:val="009E7994"/>
    <w:rsid w:val="009E7FDD"/>
    <w:rsid w:val="009F00E9"/>
    <w:rsid w:val="009F143B"/>
    <w:rsid w:val="009F2EEB"/>
    <w:rsid w:val="009F3DD4"/>
    <w:rsid w:val="00A02104"/>
    <w:rsid w:val="00A02270"/>
    <w:rsid w:val="00A038CF"/>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0968"/>
    <w:rsid w:val="00B45C2D"/>
    <w:rsid w:val="00B55984"/>
    <w:rsid w:val="00B56649"/>
    <w:rsid w:val="00B625F2"/>
    <w:rsid w:val="00B663DC"/>
    <w:rsid w:val="00B710D8"/>
    <w:rsid w:val="00B727A3"/>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19ED"/>
    <w:rsid w:val="00C32068"/>
    <w:rsid w:val="00C33FEF"/>
    <w:rsid w:val="00C35DA4"/>
    <w:rsid w:val="00C361E6"/>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49D"/>
    <w:rsid w:val="00D35EC2"/>
    <w:rsid w:val="00D4253A"/>
    <w:rsid w:val="00D50B42"/>
    <w:rsid w:val="00D56F67"/>
    <w:rsid w:val="00D57228"/>
    <w:rsid w:val="00D61C6D"/>
    <w:rsid w:val="00D64034"/>
    <w:rsid w:val="00D67860"/>
    <w:rsid w:val="00D67F30"/>
    <w:rsid w:val="00D73109"/>
    <w:rsid w:val="00D76C43"/>
    <w:rsid w:val="00D810EC"/>
    <w:rsid w:val="00D835B6"/>
    <w:rsid w:val="00D84464"/>
    <w:rsid w:val="00DA0540"/>
    <w:rsid w:val="00DA2840"/>
    <w:rsid w:val="00DA4030"/>
    <w:rsid w:val="00DB15FD"/>
    <w:rsid w:val="00DB58EC"/>
    <w:rsid w:val="00DC399B"/>
    <w:rsid w:val="00DD21B2"/>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015"/>
    <w:rsid w:val="00E73DEF"/>
    <w:rsid w:val="00E80D65"/>
    <w:rsid w:val="00E865E7"/>
    <w:rsid w:val="00EA4C4B"/>
    <w:rsid w:val="00EA77BE"/>
    <w:rsid w:val="00EB38E7"/>
    <w:rsid w:val="00EC19C1"/>
    <w:rsid w:val="00EC7271"/>
    <w:rsid w:val="00ED291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4B58"/>
    <w:rsid w:val="00F97EA2"/>
    <w:rsid w:val="00FA155E"/>
    <w:rsid w:val="00FA2322"/>
    <w:rsid w:val="00FB0C48"/>
    <w:rsid w:val="00FB4B0C"/>
    <w:rsid w:val="00FC0D10"/>
    <w:rsid w:val="00FC1934"/>
    <w:rsid w:val="00FC382A"/>
    <w:rsid w:val="00FD35C4"/>
    <w:rsid w:val="00FE2121"/>
    <w:rsid w:val="00FE38F0"/>
    <w:rsid w:val="00FE43A9"/>
    <w:rsid w:val="00FF41F3"/>
    <w:rsid w:val="30BF0F38"/>
    <w:rsid w:val="54E518C0"/>
    <w:rsid w:val="5A975AF7"/>
    <w:rsid w:val="5C4F2A79"/>
    <w:rsid w:val="6C899834"/>
    <w:rsid w:val="74F6FF29"/>
    <w:rsid w:val="753464A1"/>
    <w:rsid w:val="7E2B1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447822248">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766273731">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1896088095">
      <w:bodyDiv w:val="1"/>
      <w:marLeft w:val="0"/>
      <w:marRight w:val="0"/>
      <w:marTop w:val="0"/>
      <w:marBottom w:val="0"/>
      <w:divBdr>
        <w:top w:val="none" w:sz="0" w:space="0" w:color="auto"/>
        <w:left w:val="none" w:sz="0" w:space="0" w:color="auto"/>
        <w:bottom w:val="none" w:sz="0" w:space="0" w:color="auto"/>
        <w:right w:val="none" w:sz="0" w:space="0" w:color="auto"/>
      </w:divBdr>
    </w:div>
    <w:div w:id="1945065298">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ab37cb7b6b9c4c47" Type="http://schemas.openxmlformats.org/officeDocument/2006/relationships/hyperlink" Target="http://www.defaseg.com.pe/reglament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8716690-C1CF-43C1-8A6C-E8EF7FF2BFDF}"/>
</file>

<file path=customXml/itemProps3.xml><?xml version="1.0" encoding="utf-8"?>
<ds:datastoreItem xmlns:ds="http://schemas.openxmlformats.org/officeDocument/2006/customXml" ds:itemID="{91D5637A-4FB7-4385-BD5D-205E32097C38}"/>
</file>

<file path=customXml/itemProps4.xml><?xml version="1.0" encoding="utf-8"?>
<ds:datastoreItem xmlns:ds="http://schemas.openxmlformats.org/officeDocument/2006/customXml" ds:itemID="{FDF2B367-61B8-4E9D-9187-5DC6050A166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105</cp:revision>
  <cp:lastPrinted>2021-10-18T14:40:00Z</cp:lastPrinted>
  <dcterms:created xsi:type="dcterms:W3CDTF">2020-12-18T20:17:00Z</dcterms:created>
  <dcterms:modified xsi:type="dcterms:W3CDTF">2026-02-04T20:21:14Z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