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30CF2" w:rsidR="00EF0B7F" w:rsidP="00EF0B7F" w:rsidRDefault="00201C0D" w14:paraId="632C635A" w14:textId="55891308">
      <w:pPr>
        <w:pStyle w:val="Ttulo2"/>
        <w:jc w:val="center"/>
        <w:rPr>
          <w:rFonts w:ascii="Times New Roman" w:hAnsi="Times New Roman" w:cs="Times New Roman"/>
          <w:b/>
          <w:bCs/>
          <w:color w:val="auto"/>
          <w:sz w:val="24"/>
          <w:szCs w:val="24"/>
          <w:lang w:val="es-PE" w:eastAsia="ar-SA"/>
        </w:rPr>
      </w:pPr>
      <w:r w:rsidRPr="00D30CF2">
        <w:rPr>
          <w:rFonts w:ascii="Times New Roman" w:hAnsi="Times New Roman" w:cs="Times New Roman"/>
          <w:b/>
          <w:bCs/>
          <w:color w:val="auto"/>
          <w:sz w:val="24"/>
          <w:szCs w:val="24"/>
          <w:lang w:val="es-PE" w:eastAsia="ar-SA"/>
        </w:rPr>
        <w:t xml:space="preserve">RESOLUCIÓN DE RECURSO IMPUGNATIVO </w:t>
      </w:r>
      <w:proofErr w:type="spellStart"/>
      <w:r w:rsidRPr="00D30CF2" w:rsidR="00707C99">
        <w:rPr>
          <w:rFonts w:ascii="Times New Roman" w:hAnsi="Times New Roman" w:cs="Times New Roman"/>
          <w:b/>
          <w:bCs/>
          <w:color w:val="auto"/>
          <w:sz w:val="24"/>
          <w:szCs w:val="24"/>
          <w:lang w:val="es-PE" w:eastAsia="ar-SA"/>
        </w:rPr>
        <w:t>N°</w:t>
      </w:r>
      <w:proofErr w:type="spellEnd"/>
      <w:r w:rsidRPr="00D30CF2" w:rsidR="00707C99">
        <w:rPr>
          <w:rFonts w:ascii="Times New Roman" w:hAnsi="Times New Roman" w:cs="Times New Roman"/>
          <w:b/>
          <w:bCs/>
          <w:color w:val="auto"/>
          <w:sz w:val="24"/>
          <w:szCs w:val="24"/>
          <w:lang w:val="es-PE" w:eastAsia="ar-SA"/>
        </w:rPr>
        <w:t xml:space="preserve"> </w:t>
      </w:r>
      <w:r w:rsidRPr="00D30CF2" w:rsidR="00C671F5">
        <w:rPr>
          <w:rFonts w:ascii="Times New Roman" w:hAnsi="Times New Roman" w:cs="Times New Roman"/>
          <w:b/>
          <w:bCs/>
          <w:color w:val="auto"/>
          <w:sz w:val="24"/>
          <w:szCs w:val="24"/>
          <w:lang w:val="es-PE" w:eastAsia="ar-SA"/>
        </w:rPr>
        <w:t>0</w:t>
      </w:r>
      <w:r w:rsidRPr="00D30CF2" w:rsidR="00DD21B2">
        <w:rPr>
          <w:rFonts w:ascii="Times New Roman" w:hAnsi="Times New Roman" w:cs="Times New Roman"/>
          <w:b/>
          <w:bCs/>
          <w:color w:val="auto"/>
          <w:sz w:val="24"/>
          <w:szCs w:val="24"/>
          <w:lang w:val="es-PE" w:eastAsia="ar-SA"/>
        </w:rPr>
        <w:t>5</w:t>
      </w:r>
      <w:r w:rsidRPr="00D30CF2" w:rsidR="0040073D">
        <w:rPr>
          <w:rFonts w:ascii="Times New Roman" w:hAnsi="Times New Roman" w:cs="Times New Roman"/>
          <w:b/>
          <w:bCs/>
          <w:color w:val="auto"/>
          <w:sz w:val="24"/>
          <w:szCs w:val="24"/>
          <w:lang w:val="es-PE" w:eastAsia="ar-SA"/>
        </w:rPr>
        <w:t>9</w:t>
      </w:r>
      <w:r w:rsidRPr="00D30CF2" w:rsidR="00517CFF">
        <w:rPr>
          <w:rFonts w:ascii="Times New Roman" w:hAnsi="Times New Roman" w:cs="Times New Roman"/>
          <w:b/>
          <w:bCs/>
          <w:color w:val="auto"/>
          <w:sz w:val="24"/>
          <w:szCs w:val="24"/>
          <w:lang w:val="es-PE" w:eastAsia="ar-SA"/>
        </w:rPr>
        <w:t>/</w:t>
      </w:r>
      <w:r w:rsidRPr="00D30CF2" w:rsidR="00C671F5">
        <w:rPr>
          <w:rFonts w:ascii="Times New Roman" w:hAnsi="Times New Roman" w:cs="Times New Roman"/>
          <w:b/>
          <w:bCs/>
          <w:color w:val="auto"/>
          <w:sz w:val="24"/>
          <w:szCs w:val="24"/>
          <w:lang w:val="es-PE" w:eastAsia="ar-SA"/>
        </w:rPr>
        <w:t>2</w:t>
      </w:r>
      <w:r w:rsidRPr="00D30CF2" w:rsidR="00231C58">
        <w:rPr>
          <w:rFonts w:ascii="Times New Roman" w:hAnsi="Times New Roman" w:cs="Times New Roman"/>
          <w:b/>
          <w:bCs/>
          <w:color w:val="auto"/>
          <w:sz w:val="24"/>
          <w:szCs w:val="24"/>
          <w:lang w:val="es-PE" w:eastAsia="ar-SA"/>
        </w:rPr>
        <w:t>1</w:t>
      </w:r>
    </w:p>
    <w:p w:rsidRPr="00D30CF2" w:rsidR="00D30CF2" w:rsidP="00D30CF2" w:rsidRDefault="00D30CF2" w14:paraId="13ACC547" w14:textId="77777777">
      <w:pPr>
        <w:rPr>
          <w:rFonts w:ascii="Times New Roman" w:hAnsi="Times New Roman" w:cs="Times New Roman"/>
          <w:b/>
          <w:bCs/>
          <w:sz w:val="24"/>
          <w:szCs w:val="24"/>
          <w:lang w:val="es-MX"/>
        </w:rPr>
      </w:pPr>
    </w:p>
    <w:p w:rsidRPr="00D30CF2" w:rsidR="00D30CF2" w:rsidP="00432D66" w:rsidRDefault="00D30CF2" w14:paraId="68ACA188" w14:textId="27C36226">
      <w:pPr>
        <w:jc w:val="both"/>
        <w:outlineLvl w:val="0"/>
        <w:rPr>
          <w:rFonts w:ascii="Times New Roman" w:hAnsi="Times New Roman" w:cs="Times New Roman"/>
          <w:b/>
          <w:bCs/>
          <w:sz w:val="24"/>
          <w:szCs w:val="24"/>
          <w:lang w:val="es-MX"/>
        </w:rPr>
      </w:pPr>
      <w:r w:rsidRPr="00D30CF2">
        <w:rPr>
          <w:rFonts w:ascii="Times New Roman" w:hAnsi="Times New Roman" w:cs="Times New Roman"/>
          <w:b/>
          <w:bCs/>
          <w:sz w:val="24"/>
          <w:szCs w:val="24"/>
          <w:lang w:val="es-MX"/>
        </w:rPr>
        <w:t>VISTOS:</w:t>
      </w:r>
    </w:p>
    <w:p w:rsidR="00D30CF2" w:rsidP="00432D66" w:rsidRDefault="00D30CF2" w14:paraId="2ACD06F6" w14:textId="626370C5">
      <w:pPr>
        <w:pStyle w:val="Default"/>
        <w:jc w:val="both"/>
        <w:rPr>
          <w:rFonts w:ascii="Times New Roman" w:hAnsi="Times New Roman" w:cs="Times New Roman"/>
        </w:rPr>
      </w:pPr>
      <w:r w:rsidRPr="027686A7" w:rsidR="00D30CF2">
        <w:rPr>
          <w:rFonts w:ascii="Times New Roman" w:hAnsi="Times New Roman" w:cs="Times New Roman"/>
        </w:rPr>
        <w:t xml:space="preserve">El recurso de impugnación presentado por </w:t>
      </w:r>
      <w:r w:rsidRPr="027686A7" w:rsidR="4741C3E4">
        <w:rPr>
          <w:rFonts w:ascii="Times New Roman" w:hAnsi="Times New Roman" w:cs="Times New Roman"/>
        </w:rPr>
        <w:t>..................................................</w:t>
      </w:r>
      <w:r w:rsidRPr="027686A7" w:rsidR="00D30CF2">
        <w:rPr>
          <w:rFonts w:ascii="Times New Roman" w:hAnsi="Times New Roman" w:cs="Times New Roman"/>
        </w:rPr>
        <w:t xml:space="preserve"> respecto de la Resolución Nro. 122/21, expedida por el Órgano Resolutivo Unipersonal de esta Defensoría del Asegurado (DEFASEG), conforme a la cual se declaró FUNDADA la reclamación interpuesta por </w:t>
      </w:r>
      <w:r w:rsidRPr="027686A7" w:rsidR="5045186B">
        <w:rPr>
          <w:rFonts w:ascii="Times New Roman" w:hAnsi="Times New Roman" w:cs="Times New Roman"/>
        </w:rPr>
        <w:t>..................................................</w:t>
      </w:r>
      <w:r w:rsidRPr="027686A7" w:rsidR="00D30CF2">
        <w:rPr>
          <w:rFonts w:ascii="Times New Roman" w:hAnsi="Times New Roman" w:cs="Times New Roman"/>
        </w:rPr>
        <w:t xml:space="preserve"> respecto al SEGURO DE PROTECCIÓN DE TARJETA </w:t>
      </w:r>
      <w:r w:rsidRPr="027686A7" w:rsidR="7EBCE575">
        <w:rPr>
          <w:rFonts w:ascii="Times New Roman" w:hAnsi="Times New Roman" w:cs="Times New Roman"/>
        </w:rPr>
        <w:t>.......................</w:t>
      </w:r>
      <w:r w:rsidRPr="027686A7" w:rsidR="00D30CF2">
        <w:rPr>
          <w:rFonts w:ascii="Times New Roman" w:hAnsi="Times New Roman" w:cs="Times New Roman"/>
        </w:rPr>
        <w:t>;</w:t>
      </w:r>
    </w:p>
    <w:p w:rsidRPr="00D30CF2" w:rsidR="00432D66" w:rsidP="00432D66" w:rsidRDefault="00432D66" w14:paraId="743EB4C2" w14:textId="77777777">
      <w:pPr>
        <w:pStyle w:val="Default"/>
        <w:jc w:val="both"/>
        <w:rPr>
          <w:rFonts w:ascii="Times New Roman" w:hAnsi="Times New Roman" w:cs="Times New Roman"/>
        </w:rPr>
      </w:pPr>
    </w:p>
    <w:p w:rsidR="00D30CF2" w:rsidP="00432D66" w:rsidRDefault="00D30CF2" w14:paraId="4AB10DBC" w14:textId="50B808B8">
      <w:pPr>
        <w:pStyle w:val="Textoindependiente"/>
        <w:rPr>
          <w:color w:val="000000"/>
          <w:lang w:val="es-PE" w:eastAsia="es-PE"/>
        </w:rPr>
      </w:pPr>
      <w:r w:rsidR="00D30CF2">
        <w:rPr/>
        <w:t xml:space="preserve">Que, el indicado recurso se sustenta resumidamente en lo siguiente: (1) el asegurado </w:t>
      </w:r>
      <w:r w:rsidRPr="027686A7" w:rsidR="00D30CF2">
        <w:rPr>
          <w:color w:val="000000" w:themeColor="text1" w:themeTint="FF" w:themeShade="FF"/>
          <w:lang w:val="es-PE" w:eastAsia="es-PE"/>
        </w:rPr>
        <w:t xml:space="preserve">siempre mantuvo consigo su tarjeta de crédito, en </w:t>
      </w:r>
      <w:r w:rsidRPr="027686A7" w:rsidR="00D30CF2">
        <w:rPr>
          <w:lang w:val="es-PE" w:eastAsia="es-PE"/>
        </w:rPr>
        <w:t xml:space="preserve">tal sentido, al haber el Banco </w:t>
      </w:r>
      <w:r w:rsidRPr="027686A7" w:rsidR="7EBCE575">
        <w:rPr>
          <w:lang w:val="es-PE" w:eastAsia="es-PE"/>
        </w:rPr>
        <w:t>.......................</w:t>
      </w:r>
      <w:r w:rsidRPr="027686A7" w:rsidR="00D30CF2">
        <w:rPr>
          <w:lang w:val="es-PE" w:eastAsia="es-PE"/>
        </w:rPr>
        <w:t xml:space="preserve"> confirmado que las operaciones no reconocidas por el reclamante fueron realizadas con presencia de su DNI, clave y Token digital, fue descartada la figura de la clonación o adulteración de su tarjeta; (2) </w:t>
      </w:r>
      <w:r w:rsidRPr="027686A7" w:rsidR="00D30CF2">
        <w:rPr>
          <w:color w:val="000000" w:themeColor="text1" w:themeTint="FF" w:themeShade="FF"/>
          <w:lang w:val="es-PE" w:eastAsia="es-PE"/>
        </w:rPr>
        <w:t xml:space="preserve">las operaciones no reconocidas, reclamadas por el asegurado (transacción del 01 de abril de 2020) se realizó mediante la modalidad de “pago efectivo”, por lo que no podía considerarse una compra por internet vinculada con la cobertura de uso indebido por compra fraudulenta vía internet; (3) bajo la modalidad en la que se efectuó la operación reclamada, la misma no se subsume en alguno de los riesgos descritos en el certificado de seguro; de ahí que no pueda invocarse una obligación de pago de una situación que no forma parte de las coberturas que fueron contratadas; (4) no existe riesgo que calce bajo la cobertura de Uso indebido por compra fraudulenta vía internet, ello conforme a los términos y condiciones del seguro contratado por el reclamante; (5) la operación no reconocida se subsume en la cobertura de Transferencia Patrimonial, toda vez que estas fueron realizadas a través del portal “Pago Efectivo Soles”. </w:t>
      </w:r>
    </w:p>
    <w:p w:rsidRPr="00D30CF2" w:rsidR="00432D66" w:rsidP="00432D66" w:rsidRDefault="00432D66" w14:paraId="7897B62C" w14:textId="77777777">
      <w:pPr>
        <w:pStyle w:val="Textoindependiente"/>
        <w:rPr>
          <w:color w:val="000000"/>
          <w:lang w:val="es-PE" w:eastAsia="es-PE"/>
        </w:rPr>
      </w:pPr>
    </w:p>
    <w:p w:rsidRPr="00D30CF2" w:rsidR="00D30CF2" w:rsidP="00D30CF2" w:rsidRDefault="00D30CF2" w14:paraId="0568BF5D" w14:textId="1444F5B4">
      <w:pPr>
        <w:pStyle w:val="Textoindependiente"/>
        <w:rPr>
          <w:color w:val="000000"/>
          <w:lang w:val="es-PE" w:eastAsia="es-PE"/>
        </w:rPr>
      </w:pPr>
      <w:r w:rsidR="00D30CF2">
        <w:rPr/>
        <w:t xml:space="preserve">Que, el reclamante absolvió el traslado del recurso interpuesto, manifestando en síntesis lo siguiente: (1) </w:t>
      </w:r>
      <w:r w:rsidRPr="027686A7" w:rsidR="00D30CF2">
        <w:rPr>
          <w:color w:val="000000" w:themeColor="text1" w:themeTint="FF" w:themeShade="FF"/>
          <w:lang w:val="es-PE" w:eastAsia="es-PE"/>
        </w:rPr>
        <w:t>las compras que se realizaron a través de su tarjeta de crédito con terminal 1031 con fecha 01 de abril del 2021, fueron a través del portal PAGOEFECTIVO.PE, portal que se encuentra dentro de los “</w:t>
      </w:r>
      <w:r w:rsidRPr="027686A7" w:rsidR="00D30CF2">
        <w:rPr>
          <w:i w:val="1"/>
          <w:iCs w:val="1"/>
          <w:color w:val="000000" w:themeColor="text1" w:themeTint="FF" w:themeShade="FF"/>
          <w:lang w:val="es-PE" w:eastAsia="es-PE"/>
        </w:rPr>
        <w:t xml:space="preserve">medios digitales” </w:t>
      </w:r>
      <w:r w:rsidRPr="027686A7" w:rsidR="00D30CF2">
        <w:rPr>
          <w:color w:val="000000" w:themeColor="text1" w:themeTint="FF" w:themeShade="FF"/>
          <w:lang w:val="es-PE" w:eastAsia="es-PE"/>
        </w:rPr>
        <w:t xml:space="preserve">dentro de la banca del </w:t>
      </w:r>
      <w:r w:rsidRPr="027686A7" w:rsidR="7EBCE575">
        <w:rPr>
          <w:color w:val="000000" w:themeColor="text1" w:themeTint="FF" w:themeShade="FF"/>
          <w:lang w:val="es-PE" w:eastAsia="es-PE"/>
        </w:rPr>
        <w:t>.......................</w:t>
      </w:r>
      <w:r w:rsidRPr="027686A7" w:rsidR="00D30CF2">
        <w:rPr>
          <w:color w:val="000000" w:themeColor="text1" w:themeTint="FF" w:themeShade="FF"/>
          <w:lang w:val="es-PE" w:eastAsia="es-PE"/>
        </w:rPr>
        <w:t>; (2) considera que el siniestro corresponde a la cobertura de “</w:t>
      </w:r>
      <w:r w:rsidRPr="027686A7" w:rsidR="00D30CF2">
        <w:rPr>
          <w:i w:val="1"/>
          <w:iCs w:val="1"/>
          <w:color w:val="000000" w:themeColor="text1" w:themeTint="FF" w:themeShade="FF"/>
          <w:lang w:val="es-PE" w:eastAsia="es-PE"/>
        </w:rPr>
        <w:t xml:space="preserve">Uso Indebido por Compra fraudulenta vía internet (medios digitales) Cubre el monto que representen las compras fraudulentas con la tarjeta de crédito y/o débito </w:t>
      </w:r>
      <w:r w:rsidRPr="027686A7" w:rsidR="7EBCE575">
        <w:rPr>
          <w:i w:val="1"/>
          <w:iCs w:val="1"/>
          <w:color w:val="000000" w:themeColor="text1" w:themeTint="FF" w:themeShade="FF"/>
          <w:lang w:val="es-PE" w:eastAsia="es-PE"/>
        </w:rPr>
        <w:t>.......................</w:t>
      </w:r>
      <w:r w:rsidRPr="027686A7" w:rsidR="00D30CF2">
        <w:rPr>
          <w:i w:val="1"/>
          <w:iCs w:val="1"/>
          <w:color w:val="000000" w:themeColor="text1" w:themeTint="FF" w:themeShade="FF"/>
          <w:lang w:val="es-PE" w:eastAsia="es-PE"/>
        </w:rPr>
        <w:t xml:space="preserve"> sin la autorización y conocimiento del Titular, realizadas hasta 60 días antes de la fecha de bloqueo de la tarjeta involucrada”</w:t>
      </w:r>
      <w:r w:rsidRPr="027686A7" w:rsidR="00D30CF2">
        <w:rPr>
          <w:color w:val="000000" w:themeColor="text1" w:themeTint="FF" w:themeShade="FF"/>
          <w:lang w:val="es-PE" w:eastAsia="es-PE"/>
        </w:rPr>
        <w:t xml:space="preserve">; (3) no se menciona algún tipo de exclusión de su cobertura para ciertos proveedores de servicios o modalidades propias de cualquier proveedor habilitado, que se encuentran en libre disponibilidad dentro de los medios digitales de la banca del </w:t>
      </w:r>
      <w:r w:rsidRPr="027686A7" w:rsidR="7EBCE575">
        <w:rPr>
          <w:color w:val="000000" w:themeColor="text1" w:themeTint="FF" w:themeShade="FF"/>
          <w:lang w:val="es-PE" w:eastAsia="es-PE"/>
        </w:rPr>
        <w:t>.......................</w:t>
      </w:r>
      <w:r w:rsidRPr="027686A7" w:rsidR="00D30CF2">
        <w:rPr>
          <w:color w:val="000000" w:themeColor="text1" w:themeTint="FF" w:themeShade="FF"/>
          <w:lang w:val="es-PE" w:eastAsia="es-PE"/>
        </w:rPr>
        <w:t>; (4) es la figura y la esencia de una adquisición de un producto y/ o servicio a través de sus medios digitales.</w:t>
      </w:r>
    </w:p>
    <w:p w:rsidRPr="00D30CF2" w:rsidR="00D30CF2" w:rsidP="00D30CF2" w:rsidRDefault="00D30CF2" w14:paraId="1E821300" w14:textId="77777777">
      <w:pPr>
        <w:pStyle w:val="Textoindependiente"/>
      </w:pPr>
    </w:p>
    <w:p w:rsidR="00D30CF2" w:rsidP="00432D66" w:rsidRDefault="00D30CF2" w14:paraId="7E4A3FE3" w14:textId="0E18C5E9">
      <w:pPr>
        <w:pStyle w:val="Textoindependiente"/>
        <w:tabs>
          <w:tab w:val="left" w:pos="930"/>
        </w:tabs>
      </w:pPr>
      <w:r w:rsidRPr="00D30CF2">
        <w:t>Que, atendiendo a lo expuesto, esta Defensoría resuelve finalmente lo siguiente:</w:t>
      </w:r>
    </w:p>
    <w:p w:rsidRPr="00432D66" w:rsidR="00432D66" w:rsidP="00432D66" w:rsidRDefault="00432D66" w14:paraId="676D2454" w14:textId="77777777">
      <w:pPr>
        <w:pStyle w:val="Textoindependiente"/>
        <w:tabs>
          <w:tab w:val="left" w:pos="930"/>
        </w:tabs>
      </w:pPr>
    </w:p>
    <w:p w:rsidRPr="00D30CF2" w:rsidR="00D30CF2" w:rsidP="00D30CF2" w:rsidRDefault="00D30CF2" w14:paraId="71B24512" w14:textId="3B05D87D">
      <w:pPr>
        <w:jc w:val="both"/>
        <w:rPr>
          <w:rFonts w:ascii="Times New Roman" w:hAnsi="Times New Roman" w:cs="Times New Roman"/>
          <w:sz w:val="24"/>
          <w:szCs w:val="24"/>
          <w:lang w:val="es-PE"/>
        </w:rPr>
      </w:pPr>
      <w:r w:rsidRPr="00D30CF2">
        <w:rPr>
          <w:rFonts w:ascii="Times New Roman" w:hAnsi="Times New Roman" w:cs="Times New Roman"/>
          <w:b/>
          <w:sz w:val="24"/>
          <w:szCs w:val="24"/>
          <w:u w:val="single"/>
          <w:lang w:val="es-PE"/>
        </w:rPr>
        <w:t>PRIMERO</w:t>
      </w:r>
      <w:r w:rsidRPr="00D30CF2">
        <w:rPr>
          <w:rFonts w:ascii="Times New Roman" w:hAnsi="Times New Roman" w:cs="Times New Roman"/>
          <w:b/>
          <w:sz w:val="24"/>
          <w:szCs w:val="24"/>
          <w:lang w:val="es-PE"/>
        </w:rPr>
        <w:t>:</w:t>
      </w:r>
      <w:r w:rsidRPr="00D30CF2">
        <w:rPr>
          <w:rFonts w:ascii="Times New Roman" w:hAnsi="Times New Roman" w:cs="Times New Roman"/>
          <w:sz w:val="24"/>
          <w:szCs w:val="24"/>
          <w:lang w:val="es-PE"/>
        </w:rPr>
        <w:t xml:space="preserve"> El artículo 10 (Procedimiento) del Reglamento de la DEFASEG </w:t>
      </w:r>
      <w:r w:rsidRPr="00D30CF2">
        <w:rPr>
          <w:rFonts w:ascii="Times New Roman" w:hAnsi="Times New Roman" w:eastAsia="Arial Unicode MS" w:cs="Times New Roman"/>
          <w:sz w:val="24"/>
          <w:szCs w:val="24"/>
          <w:lang w:val="es-PE"/>
        </w:rPr>
        <w:t>(http://www.defaseg.com.pe/reglamento)</w:t>
      </w:r>
      <w:r w:rsidRPr="00D30CF2">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432D66" w:rsidR="00D30CF2" w:rsidP="00432D66" w:rsidRDefault="00D30CF2" w14:paraId="1DC574AE" w14:textId="15D745D2">
      <w:pPr>
        <w:jc w:val="both"/>
        <w:rPr>
          <w:rFonts w:ascii="Times New Roman" w:hAnsi="Times New Roman" w:cs="Times New Roman"/>
          <w:sz w:val="24"/>
          <w:szCs w:val="24"/>
          <w:lang w:val="es-PE"/>
        </w:rPr>
      </w:pPr>
      <w:r w:rsidRPr="00D30CF2">
        <w:rPr>
          <w:rFonts w:ascii="Times New Roman" w:hAnsi="Times New Roman" w:cs="Times New Roman"/>
          <w:sz w:val="24"/>
          <w:szCs w:val="24"/>
          <w:lang w:val="es-PE"/>
        </w:rPr>
        <w:lastRenderedPageBreak/>
        <w:t>Conforme a ello, en el caso concreto, al interponer el recurso de impugnación la aseguradora ha ejercido formalmente su derecho a contradecir lo resuelto por la Defensoría.</w:t>
      </w:r>
    </w:p>
    <w:p w:rsidRPr="00D30CF2" w:rsidR="00D30CF2" w:rsidP="00D30CF2" w:rsidRDefault="00D30CF2" w14:paraId="7077A3A0" w14:textId="01F2BDC4">
      <w:pPr>
        <w:jc w:val="both"/>
        <w:rPr>
          <w:rFonts w:ascii="Times New Roman" w:hAnsi="Times New Roman" w:cs="Times New Roman"/>
          <w:sz w:val="24"/>
          <w:szCs w:val="24"/>
          <w:lang w:val="es-PE"/>
        </w:rPr>
      </w:pPr>
      <w:r w:rsidRPr="00D30CF2">
        <w:rPr>
          <w:rFonts w:ascii="Times New Roman" w:hAnsi="Times New Roman" w:cs="Times New Roman"/>
          <w:b/>
          <w:bCs/>
          <w:sz w:val="24"/>
          <w:szCs w:val="24"/>
          <w:u w:val="single"/>
          <w:lang w:val="es-PE"/>
        </w:rPr>
        <w:t>SEGUNDO</w:t>
      </w:r>
      <w:r w:rsidRPr="00D30CF2">
        <w:rPr>
          <w:rFonts w:ascii="Times New Roman" w:hAnsi="Times New Roman" w:cs="Times New Roman"/>
          <w:b/>
          <w:bCs/>
          <w:sz w:val="24"/>
          <w:szCs w:val="24"/>
          <w:lang w:val="es-PE"/>
        </w:rPr>
        <w:t>:</w:t>
      </w:r>
      <w:r w:rsidRPr="00D30CF2">
        <w:rPr>
          <w:rFonts w:ascii="Times New Roman" w:hAnsi="Times New Roman" w:cs="Times New Roman"/>
          <w:bCs/>
          <w:sz w:val="24"/>
          <w:szCs w:val="24"/>
          <w:lang w:val="es-PE"/>
        </w:rPr>
        <w:t xml:space="preserve"> Que el recurso de impugnación presentado por la aseguradora se sustenta en que, b</w:t>
      </w:r>
      <w:r w:rsidRPr="00D30CF2">
        <w:rPr>
          <w:rFonts w:ascii="Times New Roman" w:hAnsi="Times New Roman" w:cs="Times New Roman"/>
          <w:color w:val="000000"/>
          <w:sz w:val="24"/>
          <w:szCs w:val="24"/>
          <w:lang w:val="es-PE" w:eastAsia="es-PE"/>
        </w:rPr>
        <w:t>ajo la modalidad en la que se efectuó la operación reclamada, la misma no se subsume en la cobertura de “</w:t>
      </w:r>
      <w:r w:rsidRPr="00D30CF2">
        <w:rPr>
          <w:rFonts w:ascii="Times New Roman" w:hAnsi="Times New Roman" w:cs="Times New Roman"/>
          <w:i/>
          <w:iCs/>
          <w:color w:val="000000"/>
          <w:sz w:val="24"/>
          <w:szCs w:val="24"/>
          <w:lang w:val="es-PE" w:eastAsia="es-PE"/>
        </w:rPr>
        <w:t>Uso Indebido por Compra fraudulenta vía internet (medios digitales)”</w:t>
      </w:r>
      <w:r w:rsidRPr="00D30CF2">
        <w:rPr>
          <w:rFonts w:ascii="Times New Roman" w:hAnsi="Times New Roman" w:cs="Times New Roman"/>
          <w:sz w:val="24"/>
          <w:szCs w:val="24"/>
          <w:lang w:val="es-PE"/>
        </w:rPr>
        <w:t>.</w:t>
      </w:r>
    </w:p>
    <w:p w:rsidRPr="00D30CF2" w:rsidR="00D30CF2" w:rsidP="00D30CF2" w:rsidRDefault="00D30CF2" w14:paraId="33B08C44" w14:textId="173EF13E">
      <w:pPr>
        <w:tabs>
          <w:tab w:val="left" w:pos="2160"/>
        </w:tabs>
        <w:jc w:val="both"/>
        <w:rPr>
          <w:rStyle w:val="Textoennegrita"/>
          <w:rFonts w:ascii="Times New Roman" w:hAnsi="Times New Roman" w:cs="Times New Roman"/>
          <w:b w:val="0"/>
          <w:sz w:val="24"/>
          <w:szCs w:val="24"/>
          <w:lang w:val="es-PE"/>
        </w:rPr>
      </w:pPr>
      <w:r w:rsidRPr="00D30CF2">
        <w:rPr>
          <w:rFonts w:ascii="Times New Roman" w:hAnsi="Times New Roman" w:cs="Times New Roman"/>
          <w:sz w:val="24"/>
          <w:szCs w:val="24"/>
          <w:lang w:val="es-PE"/>
        </w:rPr>
        <w:t xml:space="preserve">Sobre el particular, este Colegiado advierte que, la Resolución Nro. 122/21, expedida por el Órgano Resolutivo Unipersonal de esta Defensoría del Asegurado (DEFASEG), se fundamenta en que </w:t>
      </w:r>
      <w:r w:rsidRPr="00D30CF2">
        <w:rPr>
          <w:rStyle w:val="Textoennegrita"/>
          <w:rFonts w:ascii="Times New Roman" w:hAnsi="Times New Roman" w:cs="Times New Roman"/>
          <w:b w:val="0"/>
          <w:sz w:val="24"/>
          <w:szCs w:val="24"/>
          <w:lang w:val="es-PE"/>
        </w:rPr>
        <w:t>se habría configurado el supuesto de hecho que materializa la cobertura</w:t>
      </w:r>
      <w:r w:rsidRPr="00D30CF2">
        <w:rPr>
          <w:rFonts w:ascii="Times New Roman" w:hAnsi="Times New Roman" w:cs="Times New Roman"/>
          <w:sz w:val="24"/>
          <w:szCs w:val="24"/>
          <w:lang w:val="es-MX"/>
        </w:rPr>
        <w:t xml:space="preserve"> de </w:t>
      </w:r>
      <w:r w:rsidRPr="00D30CF2">
        <w:rPr>
          <w:rFonts w:ascii="Times New Roman" w:hAnsi="Times New Roman" w:cs="Times New Roman"/>
          <w:sz w:val="24"/>
          <w:szCs w:val="24"/>
          <w:lang w:val="es-PE"/>
        </w:rPr>
        <w:t>Uso indebido por Compra fraudulenta vía internet (medios digitales)</w:t>
      </w:r>
      <w:r w:rsidRPr="00D30CF2">
        <w:rPr>
          <w:rStyle w:val="Textoennegrita"/>
          <w:rFonts w:ascii="Times New Roman" w:hAnsi="Times New Roman" w:cs="Times New Roman"/>
          <w:b w:val="0"/>
          <w:sz w:val="24"/>
          <w:szCs w:val="24"/>
          <w:lang w:val="es-PE"/>
        </w:rPr>
        <w:t>, lo que comprobaría la existencia de un siniestro que deba ser indemnizado bajo el Seguro contratado.</w:t>
      </w:r>
    </w:p>
    <w:p w:rsidRPr="00D30CF2" w:rsidR="00D30CF2" w:rsidP="00D30CF2" w:rsidRDefault="00D30CF2" w14:paraId="3C86703B" w14:textId="53CC58D4">
      <w:pPr>
        <w:tabs>
          <w:tab w:val="left" w:pos="2160"/>
        </w:tabs>
        <w:jc w:val="both"/>
        <w:rPr>
          <w:rStyle w:val="Textoennegrita"/>
          <w:rFonts w:ascii="Times New Roman" w:hAnsi="Times New Roman" w:cs="Times New Roman"/>
          <w:b w:val="0"/>
          <w:sz w:val="24"/>
          <w:szCs w:val="24"/>
          <w:lang w:val="es-PE"/>
        </w:rPr>
      </w:pPr>
      <w:r w:rsidRPr="00D30CF2">
        <w:rPr>
          <w:rStyle w:val="Textoennegrita"/>
          <w:rFonts w:ascii="Times New Roman" w:hAnsi="Times New Roman" w:cs="Times New Roman"/>
          <w:b w:val="0"/>
          <w:sz w:val="24"/>
          <w:szCs w:val="24"/>
          <w:lang w:val="es-PE"/>
        </w:rPr>
        <w:t>En ese sentido, en vía de impugnación, corresponde que, en el presente caso, el Colegiado verifique si se ha configurado o no el supuesto de hecho que materializa la cobertura en reclamación.</w:t>
      </w:r>
    </w:p>
    <w:p w:rsidRPr="00D30CF2" w:rsidR="00D30CF2" w:rsidP="00432D66" w:rsidRDefault="00D30CF2" w14:paraId="02345852" w14:textId="40973D40">
      <w:pPr>
        <w:tabs>
          <w:tab w:val="left" w:pos="2160"/>
        </w:tabs>
        <w:jc w:val="both"/>
        <w:rPr>
          <w:rFonts w:ascii="Times New Roman" w:hAnsi="Times New Roman" w:cs="Times New Roman"/>
          <w:sz w:val="24"/>
          <w:szCs w:val="24"/>
          <w:lang w:val="es-PE"/>
        </w:rPr>
      </w:pPr>
      <w:r w:rsidRPr="00D30CF2">
        <w:rPr>
          <w:rStyle w:val="Textoennegrita"/>
          <w:rFonts w:ascii="Times New Roman" w:hAnsi="Times New Roman" w:cs="Times New Roman"/>
          <w:b w:val="0"/>
          <w:sz w:val="24"/>
          <w:szCs w:val="24"/>
          <w:lang w:val="es-PE"/>
        </w:rPr>
        <w:t>Conforme a ello, es pertinente tener en cuenta que dicha cobertura es definida literalmente en los siguientes términos:</w:t>
      </w:r>
    </w:p>
    <w:p w:rsidR="00D30CF2" w:rsidP="00D30CF2" w:rsidRDefault="00D30CF2" w14:paraId="2E37C0FF" w14:textId="001E2756">
      <w:pPr>
        <w:numPr>
          <w:ilvl w:val="0"/>
          <w:numId w:val="13"/>
        </w:numPr>
        <w:spacing w:after="0" w:line="240" w:lineRule="auto"/>
        <w:jc w:val="both"/>
        <w:rPr>
          <w:rFonts w:ascii="Times New Roman" w:hAnsi="Times New Roman" w:cs="Times New Roman"/>
          <w:sz w:val="24"/>
          <w:szCs w:val="24"/>
          <w:lang w:val="es-PE"/>
        </w:rPr>
      </w:pPr>
      <w:r w:rsidRPr="027686A7" w:rsidR="00D30CF2">
        <w:rPr>
          <w:rFonts w:ascii="Times New Roman" w:hAnsi="Times New Roman" w:cs="Times New Roman"/>
          <w:sz w:val="24"/>
          <w:szCs w:val="24"/>
          <w:lang w:val="es-PE"/>
        </w:rPr>
        <w:t xml:space="preserve">Uso indebido por Compra fraudulenta vía internet (medios digitales):  Cubre el monto que representen las compras fraudulentas con la tarjeta de crédito y/o débito </w:t>
      </w:r>
      <w:r w:rsidRPr="027686A7" w:rsidR="7EBCE575">
        <w:rPr>
          <w:rFonts w:ascii="Times New Roman" w:hAnsi="Times New Roman" w:cs="Times New Roman"/>
          <w:sz w:val="24"/>
          <w:szCs w:val="24"/>
          <w:lang w:val="es-PE"/>
        </w:rPr>
        <w:t>.......................</w:t>
      </w:r>
      <w:r w:rsidRPr="027686A7" w:rsidR="00D30CF2">
        <w:rPr>
          <w:rFonts w:ascii="Times New Roman" w:hAnsi="Times New Roman" w:cs="Times New Roman"/>
          <w:sz w:val="24"/>
          <w:szCs w:val="24"/>
          <w:lang w:val="es-PE"/>
        </w:rPr>
        <w:t xml:space="preserve"> sin la autorización y conocimiento del Titular, realizadas hasta 60 días antes de la fecha de bloqueo de la tarjeta involucrada. </w:t>
      </w:r>
    </w:p>
    <w:p w:rsidRPr="00432D66" w:rsidR="00432D66" w:rsidP="00432D66" w:rsidRDefault="00432D66" w14:paraId="464FCD6A" w14:textId="77777777">
      <w:pPr>
        <w:spacing w:after="0" w:line="240" w:lineRule="auto"/>
        <w:ind w:left="1068"/>
        <w:jc w:val="both"/>
        <w:rPr>
          <w:rFonts w:ascii="Times New Roman" w:hAnsi="Times New Roman" w:cs="Times New Roman"/>
          <w:sz w:val="24"/>
          <w:szCs w:val="24"/>
          <w:lang w:val="es-PE"/>
        </w:rPr>
      </w:pPr>
    </w:p>
    <w:p w:rsidRPr="00D30CF2" w:rsidR="00D30CF2" w:rsidP="00D30CF2" w:rsidRDefault="00D30CF2" w14:paraId="3EE5DFCB" w14:textId="3A864400">
      <w:pPr>
        <w:jc w:val="both"/>
        <w:rPr>
          <w:rFonts w:ascii="Times New Roman" w:hAnsi="Times New Roman" w:cs="Times New Roman"/>
          <w:sz w:val="24"/>
          <w:szCs w:val="24"/>
          <w:lang w:val="es-PE"/>
        </w:rPr>
      </w:pPr>
      <w:r w:rsidRPr="027686A7" w:rsidR="00D30CF2">
        <w:rPr>
          <w:rFonts w:ascii="Times New Roman" w:hAnsi="Times New Roman" w:cs="Times New Roman"/>
          <w:sz w:val="24"/>
          <w:szCs w:val="24"/>
          <w:lang w:val="es-MX"/>
        </w:rPr>
        <w:t xml:space="preserve">Como puede apreciarse, de la descripción de la cobertura contratada, </w:t>
      </w:r>
      <w:r w:rsidRPr="027686A7" w:rsidR="00D30CF2">
        <w:rPr>
          <w:rFonts w:ascii="Times New Roman" w:hAnsi="Times New Roman" w:cs="Times New Roman"/>
          <w:sz w:val="24"/>
          <w:szCs w:val="24"/>
          <w:lang w:val="es-PE"/>
        </w:rPr>
        <w:t>la póliza de seguro brinda cobertura frente a “</w:t>
      </w:r>
      <w:r w:rsidRPr="027686A7" w:rsidR="00D30CF2">
        <w:rPr>
          <w:rFonts w:ascii="Times New Roman" w:hAnsi="Times New Roman" w:cs="Times New Roman"/>
          <w:b w:val="1"/>
          <w:bCs w:val="1"/>
          <w:sz w:val="24"/>
          <w:szCs w:val="24"/>
          <w:lang w:val="es-PE"/>
        </w:rPr>
        <w:t xml:space="preserve">compras fraudulentas con la tarjeta de crédito y/o débito </w:t>
      </w:r>
      <w:r w:rsidRPr="027686A7" w:rsidR="7EBCE575">
        <w:rPr>
          <w:rFonts w:ascii="Times New Roman" w:hAnsi="Times New Roman" w:cs="Times New Roman"/>
          <w:b w:val="1"/>
          <w:bCs w:val="1"/>
          <w:sz w:val="24"/>
          <w:szCs w:val="24"/>
          <w:lang w:val="es-PE"/>
        </w:rPr>
        <w:t>.......................</w:t>
      </w:r>
      <w:r w:rsidRPr="027686A7" w:rsidR="00D30CF2">
        <w:rPr>
          <w:rFonts w:ascii="Times New Roman" w:hAnsi="Times New Roman" w:cs="Times New Roman"/>
          <w:sz w:val="24"/>
          <w:szCs w:val="24"/>
          <w:lang w:val="es-PE"/>
        </w:rPr>
        <w:t>”</w:t>
      </w:r>
    </w:p>
    <w:p w:rsidRPr="00D30CF2" w:rsidR="00D30CF2" w:rsidP="00D30CF2" w:rsidRDefault="00D30CF2" w14:paraId="5D5B49A1" w14:textId="59CFAB0C">
      <w:pPr>
        <w:jc w:val="both"/>
        <w:rPr>
          <w:rFonts w:ascii="Times New Roman" w:hAnsi="Times New Roman" w:cs="Times New Roman"/>
          <w:sz w:val="24"/>
          <w:szCs w:val="24"/>
          <w:lang w:val="es-PE"/>
        </w:rPr>
      </w:pPr>
      <w:r w:rsidRPr="00D30CF2">
        <w:rPr>
          <w:rFonts w:ascii="Times New Roman" w:hAnsi="Times New Roman" w:cs="Times New Roman"/>
          <w:sz w:val="24"/>
          <w:szCs w:val="24"/>
          <w:lang w:val="es-PE"/>
        </w:rPr>
        <w:t>En tal sentido, un presupuesto indispensable para que se active la cobertura de “Uso Indebido”, es que la compra se haya efectuado mediante el uso indebido de la tarjeta.</w:t>
      </w:r>
    </w:p>
    <w:p w:rsidRPr="00D30CF2" w:rsidR="00D30CF2" w:rsidP="00D30CF2" w:rsidRDefault="00D30CF2" w14:paraId="21ECD4DF" w14:textId="760F5863">
      <w:pPr>
        <w:jc w:val="both"/>
        <w:rPr>
          <w:rFonts w:ascii="Times New Roman" w:hAnsi="Times New Roman" w:cs="Times New Roman"/>
          <w:color w:val="000000"/>
          <w:sz w:val="24"/>
          <w:szCs w:val="24"/>
          <w:lang w:val="es-PE" w:eastAsia="es-PE"/>
        </w:rPr>
      </w:pPr>
      <w:r w:rsidRPr="027686A7" w:rsidR="00D30CF2">
        <w:rPr>
          <w:rFonts w:ascii="Times New Roman" w:hAnsi="Times New Roman" w:cs="Times New Roman"/>
          <w:sz w:val="24"/>
          <w:szCs w:val="24"/>
          <w:lang w:val="es-PE"/>
        </w:rPr>
        <w:t xml:space="preserve">En el presente caso, la operación no reconocida consistió en </w:t>
      </w:r>
      <w:r w:rsidRPr="027686A7" w:rsidR="00D30CF2">
        <w:rPr>
          <w:rFonts w:ascii="Times New Roman" w:hAnsi="Times New Roman" w:cs="Times New Roman"/>
          <w:color w:val="000000" w:themeColor="text1" w:themeTint="FF" w:themeShade="FF"/>
          <w:sz w:val="24"/>
          <w:szCs w:val="24"/>
          <w:lang w:val="es-PE" w:eastAsia="es-PE"/>
        </w:rPr>
        <w:t xml:space="preserve">compras que se realizaron a través del portal PAGOEFECTIVO.PE, portal que se encuentra dentro de los </w:t>
      </w:r>
      <w:r w:rsidRPr="027686A7" w:rsidR="00D30CF2">
        <w:rPr>
          <w:rFonts w:ascii="Times New Roman" w:hAnsi="Times New Roman" w:cs="Times New Roman"/>
          <w:color w:val="000000" w:themeColor="text1" w:themeTint="FF" w:themeShade="FF"/>
          <w:sz w:val="24"/>
          <w:szCs w:val="24"/>
          <w:lang w:val="es-PE" w:eastAsia="es-PE"/>
        </w:rPr>
        <w:t>“</w:t>
      </w:r>
      <w:r w:rsidRPr="027686A7" w:rsidR="00D30CF2">
        <w:rPr>
          <w:rFonts w:ascii="Times New Roman" w:hAnsi="Times New Roman" w:cs="Times New Roman"/>
          <w:i w:val="1"/>
          <w:iCs w:val="1"/>
          <w:color w:val="000000" w:themeColor="text1" w:themeTint="FF" w:themeShade="FF"/>
          <w:sz w:val="24"/>
          <w:szCs w:val="24"/>
          <w:lang w:val="es-PE" w:eastAsia="es-PE"/>
        </w:rPr>
        <w:t xml:space="preserve">medios digitales” </w:t>
      </w:r>
      <w:r w:rsidRPr="027686A7" w:rsidR="00D30CF2">
        <w:rPr>
          <w:rFonts w:ascii="Times New Roman" w:hAnsi="Times New Roman" w:cs="Times New Roman"/>
          <w:color w:val="000000" w:themeColor="text1" w:themeTint="FF" w:themeShade="FF"/>
          <w:sz w:val="24"/>
          <w:szCs w:val="24"/>
          <w:lang w:val="es-PE" w:eastAsia="es-PE"/>
        </w:rPr>
        <w:t xml:space="preserve">dentro de la banca del </w:t>
      </w:r>
      <w:r w:rsidRPr="027686A7" w:rsidR="7EBCE575">
        <w:rPr>
          <w:rFonts w:ascii="Times New Roman" w:hAnsi="Times New Roman" w:cs="Times New Roman"/>
          <w:color w:val="000000" w:themeColor="text1" w:themeTint="FF" w:themeShade="FF"/>
          <w:sz w:val="24"/>
          <w:szCs w:val="24"/>
          <w:lang w:val="es-PE" w:eastAsia="es-PE"/>
        </w:rPr>
        <w:t>.......................</w:t>
      </w:r>
      <w:r w:rsidRPr="027686A7" w:rsidR="00D30CF2">
        <w:rPr>
          <w:rFonts w:ascii="Times New Roman" w:hAnsi="Times New Roman" w:cs="Times New Roman"/>
          <w:color w:val="000000" w:themeColor="text1" w:themeTint="FF" w:themeShade="FF"/>
          <w:sz w:val="24"/>
          <w:szCs w:val="24"/>
          <w:lang w:val="es-PE" w:eastAsia="es-PE"/>
        </w:rPr>
        <w:t>.</w:t>
      </w:r>
    </w:p>
    <w:p w:rsidRPr="00D30CF2" w:rsidR="00D30CF2" w:rsidP="00D30CF2" w:rsidRDefault="00D30CF2" w14:paraId="73BC6540" w14:textId="77CBC740">
      <w:pPr>
        <w:jc w:val="both"/>
        <w:rPr>
          <w:rFonts w:ascii="Times New Roman" w:hAnsi="Times New Roman" w:cs="Times New Roman"/>
          <w:color w:val="000000"/>
          <w:sz w:val="24"/>
          <w:szCs w:val="24"/>
          <w:lang w:val="es-PE" w:eastAsia="es-PE"/>
        </w:rPr>
      </w:pPr>
      <w:proofErr w:type="gramStart"/>
      <w:r w:rsidRPr="00D30CF2">
        <w:rPr>
          <w:rFonts w:ascii="Times New Roman" w:hAnsi="Times New Roman" w:cs="Times New Roman"/>
          <w:color w:val="000000"/>
          <w:sz w:val="24"/>
          <w:szCs w:val="24"/>
          <w:lang w:val="es-PE" w:eastAsia="es-PE"/>
        </w:rPr>
        <w:t>De acuerdo a</w:t>
      </w:r>
      <w:proofErr w:type="gramEnd"/>
      <w:r w:rsidRPr="00D30CF2">
        <w:rPr>
          <w:rFonts w:ascii="Times New Roman" w:hAnsi="Times New Roman" w:cs="Times New Roman"/>
          <w:color w:val="000000"/>
          <w:sz w:val="24"/>
          <w:szCs w:val="24"/>
          <w:lang w:val="es-PE" w:eastAsia="es-PE"/>
        </w:rPr>
        <w:t xml:space="preserve"> la información de dicho portal, es uso del medio digital “PAGOEFECTIVO” es un medio de pago para comprar por internet y pagar sin tarjeta. Esto es, la compra no involucra el uso de la tarjera, sino que es un pago vía transferencia bancaria desde la banca móvil o banca por internet.</w:t>
      </w:r>
    </w:p>
    <w:p w:rsidRPr="00D30CF2" w:rsidR="00D30CF2" w:rsidP="00D30CF2" w:rsidRDefault="00D30CF2" w14:paraId="1D854A8D" w14:textId="77777777">
      <w:pPr>
        <w:shd w:val="clear" w:color="auto" w:fill="FFFFFF"/>
        <w:spacing w:before="100" w:beforeAutospacing="1" w:after="100" w:afterAutospacing="1"/>
        <w:jc w:val="center"/>
        <w:rPr>
          <w:rFonts w:ascii="Times New Roman" w:hAnsi="Times New Roman" w:cs="Times New Roman"/>
          <w:color w:val="333333"/>
          <w:sz w:val="24"/>
          <w:szCs w:val="24"/>
          <w:lang w:val="es-PE" w:eastAsia="es-PE"/>
        </w:rPr>
      </w:pPr>
      <w:proofErr w:type="spellStart"/>
      <w:r w:rsidRPr="00D30CF2">
        <w:rPr>
          <w:rFonts w:ascii="Times New Roman" w:hAnsi="Times New Roman" w:cs="Times New Roman"/>
          <w:b/>
          <w:bCs/>
          <w:color w:val="333333"/>
          <w:sz w:val="24"/>
          <w:szCs w:val="24"/>
          <w:lang w:val="es-PE" w:eastAsia="es-PE"/>
        </w:rPr>
        <w:t>PagoEfectivo</w:t>
      </w:r>
      <w:proofErr w:type="spellEnd"/>
      <w:r w:rsidRPr="00D30CF2">
        <w:rPr>
          <w:rFonts w:ascii="Times New Roman" w:hAnsi="Times New Roman" w:cs="Times New Roman"/>
          <w:color w:val="333333"/>
          <w:sz w:val="24"/>
          <w:szCs w:val="24"/>
          <w:lang w:val="es-PE" w:eastAsia="es-PE"/>
        </w:rPr>
        <w:t> es el medio de pago para comprar por internet y pagar sin tarjeta. </w:t>
      </w:r>
      <w:r w:rsidRPr="00D30CF2">
        <w:rPr>
          <w:rFonts w:ascii="Times New Roman" w:hAnsi="Times New Roman" w:cs="Times New Roman"/>
          <w:b/>
          <w:bCs/>
          <w:color w:val="333333"/>
          <w:sz w:val="24"/>
          <w:szCs w:val="24"/>
          <w:lang w:val="es-PE" w:eastAsia="es-PE"/>
        </w:rPr>
        <w:t>¡No necesitas registrarte!</w:t>
      </w:r>
    </w:p>
    <w:p w:rsidRPr="00432D66" w:rsidR="00D30CF2" w:rsidP="00432D66" w:rsidRDefault="00D30CF2" w14:paraId="4C3A88C3" w14:textId="1D914183">
      <w:pPr>
        <w:shd w:val="clear" w:color="auto" w:fill="FFFFFF"/>
        <w:spacing w:before="100" w:beforeAutospacing="1" w:after="100" w:afterAutospacing="1"/>
        <w:rPr>
          <w:rFonts w:ascii="Times New Roman" w:hAnsi="Times New Roman" w:cs="Times New Roman"/>
          <w:color w:val="333333"/>
          <w:sz w:val="24"/>
          <w:szCs w:val="24"/>
          <w:lang w:val="es-PE" w:eastAsia="es-PE"/>
        </w:rPr>
      </w:pPr>
      <w:r w:rsidRPr="00D30CF2">
        <w:rPr>
          <w:rFonts w:ascii="Times New Roman" w:hAnsi="Times New Roman" w:cs="Times New Roman"/>
          <w:b/>
          <w:bCs/>
          <w:color w:val="333333"/>
          <w:sz w:val="24"/>
          <w:szCs w:val="24"/>
          <w:lang w:val="es-PE" w:eastAsia="es-PE"/>
        </w:rPr>
        <w:lastRenderedPageBreak/>
        <w:fldChar w:fldCharType="begin"/>
      </w:r>
      <w:r w:rsidRPr="00D30CF2">
        <w:rPr>
          <w:rFonts w:ascii="Times New Roman" w:hAnsi="Times New Roman" w:cs="Times New Roman"/>
          <w:b/>
          <w:bCs/>
          <w:color w:val="333333"/>
          <w:sz w:val="24"/>
          <w:szCs w:val="24"/>
          <w:lang w:val="es-PE" w:eastAsia="es-PE"/>
        </w:rPr>
        <w:instrText xml:space="preserve"> INCLUDEPICTURE "https://centraldeayuda.pagoefectivo.pe/hc/article_attachments/4401823454099/mceclip0.png" \* MERGEFORMATINET </w:instrText>
      </w:r>
      <w:r w:rsidRPr="00D30CF2">
        <w:rPr>
          <w:rFonts w:ascii="Times New Roman" w:hAnsi="Times New Roman" w:cs="Times New Roman"/>
          <w:b/>
          <w:bCs/>
          <w:color w:val="333333"/>
          <w:sz w:val="24"/>
          <w:szCs w:val="24"/>
          <w:lang w:val="es-PE" w:eastAsia="es-PE"/>
        </w:rPr>
        <w:fldChar w:fldCharType="separate"/>
      </w:r>
      <w:r w:rsidRPr="00D30CF2">
        <w:rPr>
          <w:rFonts w:ascii="Times New Roman" w:hAnsi="Times New Roman" w:cs="Times New Roman"/>
          <w:b/>
          <w:bCs/>
          <w:color w:val="333333"/>
          <w:sz w:val="24"/>
          <w:szCs w:val="24"/>
          <w:lang w:val="es-PE" w:eastAsia="es-PE"/>
        </w:rPr>
        <w:pict w14:anchorId="04823EB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35.75pt;height:303.75pt" alt="mceclip0.png" type="#_x0000_t75">
            <v:imagedata r:id="rId8" r:href="rId9"/>
          </v:shape>
        </w:pict>
      </w:r>
      <w:r w:rsidRPr="00D30CF2">
        <w:rPr>
          <w:rFonts w:ascii="Times New Roman" w:hAnsi="Times New Roman" w:cs="Times New Roman"/>
          <w:b/>
          <w:bCs/>
          <w:color w:val="333333"/>
          <w:sz w:val="24"/>
          <w:szCs w:val="24"/>
          <w:lang w:val="es-PE" w:eastAsia="es-PE"/>
        </w:rPr>
        <w:fldChar w:fldCharType="end"/>
      </w:r>
    </w:p>
    <w:p w:rsidRPr="00D30CF2" w:rsidR="00D30CF2" w:rsidP="00D30CF2" w:rsidRDefault="00D30CF2" w14:paraId="7C9D756E" w14:textId="77777777">
      <w:pPr>
        <w:tabs>
          <w:tab w:val="left" w:pos="2160"/>
        </w:tabs>
        <w:jc w:val="both"/>
        <w:rPr>
          <w:rStyle w:val="Textoennegrita"/>
          <w:rFonts w:ascii="Times New Roman" w:hAnsi="Times New Roman" w:cs="Times New Roman"/>
          <w:b w:val="0"/>
          <w:sz w:val="24"/>
          <w:szCs w:val="24"/>
          <w:lang w:val="es-PE"/>
        </w:rPr>
      </w:pPr>
      <w:r w:rsidRPr="00D30CF2">
        <w:rPr>
          <w:rFonts w:ascii="Times New Roman" w:hAnsi="Times New Roman" w:cs="Times New Roman"/>
          <w:sz w:val="24"/>
          <w:szCs w:val="24"/>
          <w:lang w:val="es-PE" w:eastAsia="es-ES"/>
        </w:rPr>
        <w:t xml:space="preserve">De lo anterior, es evidente que las operaciones de compra no reconocidas por el reclamante, no fueron hechas como consecuencia de un “Uso Indebido” de la tarjeta de crédito y/o débito, por tanto, en el presente caso no se </w:t>
      </w:r>
      <w:r w:rsidRPr="00D30CF2">
        <w:rPr>
          <w:rStyle w:val="Textoennegrita"/>
          <w:rFonts w:ascii="Times New Roman" w:hAnsi="Times New Roman" w:cs="Times New Roman"/>
          <w:b w:val="0"/>
          <w:sz w:val="24"/>
          <w:szCs w:val="24"/>
          <w:lang w:val="es-PE"/>
        </w:rPr>
        <w:t>ha configurado el supuesto de hecho para que se materialice la cobertura en reclamación.</w:t>
      </w:r>
    </w:p>
    <w:p w:rsidRPr="00D30CF2" w:rsidR="00D30CF2" w:rsidP="00D30CF2" w:rsidRDefault="00D30CF2" w14:paraId="3FAEFFF0" w14:textId="77777777">
      <w:pPr>
        <w:tabs>
          <w:tab w:val="left" w:pos="2160"/>
        </w:tabs>
        <w:jc w:val="both"/>
        <w:rPr>
          <w:rStyle w:val="Textoennegrita"/>
          <w:rFonts w:ascii="Times New Roman" w:hAnsi="Times New Roman" w:cs="Times New Roman"/>
          <w:b w:val="0"/>
          <w:sz w:val="24"/>
          <w:szCs w:val="24"/>
          <w:lang w:val="es-PE"/>
        </w:rPr>
      </w:pPr>
    </w:p>
    <w:p w:rsidRPr="00D30CF2" w:rsidR="00D30CF2" w:rsidP="00432D66" w:rsidRDefault="00D30CF2" w14:paraId="2BA4A2CE" w14:textId="551CA2B9">
      <w:pPr>
        <w:tabs>
          <w:tab w:val="left" w:pos="2160"/>
        </w:tabs>
        <w:jc w:val="both"/>
        <w:rPr>
          <w:rFonts w:ascii="Times New Roman" w:hAnsi="Times New Roman" w:cs="Times New Roman"/>
          <w:sz w:val="24"/>
          <w:szCs w:val="24"/>
          <w:lang w:val="es-PE" w:eastAsia="es-ES"/>
        </w:rPr>
      </w:pPr>
      <w:r w:rsidRPr="00D30CF2">
        <w:rPr>
          <w:rStyle w:val="Textoennegrita"/>
          <w:rFonts w:ascii="Times New Roman" w:hAnsi="Times New Roman" w:cs="Times New Roman"/>
          <w:b w:val="0"/>
          <w:sz w:val="24"/>
          <w:szCs w:val="24"/>
          <w:lang w:val="es-PE"/>
        </w:rPr>
        <w:t xml:space="preserve">Por tanto, </w:t>
      </w:r>
      <w:r w:rsidRPr="00D30CF2">
        <w:rPr>
          <w:rFonts w:ascii="Times New Roman" w:hAnsi="Times New Roman" w:cs="Times New Roman"/>
          <w:sz w:val="24"/>
          <w:szCs w:val="24"/>
          <w:lang w:val="es-PE" w:eastAsia="es-ES"/>
        </w:rPr>
        <w:t>de la situación fáctica y legal analizada se llega a la conclusión que el rechazo de cobertura, para el “Uso Indebido” es legítimo.</w:t>
      </w:r>
    </w:p>
    <w:p w:rsidRPr="00D30CF2" w:rsidR="00D30CF2" w:rsidP="00D30CF2" w:rsidRDefault="00D30CF2" w14:paraId="258C04A4" w14:textId="4B7BC31E">
      <w:pPr>
        <w:jc w:val="both"/>
        <w:rPr>
          <w:rFonts w:ascii="Times New Roman" w:hAnsi="Times New Roman" w:cs="Times New Roman"/>
          <w:sz w:val="24"/>
          <w:szCs w:val="24"/>
          <w:lang w:val="es-PE"/>
        </w:rPr>
      </w:pPr>
      <w:r w:rsidRPr="00D30CF2">
        <w:rPr>
          <w:rFonts w:ascii="Times New Roman" w:hAnsi="Times New Roman" w:cs="Times New Roman"/>
          <w:b/>
          <w:sz w:val="24"/>
          <w:szCs w:val="24"/>
          <w:u w:val="single"/>
          <w:lang w:val="es-PE"/>
        </w:rPr>
        <w:t>TERCERO</w:t>
      </w:r>
      <w:r w:rsidRPr="00D30CF2">
        <w:rPr>
          <w:rFonts w:ascii="Times New Roman" w:hAnsi="Times New Roman" w:cs="Times New Roman"/>
          <w:b/>
          <w:sz w:val="24"/>
          <w:szCs w:val="24"/>
          <w:lang w:val="es-PE"/>
        </w:rPr>
        <w:t>:</w:t>
      </w:r>
      <w:r w:rsidRPr="00D30CF2">
        <w:rPr>
          <w:rFonts w:ascii="Times New Roman" w:hAnsi="Times New Roman" w:cs="Times New Roman"/>
          <w:sz w:val="24"/>
          <w:szCs w:val="24"/>
          <w:lang w:val="es-PE"/>
        </w:rPr>
        <w:t xml:space="preserve"> En atención a las consideraciones precedentes, este colegiado aprecia finalmente que se ha evidenciado error en la resolución recurrida, por lo que existe mérito suficiente y razón objetiva para revocarla.</w:t>
      </w:r>
    </w:p>
    <w:p w:rsidRPr="00432D66" w:rsidR="00D30CF2" w:rsidP="00D30CF2" w:rsidRDefault="00D30CF2" w14:paraId="5A6DA710" w14:textId="58AE5F63">
      <w:pPr>
        <w:jc w:val="both"/>
        <w:rPr>
          <w:rFonts w:ascii="Times New Roman" w:hAnsi="Times New Roman" w:cs="Times New Roman"/>
          <w:b/>
          <w:sz w:val="24"/>
          <w:szCs w:val="24"/>
          <w:lang w:val="es-PE"/>
        </w:rPr>
      </w:pPr>
      <w:r w:rsidRPr="00D30CF2">
        <w:rPr>
          <w:rFonts w:ascii="Times New Roman" w:hAnsi="Times New Roman" w:cs="Times New Roman"/>
          <w:b/>
          <w:sz w:val="24"/>
          <w:szCs w:val="24"/>
          <w:lang w:val="es-PE"/>
        </w:rPr>
        <w:t>ATENDIENDO A LO EXPRESADO, CONFORME A SU REGLAMENTO, ESTE COLEGIADO RESUELVE:</w:t>
      </w:r>
    </w:p>
    <w:p w:rsidRPr="00D30CF2" w:rsidR="00D30CF2" w:rsidP="00D30CF2" w:rsidRDefault="00D30CF2" w14:paraId="3BAEE602" w14:textId="5C12066D">
      <w:pPr>
        <w:pStyle w:val="Default"/>
        <w:jc w:val="both"/>
        <w:rPr>
          <w:rFonts w:ascii="Times New Roman" w:hAnsi="Times New Roman" w:cs="Times New Roman"/>
        </w:rPr>
      </w:pPr>
      <w:r w:rsidRPr="027686A7" w:rsidR="00D30CF2">
        <w:rPr>
          <w:rFonts w:ascii="Times New Roman" w:hAnsi="Times New Roman" w:cs="Times New Roman"/>
          <w:b w:val="1"/>
          <w:bCs w:val="1"/>
        </w:rPr>
        <w:t xml:space="preserve">DECLARAR FUNDADO </w:t>
      </w:r>
      <w:r w:rsidRPr="027686A7" w:rsidR="00D30CF2">
        <w:rPr>
          <w:rFonts w:ascii="Times New Roman" w:hAnsi="Times New Roman" w:cs="Times New Roman"/>
        </w:rPr>
        <w:t xml:space="preserve">el recurso de impugnación interpuesto por </w:t>
      </w:r>
      <w:r w:rsidRPr="027686A7" w:rsidR="4741C3E4">
        <w:rPr>
          <w:rFonts w:ascii="Times New Roman" w:hAnsi="Times New Roman" w:cs="Times New Roman"/>
          <w:b w:val="1"/>
          <w:bCs w:val="1"/>
        </w:rPr>
        <w:t>..................................................</w:t>
      </w:r>
      <w:r w:rsidRPr="027686A7" w:rsidR="00D30CF2">
        <w:rPr>
          <w:rFonts w:ascii="Times New Roman" w:hAnsi="Times New Roman" w:cs="Times New Roman"/>
        </w:rPr>
        <w:t xml:space="preserve"> y, por consiguiente, </w:t>
      </w:r>
      <w:r w:rsidRPr="027686A7" w:rsidR="00D30CF2">
        <w:rPr>
          <w:rFonts w:ascii="Times New Roman" w:hAnsi="Times New Roman" w:cs="Times New Roman"/>
          <w:b w:val="1"/>
          <w:bCs w:val="1"/>
        </w:rPr>
        <w:t xml:space="preserve">REVOCAR </w:t>
      </w:r>
      <w:r w:rsidRPr="027686A7" w:rsidR="00D30CF2">
        <w:rPr>
          <w:rFonts w:ascii="Times New Roman" w:hAnsi="Times New Roman" w:cs="Times New Roman"/>
        </w:rPr>
        <w:t xml:space="preserve">la Resolución </w:t>
      </w:r>
      <w:r w:rsidRPr="027686A7" w:rsidR="00D30CF2">
        <w:rPr>
          <w:rFonts w:ascii="Times New Roman" w:hAnsi="Times New Roman" w:cs="Times New Roman"/>
        </w:rPr>
        <w:t>N°</w:t>
      </w:r>
      <w:r w:rsidRPr="027686A7" w:rsidR="00D30CF2">
        <w:rPr>
          <w:rFonts w:ascii="Times New Roman" w:hAnsi="Times New Roman" w:cs="Times New Roman"/>
        </w:rPr>
        <w:t xml:space="preserve"> 122/21; en consecuencia, declarar </w:t>
      </w:r>
      <w:r w:rsidRPr="027686A7" w:rsidR="00D30CF2">
        <w:rPr>
          <w:rFonts w:ascii="Times New Roman" w:hAnsi="Times New Roman" w:cs="Times New Roman"/>
          <w:b w:val="1"/>
          <w:bCs w:val="1"/>
          <w:lang w:val="es-MX"/>
        </w:rPr>
        <w:t>INFUNDADA</w:t>
      </w:r>
      <w:r w:rsidRPr="027686A7" w:rsidR="00D30CF2">
        <w:rPr>
          <w:rFonts w:ascii="Times New Roman" w:hAnsi="Times New Roman" w:cs="Times New Roman"/>
          <w:lang w:val="es-MX"/>
        </w:rPr>
        <w:t xml:space="preserve"> la reclamación </w:t>
      </w:r>
      <w:r w:rsidRPr="027686A7" w:rsidR="00D30CF2">
        <w:rPr>
          <w:rFonts w:ascii="Times New Roman" w:hAnsi="Times New Roman" w:cs="Times New Roman"/>
        </w:rPr>
        <w:t xml:space="preserve">interpuesta por </w:t>
      </w:r>
      <w:r w:rsidRPr="027686A7" w:rsidR="5045186B">
        <w:rPr>
          <w:rFonts w:ascii="Times New Roman" w:hAnsi="Times New Roman" w:cs="Times New Roman"/>
          <w:b w:val="1"/>
          <w:bCs w:val="1"/>
          <w:lang w:val="es-MX"/>
        </w:rPr>
        <w:t>..................................................</w:t>
      </w:r>
      <w:r w:rsidRPr="027686A7" w:rsidR="00D30CF2">
        <w:rPr>
          <w:rFonts w:ascii="Times New Roman" w:hAnsi="Times New Roman" w:cs="Times New Roman"/>
        </w:rPr>
        <w:t xml:space="preserve"> respecto al </w:t>
      </w:r>
      <w:r w:rsidRPr="027686A7" w:rsidR="00D30CF2">
        <w:rPr>
          <w:rFonts w:ascii="Times New Roman" w:hAnsi="Times New Roman" w:cs="Times New Roman"/>
          <w:b w:val="1"/>
          <w:bCs w:val="1"/>
          <w:lang w:val="es-MX"/>
        </w:rPr>
        <w:t>SEGURO DE PROTECCIÓN DE TARJETA - PÓLIZA</w:t>
      </w:r>
      <w:r w:rsidRPr="027686A7" w:rsidR="00D30CF2">
        <w:rPr>
          <w:rFonts w:ascii="Times New Roman" w:hAnsi="Times New Roman" w:cs="Times New Roman"/>
          <w:b w:val="1"/>
          <w:bCs w:val="1"/>
        </w:rPr>
        <w:t xml:space="preserve"> </w:t>
      </w:r>
      <w:r w:rsidRPr="027686A7" w:rsidR="36B6BCD5">
        <w:rPr>
          <w:rFonts w:ascii="Times New Roman" w:hAnsi="Times New Roman" w:cs="Times New Roman"/>
          <w:b w:val="1"/>
          <w:bCs w:val="1"/>
        </w:rPr>
        <w:t>.......................</w:t>
      </w:r>
      <w:r w:rsidRPr="027686A7" w:rsidR="00D30CF2">
        <w:rPr>
          <w:rFonts w:ascii="Times New Roman" w:hAnsi="Times New Roman" w:cs="Times New Roman"/>
        </w:rPr>
        <w:t>, quedando a salvo el derecho del reclamante de recurrir ante las instancias que considere pertinentes</w:t>
      </w:r>
      <w:r w:rsidRPr="027686A7" w:rsidR="00D30CF2">
        <w:rPr>
          <w:rFonts w:ascii="Times New Roman" w:hAnsi="Times New Roman" w:cs="Times New Roman"/>
          <w:lang w:val="es-MX"/>
        </w:rPr>
        <w:t>.</w:t>
      </w:r>
    </w:p>
    <w:p w:rsidRPr="00D30CF2"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D30CF2" w:rsidR="00C671F5" w:rsidP="005E398E" w:rsidRDefault="0091528B" w14:paraId="486C3F46" w14:textId="2B0BAA09">
      <w:pPr>
        <w:suppressAutoHyphens/>
        <w:spacing w:after="0" w:line="240" w:lineRule="auto"/>
        <w:jc w:val="right"/>
        <w:outlineLvl w:val="0"/>
        <w:rPr>
          <w:rFonts w:ascii="Times New Roman" w:hAnsi="Times New Roman" w:eastAsia="Arial Unicode MS" w:cs="Times New Roman"/>
          <w:sz w:val="24"/>
          <w:szCs w:val="24"/>
          <w:lang w:val="es-PE" w:eastAsia="ar-SA"/>
        </w:rPr>
      </w:pPr>
      <w:r w:rsidRPr="00D30CF2">
        <w:rPr>
          <w:rFonts w:ascii="Times New Roman" w:hAnsi="Times New Roman" w:eastAsia="Arial Unicode MS" w:cs="Times New Roman"/>
          <w:sz w:val="24"/>
          <w:szCs w:val="24"/>
          <w:lang w:val="es-PE" w:eastAsia="ar-SA"/>
        </w:rPr>
        <w:t xml:space="preserve">Lima, </w:t>
      </w:r>
      <w:r w:rsidRPr="00D30CF2" w:rsidR="0040073D">
        <w:rPr>
          <w:rFonts w:ascii="Times New Roman" w:hAnsi="Times New Roman" w:eastAsia="Arial Unicode MS" w:cs="Times New Roman"/>
          <w:sz w:val="24"/>
          <w:szCs w:val="24"/>
          <w:lang w:val="es-PE" w:eastAsia="ar-SA"/>
        </w:rPr>
        <w:t xml:space="preserve">08 </w:t>
      </w:r>
      <w:r w:rsidRPr="00D30CF2" w:rsidR="00707C99">
        <w:rPr>
          <w:rFonts w:ascii="Times New Roman" w:hAnsi="Times New Roman" w:eastAsia="Arial Unicode MS" w:cs="Times New Roman"/>
          <w:sz w:val="24"/>
          <w:szCs w:val="24"/>
          <w:lang w:val="es-PE" w:eastAsia="ar-SA"/>
        </w:rPr>
        <w:t>de</w:t>
      </w:r>
      <w:r w:rsidRPr="00D30CF2" w:rsidR="00864B0B">
        <w:rPr>
          <w:rFonts w:ascii="Times New Roman" w:hAnsi="Times New Roman" w:eastAsia="Arial Unicode MS" w:cs="Times New Roman"/>
          <w:sz w:val="24"/>
          <w:szCs w:val="24"/>
          <w:lang w:val="es-PE" w:eastAsia="ar-SA"/>
        </w:rPr>
        <w:t xml:space="preserve"> </w:t>
      </w:r>
      <w:r w:rsidRPr="00D30CF2" w:rsidR="0040073D">
        <w:rPr>
          <w:rFonts w:ascii="Times New Roman" w:hAnsi="Times New Roman" w:eastAsia="Arial Unicode MS" w:cs="Times New Roman"/>
          <w:sz w:val="24"/>
          <w:szCs w:val="24"/>
          <w:lang w:val="es-PE" w:eastAsia="ar-SA"/>
        </w:rPr>
        <w:t>noviembre</w:t>
      </w:r>
      <w:r w:rsidRPr="00D30CF2" w:rsidR="00F06498">
        <w:rPr>
          <w:rFonts w:ascii="Times New Roman" w:hAnsi="Times New Roman" w:eastAsia="Arial Unicode MS" w:cs="Times New Roman"/>
          <w:sz w:val="24"/>
          <w:szCs w:val="24"/>
          <w:lang w:val="es-PE" w:eastAsia="ar-SA"/>
        </w:rPr>
        <w:t xml:space="preserve"> de 202</w:t>
      </w:r>
      <w:r w:rsidRPr="00D30CF2" w:rsidR="00231C58">
        <w:rPr>
          <w:rFonts w:ascii="Times New Roman" w:hAnsi="Times New Roman" w:eastAsia="Arial Unicode MS" w:cs="Times New Roman"/>
          <w:sz w:val="24"/>
          <w:szCs w:val="24"/>
          <w:lang w:val="es-PE" w:eastAsia="ar-SA"/>
        </w:rPr>
        <w:t>1</w:t>
      </w:r>
      <w:r w:rsidRPr="00D30CF2" w:rsidR="00707C99">
        <w:rPr>
          <w:rFonts w:ascii="Times New Roman" w:hAnsi="Times New Roman" w:eastAsia="Times New Roman" w:cs="Times New Roman"/>
          <w:sz w:val="24"/>
          <w:szCs w:val="24"/>
          <w:lang w:val="es-PE" w:eastAsia="ar-SA"/>
        </w:rPr>
        <w:t xml:space="preserve"> </w:t>
      </w:r>
    </w:p>
    <w:p w:rsidRPr="00D30CF2"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30CF2"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D30CF2">
        <w:rPr>
          <w:rFonts w:ascii="Times New Roman" w:hAnsi="Times New Roman" w:cs="Times New Roman"/>
          <w:b/>
          <w:bCs/>
          <w:i/>
          <w:iCs/>
          <w:sz w:val="24"/>
          <w:szCs w:val="24"/>
          <w:lang w:val="es-PE"/>
        </w:rPr>
        <w:lastRenderedPageBreak/>
        <w:t>La Secretaría Técnica certifica que la presente resolución cuenta con el voto de los vocales cuyos nombres figuran en el presente documento.</w:t>
      </w:r>
    </w:p>
    <w:p w:rsidRPr="00D30CF2" w:rsidR="00C671F5" w:rsidP="004A374A" w:rsidRDefault="00C671F5" w14:paraId="3408E6CE" w14:textId="34A8A6C1">
      <w:pPr>
        <w:spacing w:after="0" w:line="240" w:lineRule="auto"/>
        <w:jc w:val="both"/>
        <w:rPr>
          <w:rFonts w:ascii="Times New Roman" w:hAnsi="Times New Roman" w:cs="Times New Roman"/>
          <w:b/>
          <w:bCs/>
          <w:i/>
          <w:iCs/>
          <w:sz w:val="24"/>
          <w:szCs w:val="24"/>
          <w:lang w:val="es-PE"/>
        </w:rPr>
      </w:pPr>
    </w:p>
    <w:p w:rsidRPr="00D30CF2" w:rsidR="009F00E9" w:rsidP="009F00E9" w:rsidRDefault="009F00E9" w14:paraId="58FDEFC1" w14:textId="77777777">
      <w:pPr>
        <w:spacing w:after="0" w:line="360" w:lineRule="auto"/>
        <w:jc w:val="center"/>
        <w:rPr>
          <w:rFonts w:ascii="Times New Roman" w:hAnsi="Times New Roman" w:cs="Times New Roman"/>
          <w:b/>
          <w:bCs/>
          <w:sz w:val="24"/>
          <w:szCs w:val="24"/>
          <w:lang w:val="es-PE"/>
        </w:rPr>
      </w:pPr>
      <w:r w:rsidRPr="00D30CF2">
        <w:rPr>
          <w:rFonts w:ascii="Times New Roman" w:hAnsi="Times New Roman" w:cs="Times New Roman"/>
          <w:b/>
          <w:bCs/>
          <w:sz w:val="24"/>
          <w:szCs w:val="24"/>
          <w:lang w:val="es-PE"/>
        </w:rPr>
        <w:t>María Eugenia Valdez Fernández Baca– Vocal</w:t>
      </w:r>
    </w:p>
    <w:p w:rsidRPr="00D30CF2" w:rsidR="009F00E9" w:rsidP="009F00E9" w:rsidRDefault="009F00E9" w14:paraId="20E3A77E" w14:textId="77777777">
      <w:pPr>
        <w:spacing w:after="0" w:line="360" w:lineRule="auto"/>
        <w:jc w:val="center"/>
        <w:rPr>
          <w:rFonts w:ascii="Times New Roman" w:hAnsi="Times New Roman" w:cs="Times New Roman"/>
          <w:sz w:val="24"/>
          <w:szCs w:val="24"/>
          <w:lang w:val="es-PE"/>
        </w:rPr>
      </w:pPr>
      <w:r w:rsidRPr="00D30CF2">
        <w:rPr>
          <w:rFonts w:ascii="Times New Roman" w:hAnsi="Times New Roman" w:cs="Times New Roman"/>
          <w:b/>
          <w:bCs/>
          <w:sz w:val="24"/>
          <w:szCs w:val="24"/>
          <w:lang w:val="es-PE"/>
        </w:rPr>
        <w:t>Marco Antonio Ortega Piana – Vocal</w:t>
      </w:r>
    </w:p>
    <w:p w:rsidRPr="00D30CF2" w:rsidR="009F00E9" w:rsidP="009F00E9" w:rsidRDefault="009F00E9" w14:paraId="589D4139" w14:textId="77777777">
      <w:pPr>
        <w:spacing w:after="0" w:line="360" w:lineRule="auto"/>
        <w:jc w:val="center"/>
        <w:rPr>
          <w:rFonts w:ascii="Times New Roman" w:hAnsi="Times New Roman" w:cs="Times New Roman"/>
          <w:sz w:val="24"/>
          <w:szCs w:val="24"/>
          <w:lang w:val="es-PE"/>
        </w:rPr>
      </w:pPr>
      <w:r w:rsidRPr="00D30CF2">
        <w:rPr>
          <w:rFonts w:ascii="Times New Roman" w:hAnsi="Times New Roman" w:cs="Times New Roman"/>
          <w:b/>
          <w:bCs/>
          <w:sz w:val="24"/>
          <w:szCs w:val="24"/>
          <w:lang w:val="es-PE"/>
        </w:rPr>
        <w:t>Gonzalo Abad del Busto – Vocal</w:t>
      </w:r>
    </w:p>
    <w:p w:rsidRPr="000700BB"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0700BB"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700BB" w:rsidR="00C671F5" w:rsidSect="00077B6F">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34BB" w:rsidP="00784355" w:rsidRDefault="003734BB" w14:paraId="291B414A" w14:textId="77777777">
      <w:pPr>
        <w:spacing w:after="0" w:line="240" w:lineRule="auto"/>
      </w:pPr>
      <w:r>
        <w:separator/>
      </w:r>
    </w:p>
  </w:endnote>
  <w:endnote w:type="continuationSeparator" w:id="0">
    <w:p w:rsidR="003734BB" w:rsidP="00784355" w:rsidRDefault="003734BB" w14:paraId="625700FA" w14:textId="77777777">
      <w:pPr>
        <w:spacing w:after="0" w:line="240" w:lineRule="auto"/>
      </w:pPr>
      <w:r>
        <w:continuationSeparator/>
      </w:r>
    </w:p>
  </w:endnote>
  <w:endnote w:type="continuationNotice" w:id="1">
    <w:p w:rsidR="003734BB" w:rsidRDefault="003734BB" w14:paraId="66850A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34BB" w:rsidP="00784355" w:rsidRDefault="003734BB" w14:paraId="24EFC7B9" w14:textId="77777777">
      <w:pPr>
        <w:spacing w:after="0" w:line="240" w:lineRule="auto"/>
      </w:pPr>
      <w:r>
        <w:separator/>
      </w:r>
    </w:p>
  </w:footnote>
  <w:footnote w:type="continuationSeparator" w:id="0">
    <w:p w:rsidR="003734BB" w:rsidP="00784355" w:rsidRDefault="003734BB" w14:paraId="785D029F" w14:textId="77777777">
      <w:pPr>
        <w:spacing w:after="0" w:line="240" w:lineRule="auto"/>
      </w:pPr>
      <w:r>
        <w:continuationSeparator/>
      </w:r>
    </w:p>
  </w:footnote>
  <w:footnote w:type="continuationNotice" w:id="1">
    <w:p w:rsidR="003734BB" w:rsidRDefault="003734BB" w14:paraId="18484FC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5"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3096C70"/>
    <w:multiLevelType w:val="hybridMultilevel"/>
    <w:tmpl w:val="FCBE89E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6"/>
  </w:num>
  <w:num w:numId="5">
    <w:abstractNumId w:va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5"/>
  </w:num>
  <w:num w:numId="9">
    <w:abstractNumId w:val="11"/>
  </w:num>
  <w:num w:numId="10">
    <w:abstractNumId w:val="10"/>
  </w:num>
  <w:num w:numId="11">
    <w:abstractNumId w:val="2"/>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45DA"/>
    <w:rsid w:val="00037922"/>
    <w:rsid w:val="0004480C"/>
    <w:rsid w:val="0004492D"/>
    <w:rsid w:val="00053D16"/>
    <w:rsid w:val="00056D9F"/>
    <w:rsid w:val="00062040"/>
    <w:rsid w:val="00063183"/>
    <w:rsid w:val="0006548C"/>
    <w:rsid w:val="000700BB"/>
    <w:rsid w:val="00070DB6"/>
    <w:rsid w:val="00071A25"/>
    <w:rsid w:val="00072C60"/>
    <w:rsid w:val="000752E4"/>
    <w:rsid w:val="0007539A"/>
    <w:rsid w:val="00076E73"/>
    <w:rsid w:val="00077B6F"/>
    <w:rsid w:val="00080A9A"/>
    <w:rsid w:val="00080E45"/>
    <w:rsid w:val="000821DC"/>
    <w:rsid w:val="000835CB"/>
    <w:rsid w:val="00083D69"/>
    <w:rsid w:val="00083F50"/>
    <w:rsid w:val="00084148"/>
    <w:rsid w:val="00092684"/>
    <w:rsid w:val="000A274F"/>
    <w:rsid w:val="000A5666"/>
    <w:rsid w:val="000A5CAA"/>
    <w:rsid w:val="000B10C3"/>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069"/>
    <w:rsid w:val="001B1E59"/>
    <w:rsid w:val="001B58A3"/>
    <w:rsid w:val="001D0EED"/>
    <w:rsid w:val="001D59D9"/>
    <w:rsid w:val="001D6136"/>
    <w:rsid w:val="001E119C"/>
    <w:rsid w:val="001E3313"/>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360D2"/>
    <w:rsid w:val="00340E4B"/>
    <w:rsid w:val="00345DF0"/>
    <w:rsid w:val="00345F7F"/>
    <w:rsid w:val="00347D7E"/>
    <w:rsid w:val="00353092"/>
    <w:rsid w:val="003544B1"/>
    <w:rsid w:val="003557A0"/>
    <w:rsid w:val="00357D70"/>
    <w:rsid w:val="00362449"/>
    <w:rsid w:val="00364E0F"/>
    <w:rsid w:val="003657C9"/>
    <w:rsid w:val="00366842"/>
    <w:rsid w:val="00367746"/>
    <w:rsid w:val="003734BB"/>
    <w:rsid w:val="00374B0E"/>
    <w:rsid w:val="00377D5A"/>
    <w:rsid w:val="0038167C"/>
    <w:rsid w:val="0038290F"/>
    <w:rsid w:val="00385B6E"/>
    <w:rsid w:val="00387D06"/>
    <w:rsid w:val="00391F72"/>
    <w:rsid w:val="00392259"/>
    <w:rsid w:val="003924AA"/>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073D"/>
    <w:rsid w:val="00402772"/>
    <w:rsid w:val="00403814"/>
    <w:rsid w:val="004049B9"/>
    <w:rsid w:val="004060E9"/>
    <w:rsid w:val="004116AB"/>
    <w:rsid w:val="00414F05"/>
    <w:rsid w:val="0041626C"/>
    <w:rsid w:val="00417E23"/>
    <w:rsid w:val="004210F7"/>
    <w:rsid w:val="00425F75"/>
    <w:rsid w:val="00431D81"/>
    <w:rsid w:val="00432D66"/>
    <w:rsid w:val="00440BC2"/>
    <w:rsid w:val="00444232"/>
    <w:rsid w:val="00460C30"/>
    <w:rsid w:val="00465FB9"/>
    <w:rsid w:val="00466302"/>
    <w:rsid w:val="0047370C"/>
    <w:rsid w:val="0047522D"/>
    <w:rsid w:val="00476394"/>
    <w:rsid w:val="00476BA1"/>
    <w:rsid w:val="00482259"/>
    <w:rsid w:val="00496A1A"/>
    <w:rsid w:val="004A374A"/>
    <w:rsid w:val="004A3E25"/>
    <w:rsid w:val="004A690A"/>
    <w:rsid w:val="004B51ED"/>
    <w:rsid w:val="004C51EC"/>
    <w:rsid w:val="004C6983"/>
    <w:rsid w:val="004D2A2A"/>
    <w:rsid w:val="004D6978"/>
    <w:rsid w:val="004E65DD"/>
    <w:rsid w:val="004F549E"/>
    <w:rsid w:val="00504C79"/>
    <w:rsid w:val="00517CFF"/>
    <w:rsid w:val="005201E9"/>
    <w:rsid w:val="00521B4C"/>
    <w:rsid w:val="0052202A"/>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32285"/>
    <w:rsid w:val="006442E0"/>
    <w:rsid w:val="0064607A"/>
    <w:rsid w:val="00652672"/>
    <w:rsid w:val="006543D4"/>
    <w:rsid w:val="0065542B"/>
    <w:rsid w:val="0065594D"/>
    <w:rsid w:val="00655A90"/>
    <w:rsid w:val="00655BA3"/>
    <w:rsid w:val="00657AD2"/>
    <w:rsid w:val="006672C4"/>
    <w:rsid w:val="00671DB5"/>
    <w:rsid w:val="00676B0D"/>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8B"/>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3B7"/>
    <w:rsid w:val="009A7E68"/>
    <w:rsid w:val="009B29C9"/>
    <w:rsid w:val="009B4291"/>
    <w:rsid w:val="009C1066"/>
    <w:rsid w:val="009C1372"/>
    <w:rsid w:val="009C5373"/>
    <w:rsid w:val="009C6404"/>
    <w:rsid w:val="009C7C2B"/>
    <w:rsid w:val="009D3B98"/>
    <w:rsid w:val="009D6055"/>
    <w:rsid w:val="009E5F11"/>
    <w:rsid w:val="009E7994"/>
    <w:rsid w:val="009E7FDD"/>
    <w:rsid w:val="009F00E9"/>
    <w:rsid w:val="009F143B"/>
    <w:rsid w:val="009F2EEB"/>
    <w:rsid w:val="009F3DD4"/>
    <w:rsid w:val="00A02104"/>
    <w:rsid w:val="00A02270"/>
    <w:rsid w:val="00A038CF"/>
    <w:rsid w:val="00A077D2"/>
    <w:rsid w:val="00A14F48"/>
    <w:rsid w:val="00A16942"/>
    <w:rsid w:val="00A17A72"/>
    <w:rsid w:val="00A23996"/>
    <w:rsid w:val="00A25F51"/>
    <w:rsid w:val="00A27E1A"/>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0968"/>
    <w:rsid w:val="00B45C2D"/>
    <w:rsid w:val="00B55984"/>
    <w:rsid w:val="00B56649"/>
    <w:rsid w:val="00B625F2"/>
    <w:rsid w:val="00B663DC"/>
    <w:rsid w:val="00B710D8"/>
    <w:rsid w:val="00B727A3"/>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19ED"/>
    <w:rsid w:val="00C32068"/>
    <w:rsid w:val="00C33FEF"/>
    <w:rsid w:val="00C35DA4"/>
    <w:rsid w:val="00C361E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0CF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B38E7"/>
    <w:rsid w:val="00EC19C1"/>
    <w:rsid w:val="00EC727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027686A7"/>
    <w:rsid w:val="36B6BCD5"/>
    <w:rsid w:val="4741C3E4"/>
    <w:rsid w:val="5045186B"/>
    <w:rsid w:val="6298D823"/>
    <w:rsid w:val="7EBCE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uiPriority w:val="22"/>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766273731">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s://centraldeayuda.pagoefectivo.pe/hc/article_attachments/4401823454099/mceclip0.png"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CC74771-4158-4A0F-9BA0-24EB9EC482E8}"/>
</file>

<file path=customXml/itemProps3.xml><?xml version="1.0" encoding="utf-8"?>
<ds:datastoreItem xmlns:ds="http://schemas.openxmlformats.org/officeDocument/2006/customXml" ds:itemID="{F5AC115D-BCDC-4BE3-9925-858792C01F66}"/>
</file>

<file path=customXml/itemProps4.xml><?xml version="1.0" encoding="utf-8"?>
<ds:datastoreItem xmlns:ds="http://schemas.openxmlformats.org/officeDocument/2006/customXml" ds:itemID="{785CD804-5A84-46E0-843D-A3336A3189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112</cp:revision>
  <cp:lastPrinted>2021-11-08T14:29:00Z</cp:lastPrinted>
  <dcterms:created xsi:type="dcterms:W3CDTF">2020-12-18T20:17:00Z</dcterms:created>
  <dcterms:modified xsi:type="dcterms:W3CDTF">2026-02-04T20:25:44Z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