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65F91" w:rsidR="00EF0B7F" w:rsidP="00EF0B7F" w:rsidRDefault="00201C0D" w14:paraId="632C635A" w14:textId="0790FBD6">
      <w:pPr>
        <w:pStyle w:val="Ttulo2"/>
        <w:jc w:val="center"/>
        <w:rPr>
          <w:rFonts w:ascii="Times New Roman" w:hAnsi="Times New Roman" w:cs="Times New Roman"/>
          <w:b/>
          <w:bCs/>
          <w:color w:val="auto"/>
          <w:sz w:val="24"/>
          <w:szCs w:val="24"/>
          <w:lang w:val="es-PE" w:eastAsia="ar-SA"/>
        </w:rPr>
      </w:pPr>
      <w:r w:rsidRPr="00065F91">
        <w:rPr>
          <w:rFonts w:ascii="Times New Roman" w:hAnsi="Times New Roman" w:cs="Times New Roman"/>
          <w:b/>
          <w:bCs/>
          <w:color w:val="auto"/>
          <w:sz w:val="24"/>
          <w:szCs w:val="24"/>
          <w:lang w:val="es-PE" w:eastAsia="ar-SA"/>
        </w:rPr>
        <w:t xml:space="preserve">RESOLUCIÓN DE RECURSO IMPUGNATIVO </w:t>
      </w:r>
      <w:proofErr w:type="spellStart"/>
      <w:r w:rsidRPr="00065F91" w:rsidR="00707C99">
        <w:rPr>
          <w:rFonts w:ascii="Times New Roman" w:hAnsi="Times New Roman" w:cs="Times New Roman"/>
          <w:b/>
          <w:bCs/>
          <w:color w:val="auto"/>
          <w:sz w:val="24"/>
          <w:szCs w:val="24"/>
          <w:lang w:val="es-PE" w:eastAsia="ar-SA"/>
        </w:rPr>
        <w:t>N°</w:t>
      </w:r>
      <w:proofErr w:type="spellEnd"/>
      <w:r w:rsidRPr="00065F91" w:rsidR="00707C99">
        <w:rPr>
          <w:rFonts w:ascii="Times New Roman" w:hAnsi="Times New Roman" w:cs="Times New Roman"/>
          <w:b/>
          <w:bCs/>
          <w:color w:val="auto"/>
          <w:sz w:val="24"/>
          <w:szCs w:val="24"/>
          <w:lang w:val="es-PE" w:eastAsia="ar-SA"/>
        </w:rPr>
        <w:t xml:space="preserve"> </w:t>
      </w:r>
      <w:r w:rsidRPr="00065F91" w:rsidR="00C671F5">
        <w:rPr>
          <w:rFonts w:ascii="Times New Roman" w:hAnsi="Times New Roman" w:cs="Times New Roman"/>
          <w:b/>
          <w:bCs/>
          <w:color w:val="auto"/>
          <w:sz w:val="24"/>
          <w:szCs w:val="24"/>
          <w:lang w:val="es-PE" w:eastAsia="ar-SA"/>
        </w:rPr>
        <w:t>0</w:t>
      </w:r>
      <w:r w:rsidRPr="00065F91" w:rsidR="00065F91">
        <w:rPr>
          <w:rFonts w:ascii="Times New Roman" w:hAnsi="Times New Roman" w:cs="Times New Roman"/>
          <w:b/>
          <w:bCs/>
          <w:color w:val="auto"/>
          <w:sz w:val="24"/>
          <w:szCs w:val="24"/>
          <w:lang w:val="es-PE" w:eastAsia="ar-SA"/>
        </w:rPr>
        <w:t>60</w:t>
      </w:r>
      <w:r w:rsidRPr="00065F91" w:rsidR="00517CFF">
        <w:rPr>
          <w:rFonts w:ascii="Times New Roman" w:hAnsi="Times New Roman" w:cs="Times New Roman"/>
          <w:b/>
          <w:bCs/>
          <w:color w:val="auto"/>
          <w:sz w:val="24"/>
          <w:szCs w:val="24"/>
          <w:lang w:val="es-PE" w:eastAsia="ar-SA"/>
        </w:rPr>
        <w:t>/</w:t>
      </w:r>
      <w:r w:rsidRPr="00065F91" w:rsidR="00C671F5">
        <w:rPr>
          <w:rFonts w:ascii="Times New Roman" w:hAnsi="Times New Roman" w:cs="Times New Roman"/>
          <w:b/>
          <w:bCs/>
          <w:color w:val="auto"/>
          <w:sz w:val="24"/>
          <w:szCs w:val="24"/>
          <w:lang w:val="es-PE" w:eastAsia="ar-SA"/>
        </w:rPr>
        <w:t>2</w:t>
      </w:r>
      <w:r w:rsidRPr="00065F91" w:rsidR="00231C58">
        <w:rPr>
          <w:rFonts w:ascii="Times New Roman" w:hAnsi="Times New Roman" w:cs="Times New Roman"/>
          <w:b/>
          <w:bCs/>
          <w:color w:val="auto"/>
          <w:sz w:val="24"/>
          <w:szCs w:val="24"/>
          <w:lang w:val="es-PE" w:eastAsia="ar-SA"/>
        </w:rPr>
        <w:t>1</w:t>
      </w:r>
    </w:p>
    <w:p w:rsidRPr="00065F91" w:rsidR="00FB0C48" w:rsidP="00FB0C48" w:rsidRDefault="00FB0C48" w14:paraId="71F35ACE" w14:textId="77777777">
      <w:pPr>
        <w:jc w:val="both"/>
        <w:outlineLvl w:val="0"/>
        <w:rPr>
          <w:rFonts w:ascii="Times New Roman" w:hAnsi="Times New Roman" w:cs="Times New Roman"/>
          <w:b/>
          <w:bCs/>
          <w:sz w:val="24"/>
          <w:szCs w:val="24"/>
          <w:lang w:val="es-MX"/>
        </w:rPr>
      </w:pPr>
    </w:p>
    <w:p w:rsidRPr="00065F91" w:rsidR="00065F91" w:rsidP="00065F91" w:rsidRDefault="00065F91" w14:paraId="0A95986E" w14:textId="77777777">
      <w:pPr>
        <w:spacing w:after="0" w:line="240" w:lineRule="auto"/>
        <w:jc w:val="both"/>
        <w:rPr>
          <w:rFonts w:ascii="Times New Roman" w:hAnsi="Times New Roman" w:cs="Times New Roman"/>
          <w:sz w:val="24"/>
          <w:szCs w:val="24"/>
          <w:lang w:val="es-PE"/>
        </w:rPr>
      </w:pPr>
      <w:r w:rsidRPr="00065F91">
        <w:rPr>
          <w:rFonts w:ascii="Times New Roman" w:hAnsi="Times New Roman" w:cs="Times New Roman"/>
          <w:b/>
          <w:sz w:val="24"/>
          <w:szCs w:val="24"/>
          <w:lang w:val="es-PE"/>
        </w:rPr>
        <w:t xml:space="preserve">Vistos: </w:t>
      </w:r>
    </w:p>
    <w:p w:rsidRPr="00065F91" w:rsidR="00065F91" w:rsidP="00065F91" w:rsidRDefault="00065F91" w14:paraId="280578BF" w14:textId="77777777">
      <w:pPr>
        <w:spacing w:after="0" w:line="240" w:lineRule="auto"/>
        <w:jc w:val="both"/>
        <w:rPr>
          <w:rFonts w:ascii="Times New Roman" w:hAnsi="Times New Roman" w:cs="Times New Roman"/>
          <w:sz w:val="24"/>
          <w:szCs w:val="24"/>
          <w:lang w:val="es-PE"/>
        </w:rPr>
      </w:pPr>
    </w:p>
    <w:p w:rsidRPr="00065F91" w:rsidR="00065F91" w:rsidP="00065F91" w:rsidRDefault="00065F91" w14:paraId="74F6077B" w14:textId="1E95128C">
      <w:pPr>
        <w:spacing w:line="240" w:lineRule="auto"/>
        <w:jc w:val="both"/>
        <w:rPr>
          <w:rFonts w:ascii="Times New Roman" w:hAnsi="Times New Roman" w:cs="Times New Roman"/>
          <w:sz w:val="24"/>
          <w:szCs w:val="24"/>
          <w:lang w:val="es-PE"/>
        </w:rPr>
      </w:pPr>
      <w:r w:rsidRPr="30BE9C88" w:rsidR="00065F91">
        <w:rPr>
          <w:rFonts w:ascii="Times New Roman" w:hAnsi="Times New Roman" w:cs="Times New Roman"/>
          <w:sz w:val="24"/>
          <w:szCs w:val="24"/>
          <w:lang w:val="es-PE"/>
        </w:rPr>
        <w:t xml:space="preserve">El Recurso Impugnativo presentado el 15 de octubre de 2021 por </w:t>
      </w:r>
      <w:r w:rsidRPr="30BE9C88" w:rsidR="443B432A">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respecto de la Resolución </w:t>
      </w:r>
      <w:r w:rsidRPr="30BE9C88" w:rsidR="00065F91">
        <w:rPr>
          <w:rFonts w:ascii="Times New Roman" w:hAnsi="Times New Roman" w:cs="Times New Roman"/>
          <w:sz w:val="24"/>
          <w:szCs w:val="24"/>
          <w:lang w:val="es-PE"/>
        </w:rPr>
        <w:t>N°</w:t>
      </w:r>
      <w:r w:rsidRPr="30BE9C88" w:rsidR="00065F91">
        <w:rPr>
          <w:rFonts w:ascii="Times New Roman" w:hAnsi="Times New Roman" w:cs="Times New Roman"/>
          <w:sz w:val="24"/>
          <w:szCs w:val="24"/>
          <w:lang w:val="es-PE"/>
        </w:rPr>
        <w:t xml:space="preserve"> 140/21 emitida el 11 de octubre de 2021 por esta Defensoría del Asegurado (DEFASEG) que declaró INFUNDADA la reclamación interpuesta, sobre otorgamiento de cobertura al siniestro ocurrido por Invalidez Permanente Total o Parcial, de acuerdo con las Condiciones Generales y Particulares de la Póliza de Seguro de protección Familiar </w:t>
      </w:r>
      <w:r w:rsidRPr="30BE9C88" w:rsidR="00065F91">
        <w:rPr>
          <w:rFonts w:ascii="Times New Roman" w:hAnsi="Times New Roman" w:cs="Times New Roman"/>
          <w:sz w:val="24"/>
          <w:szCs w:val="24"/>
          <w:lang w:val="es-PE"/>
        </w:rPr>
        <w:t>N°</w:t>
      </w:r>
      <w:r w:rsidRPr="30BE9C88" w:rsidR="00065F91">
        <w:rPr>
          <w:rFonts w:ascii="Times New Roman" w:hAnsi="Times New Roman" w:cs="Times New Roman"/>
          <w:sz w:val="24"/>
          <w:szCs w:val="24"/>
          <w:lang w:val="es-PE"/>
        </w:rPr>
        <w:t xml:space="preserve"> </w:t>
      </w:r>
      <w:r w:rsidRPr="30BE9C88" w:rsidR="52B7E96F">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w:t>
      </w:r>
    </w:p>
    <w:p w:rsidRPr="00065F91" w:rsidR="00065F91" w:rsidP="00065F91" w:rsidRDefault="00065F91" w14:paraId="1D8A008F" w14:textId="18F56573">
      <w:pPr>
        <w:spacing w:line="240" w:lineRule="auto"/>
        <w:jc w:val="both"/>
        <w:rPr>
          <w:rFonts w:ascii="Times New Roman" w:hAnsi="Times New Roman" w:cs="Times New Roman"/>
          <w:sz w:val="24"/>
          <w:szCs w:val="24"/>
          <w:lang w:val="es-PE"/>
        </w:rPr>
      </w:pPr>
      <w:r w:rsidRPr="30BE9C88" w:rsidR="00065F91">
        <w:rPr>
          <w:rFonts w:ascii="Times New Roman" w:hAnsi="Times New Roman" w:cs="Times New Roman"/>
          <w:sz w:val="24"/>
          <w:szCs w:val="24"/>
          <w:lang w:val="es-PE"/>
        </w:rPr>
        <w:t>Que el señalado Recurso Impugnativo se fundamenta resumidamente en lo siguiente: 1) Que, de la Resolución recurrida se advierte que no existe una adecuada y suficiente motivación de lo decidido y lo que causa mayor incertidumbre jurídica es que la recurrida atenta contra el principio y garantía constitucional del debido proceso, ya que la decisión está sustentada solo en motivación aparente. 2) Que, la recurrida es únicamente un relato de lo acontecido y presumiéndose un sesgo o parcialización frente a los intereses de la denunciada, porque el único fundamento para declarar infundada la reclamación, se encuentra en el Considerando NOVENO, numeral 1) de la Resolución: “</w:t>
      </w:r>
      <w:r w:rsidRPr="30BE9C88" w:rsidR="00065F91">
        <w:rPr>
          <w:rFonts w:ascii="Times New Roman" w:hAnsi="Times New Roman" w:cs="Times New Roman"/>
          <w:i w:val="1"/>
          <w:iCs w:val="1"/>
          <w:sz w:val="24"/>
          <w:szCs w:val="24"/>
          <w:lang w:val="es-PE"/>
        </w:rPr>
        <w:t xml:space="preserve">Que, en relación a lo indicado por el asegurado de que </w:t>
      </w:r>
      <w:r w:rsidRPr="30BE9C88" w:rsidR="6BF255EB">
        <w:rPr>
          <w:rFonts w:ascii="Times New Roman" w:hAnsi="Times New Roman" w:cs="Times New Roman"/>
          <w:i w:val="1"/>
          <w:iCs w:val="1"/>
          <w:sz w:val="24"/>
          <w:szCs w:val="24"/>
          <w:lang w:val="es-PE"/>
        </w:rPr>
        <w:t>..........................</w:t>
      </w:r>
      <w:r w:rsidRPr="30BE9C88" w:rsidR="00065F91">
        <w:rPr>
          <w:rFonts w:ascii="Times New Roman" w:hAnsi="Times New Roman" w:cs="Times New Roman"/>
          <w:i w:val="1"/>
          <w:iCs w:val="1"/>
          <w:sz w:val="24"/>
          <w:szCs w:val="24"/>
          <w:lang w:val="es-PE"/>
        </w:rPr>
        <w:t xml:space="preserve"> solo le hizo conocer las Condiciones Particulares de la póliza y no las Condiciones Generales, donde se encuentra el sustento del rechazo de la indemnización, de acuerdo a los documentos entregados por el propio asegurado en su escrito de reclamación, aparece la póliza completa, es decir, las Condiciones Generales, Particulares y el resumen de las Condiciones Generales, por lo que el reclamante tuvo la oportunidad como consumidor diligente de enterarse de todas las condiciones mencionadas, las mismas que en forma conjunta forman parte del contrato de seguros (…)”. </w:t>
      </w:r>
      <w:r w:rsidRPr="30BE9C88" w:rsidR="00065F91">
        <w:rPr>
          <w:rFonts w:ascii="Times New Roman" w:hAnsi="Times New Roman" w:cs="Times New Roman"/>
          <w:sz w:val="24"/>
          <w:szCs w:val="24"/>
          <w:lang w:val="es-PE"/>
        </w:rPr>
        <w:t>Que, al respecto, la documentación fue entregada por la aseguradora con carta de fecha 12 de diciembre de 2019, y esa carta fue en respuesta al pedido del asegurado de información; es por esa razón que dichos documentos contienen el sello de recepción 04 de diciembre de 2019, es decir, que la reclamada nunca le hizo entrega al asegurado de dichos documentos, por eso no presentó los cargos de recepción de dichos documentos.</w:t>
      </w:r>
      <w:r w:rsidRPr="30BE9C88" w:rsidR="00065F91">
        <w:rPr>
          <w:rFonts w:ascii="Times New Roman" w:hAnsi="Times New Roman" w:cs="Times New Roman"/>
          <w:sz w:val="24"/>
          <w:szCs w:val="24"/>
          <w:lang w:val="es-PE"/>
        </w:rPr>
        <w:t xml:space="preserve"> 3) Que, sin perjuicio de lo mencionado, el rechazo al reclamo es una presunción personal del colegiado, en la que al haber presentado la defensa técnica la documentación completa del contrato de seguro, el asegurado tenía la posibilidad de conocer todos los extremos del contrato de seguro; nada más errado, pues en el supuesto de que se hubiera entregado la documentación en cuestión, no bastaría con que tuviera la posibilidad o que conociera los extremos del contrato, sino que estos debieron formar parte de la negociación y oferta del producto y por ende de la aceptación por parte del asegurado, ya que lo no informado y no negociado no forma parte de la voluntad contractual y por lo tanto no forma parte del contrato. 4) Que, la sala no ha hecho un análisis adecuado de los fundamentos fácticos y documentales como el principio de la adquisición o comunidad de la prueba y que no se ha valorado que la reclamada no ha adjuntado documentación que indiquen que las condiciones generales que pretende aplicar le hayan sido entregadas al asegurado.</w:t>
      </w:r>
    </w:p>
    <w:p w:rsidRPr="00065F91" w:rsidR="00065F91" w:rsidP="00065F91" w:rsidRDefault="00065F91" w14:paraId="52441FA0" w14:textId="78A91FFB">
      <w:pPr>
        <w:spacing w:line="240" w:lineRule="auto"/>
        <w:jc w:val="both"/>
        <w:rPr>
          <w:rFonts w:ascii="Times New Roman" w:hAnsi="Times New Roman" w:cs="Times New Roman"/>
          <w:sz w:val="24"/>
          <w:szCs w:val="24"/>
          <w:lang w:val="es-PE"/>
        </w:rPr>
      </w:pPr>
      <w:r w:rsidRPr="30BE9C88" w:rsidR="00065F91">
        <w:rPr>
          <w:rFonts w:ascii="Times New Roman" w:hAnsi="Times New Roman" w:cs="Times New Roman"/>
          <w:sz w:val="24"/>
          <w:szCs w:val="24"/>
          <w:lang w:val="es-PE"/>
        </w:rPr>
        <w:t xml:space="preserve">Que, </w:t>
      </w:r>
      <w:r w:rsidRPr="30BE9C88" w:rsidR="6BF255EB">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en respuesta al escrito enviado por el reclamante, expresa lo siguiente: 1) Que, el señor </w:t>
      </w:r>
      <w:r w:rsidRPr="30BE9C88" w:rsidR="0BEA30EF">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sustenta su recurso manifestando que corresponde que </w:t>
      </w:r>
      <w:r w:rsidRPr="30BE9C88" w:rsidR="6BF255EB">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w:t>
      </w:r>
      <w:r w:rsidRPr="30BE9C88" w:rsidR="00065F91">
        <w:rPr>
          <w:rFonts w:ascii="Times New Roman" w:hAnsi="Times New Roman" w:cs="Times New Roman"/>
          <w:sz w:val="24"/>
          <w:szCs w:val="24"/>
          <w:lang w:val="es-PE"/>
        </w:rPr>
        <w:t>le otorgue la Cobertura de Invalidez Permanente Total o Parcial por accidente de la Póliza de protección Familiar, en tanto la documentación en la cual se consigna las coberturas no le fue entregada.</w:t>
      </w:r>
      <w:r w:rsidRPr="30BE9C88" w:rsidR="00065F91">
        <w:rPr>
          <w:rFonts w:ascii="Times New Roman" w:hAnsi="Times New Roman" w:cs="Times New Roman"/>
          <w:sz w:val="24"/>
          <w:szCs w:val="24"/>
          <w:lang w:val="es-PE"/>
        </w:rPr>
        <w:t xml:space="preserve"> Que, no obstante, el criterio asumido por el colegiado es acertado, pues ciertamente </w:t>
      </w:r>
      <w:r w:rsidRPr="30BE9C88" w:rsidR="00065F91">
        <w:rPr>
          <w:rFonts w:ascii="Times New Roman" w:hAnsi="Times New Roman" w:cs="Times New Roman"/>
          <w:sz w:val="24"/>
          <w:szCs w:val="24"/>
          <w:lang w:val="es-PE"/>
        </w:rPr>
        <w:t xml:space="preserve">el señor </w:t>
      </w:r>
      <w:r w:rsidRPr="30BE9C88" w:rsidR="0BEA30EF">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tenía pleno conocimiento de los términos y condiciones de la póliza, dentro de estos, sobre la cobertura de Invalidez Permanente. 2) Que, el asegurado manifiesta que en caso se le hubiese entregado el documento donde conste las condiciones generales de la póliza, ello no bastaría, pues estos debieron formar parte de la negociación y oferta del producto, y por ende de la aceptación por parte del contratante. Que, lo señalado por el asegurado resulta absurdo, ya que una vez contratado un producto o servicio lo que le corresponde a todo consumidor diligente y responsable es conocer lo que ha adquirido, más aún si se trata de un Seguro de Vida como en el presente caso. 3) Que, por consiguiente, si bien el asegurado ha señalado que no tenía conocimiento de los extremos del contrato, lo cierto es que ha presentado documentación que ha permitido determinar que tenía conocimiento de las coberturas y condiciones de cada una de ellas.</w:t>
      </w:r>
    </w:p>
    <w:p w:rsidRPr="00065F91" w:rsidR="00065F91" w:rsidP="00065F91" w:rsidRDefault="00065F91" w14:paraId="1A7E2760" w14:textId="77777777">
      <w:pPr>
        <w:spacing w:line="240" w:lineRule="auto"/>
        <w:jc w:val="both"/>
        <w:rPr>
          <w:rFonts w:ascii="Times New Roman" w:hAnsi="Times New Roman" w:cs="Times New Roman"/>
          <w:i/>
          <w:sz w:val="24"/>
          <w:szCs w:val="24"/>
          <w:lang w:val="es-PE"/>
        </w:rPr>
      </w:pPr>
      <w:r w:rsidRPr="00065F91">
        <w:rPr>
          <w:rFonts w:ascii="Times New Roman" w:hAnsi="Times New Roman" w:cs="Times New Roman"/>
          <w:sz w:val="24"/>
          <w:szCs w:val="24"/>
          <w:lang w:val="es-PE"/>
        </w:rPr>
        <w:t>Que, atendiendo a lo expuesto, esta Defensoría resuelve finalmente lo siguiente:</w:t>
      </w:r>
    </w:p>
    <w:p w:rsidRPr="00065F91" w:rsidR="00065F91" w:rsidP="00065F91" w:rsidRDefault="00065F91" w14:paraId="74B95714" w14:textId="19DA7C26">
      <w:pPr>
        <w:spacing w:line="240" w:lineRule="auto"/>
        <w:jc w:val="both"/>
        <w:rPr>
          <w:rFonts w:ascii="Times New Roman" w:hAnsi="Times New Roman" w:cs="Times New Roman"/>
          <w:sz w:val="24"/>
          <w:szCs w:val="24"/>
          <w:lang w:val="es-PE"/>
        </w:rPr>
      </w:pPr>
      <w:r w:rsidRPr="30BE9C88" w:rsidR="00065F91">
        <w:rPr>
          <w:rFonts w:ascii="Times New Roman" w:hAnsi="Times New Roman" w:cs="Times New Roman"/>
          <w:b w:val="1"/>
          <w:bCs w:val="1"/>
          <w:sz w:val="24"/>
          <w:szCs w:val="24"/>
          <w:lang w:val="es-PE"/>
        </w:rPr>
        <w:t>PRIMERO:</w:t>
      </w:r>
      <w:r w:rsidRPr="30BE9C88" w:rsidR="00065F91">
        <w:rPr>
          <w:rFonts w:ascii="Times New Roman" w:hAnsi="Times New Roman" w:cs="Times New Roman"/>
          <w:sz w:val="24"/>
          <w:szCs w:val="24"/>
          <w:lang w:val="es-PE"/>
        </w:rPr>
        <w:t xml:space="preserve"> Que el artículo 10 (Procedimiento) del Reglamento de la DEFASEG (</w:t>
      </w:r>
      <w:hyperlink r:id="R2ce5d4b93ee44f58">
        <w:r w:rsidRPr="30BE9C88" w:rsidR="00065F91">
          <w:rPr>
            <w:rStyle w:val="Hipervnculo"/>
            <w:rFonts w:ascii="Times New Roman" w:hAnsi="Times New Roman" w:cs="Times New Roman"/>
            <w:sz w:val="24"/>
            <w:szCs w:val="24"/>
            <w:lang w:val="es-PE"/>
          </w:rPr>
          <w:t>http://www.defaseg.com.pe/reglamento</w:t>
        </w:r>
      </w:hyperlink>
      <w:r w:rsidRPr="30BE9C88" w:rsidR="00065F9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0BE9C88" w:rsidR="443B432A">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065F91" w:rsidR="00065F91" w:rsidP="00065F91" w:rsidRDefault="00065F91" w14:paraId="054E85DE" w14:textId="77777777">
      <w:pPr>
        <w:spacing w:line="240" w:lineRule="auto"/>
        <w:jc w:val="both"/>
        <w:rPr>
          <w:rFonts w:ascii="Times New Roman" w:hAnsi="Times New Roman" w:cs="Times New Roman"/>
          <w:sz w:val="24"/>
          <w:szCs w:val="24"/>
          <w:lang w:val="es-PE"/>
        </w:rPr>
      </w:pPr>
      <w:r w:rsidRPr="00065F91">
        <w:rPr>
          <w:rFonts w:ascii="Times New Roman" w:hAnsi="Times New Roman" w:cs="Times New Roman"/>
          <w:b/>
          <w:sz w:val="24"/>
          <w:szCs w:val="24"/>
          <w:lang w:val="es-PE"/>
        </w:rPr>
        <w:t>SEGUNDO:</w:t>
      </w:r>
      <w:r w:rsidRPr="00065F91">
        <w:rPr>
          <w:rFonts w:ascii="Times New Roman" w:hAnsi="Times New Roman" w:cs="Times New Roman"/>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065F91" w:rsidR="00065F91" w:rsidP="00065F91" w:rsidRDefault="00065F91" w14:paraId="307242D5" w14:textId="77777777">
      <w:pPr>
        <w:spacing w:line="240" w:lineRule="auto"/>
        <w:jc w:val="both"/>
        <w:rPr>
          <w:rFonts w:ascii="Times New Roman" w:hAnsi="Times New Roman" w:cs="Times New Roman"/>
          <w:sz w:val="24"/>
          <w:szCs w:val="24"/>
          <w:lang w:val="es-PE"/>
        </w:rPr>
      </w:pPr>
      <w:r w:rsidRPr="00065F91">
        <w:rPr>
          <w:rFonts w:ascii="Times New Roman" w:hAnsi="Times New Roman" w:cs="Times New Roman"/>
          <w:sz w:val="24"/>
          <w:szCs w:val="24"/>
          <w:lang w:val="es-PE"/>
        </w:rPr>
        <w:t>Sin perjuicio de lo anterior, la DEFASEG considera oportuno aclarar dos puntos mencionados por el reclamante en su Recurso Impugnativo:</w:t>
      </w:r>
    </w:p>
    <w:p w:rsidRPr="00065F91" w:rsidR="00065F91" w:rsidP="00065F91" w:rsidRDefault="00065F91" w14:paraId="2A7AAD29" w14:textId="7F224646">
      <w:pPr>
        <w:pStyle w:val="Prrafodelista"/>
        <w:numPr>
          <w:ilvl w:val="0"/>
          <w:numId w:val="12"/>
        </w:numPr>
        <w:spacing w:after="200" w:line="240" w:lineRule="auto"/>
        <w:jc w:val="both"/>
        <w:rPr>
          <w:rFonts w:ascii="Times New Roman" w:hAnsi="Times New Roman" w:cs="Times New Roman"/>
          <w:sz w:val="24"/>
          <w:szCs w:val="24"/>
          <w:lang w:val="es-PE"/>
        </w:rPr>
      </w:pPr>
      <w:r w:rsidRPr="30BE9C88" w:rsidR="00065F91">
        <w:rPr>
          <w:rFonts w:ascii="Times New Roman" w:hAnsi="Times New Roman" w:cs="Times New Roman"/>
          <w:sz w:val="24"/>
          <w:szCs w:val="24"/>
          <w:lang w:val="es-PE"/>
        </w:rPr>
        <w:t xml:space="preserve">Que, las Condiciones Generales de la Póliza le fueron entregadas con carta de fecha 12 de diciembre de 2019, y esa carta fue en respuesta al pedido del asegurado de información. Que, al respecto, en el expediente figura que, junto con el escrito de reclamación presentado por el asegurado, el mismo adjunta la carta de </w:t>
      </w:r>
      <w:r w:rsidRPr="30BE9C88" w:rsidR="6BF255EB">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xml:space="preserve"> de fecha primero de febrero de 2017, a la que se adjuntan las Condiciones Particulares y Generales de la Póliza contratada.</w:t>
      </w:r>
    </w:p>
    <w:p w:rsidRPr="00065F91" w:rsidR="00065F91" w:rsidP="00065F91" w:rsidRDefault="00065F91" w14:paraId="3F51D82F" w14:textId="77777777">
      <w:pPr>
        <w:pStyle w:val="Prrafodelista"/>
        <w:numPr>
          <w:ilvl w:val="0"/>
          <w:numId w:val="12"/>
        </w:numPr>
        <w:spacing w:after="200" w:line="240" w:lineRule="auto"/>
        <w:jc w:val="both"/>
        <w:rPr>
          <w:rFonts w:ascii="Times New Roman" w:hAnsi="Times New Roman" w:cs="Times New Roman"/>
          <w:sz w:val="24"/>
          <w:szCs w:val="24"/>
          <w:lang w:val="es-PE"/>
        </w:rPr>
      </w:pPr>
      <w:r w:rsidRPr="00065F91">
        <w:rPr>
          <w:rFonts w:ascii="Times New Roman" w:hAnsi="Times New Roman" w:cs="Times New Roman"/>
          <w:sz w:val="24"/>
          <w:szCs w:val="24"/>
          <w:lang w:val="es-PE"/>
        </w:rPr>
        <w:t>Que, respecto a la afirmación del asegurado sobre que así tenga la documentación completa del contrato de seguro, ello no bastaría, sino que estos debieron formar parte de la negociación y oferta del producto y por ende de la aceptación por parte del asegurado, el colegiado respeta, pero no comparte tal afirmación, ya que como consumidor responsable debería interesarse en leer y conocer las condiciones del seguro adquirido.</w:t>
      </w:r>
    </w:p>
    <w:p w:rsidRPr="00065F91" w:rsidR="00065F91" w:rsidP="00065F91" w:rsidRDefault="00065F91" w14:paraId="41DF5831" w14:textId="77777777">
      <w:pPr>
        <w:spacing w:line="240" w:lineRule="auto"/>
        <w:jc w:val="both"/>
        <w:rPr>
          <w:rFonts w:ascii="Times New Roman" w:hAnsi="Times New Roman" w:cs="Times New Roman"/>
          <w:sz w:val="24"/>
          <w:szCs w:val="24"/>
          <w:lang w:val="es-PE"/>
        </w:rPr>
      </w:pPr>
      <w:r w:rsidRPr="00065F91">
        <w:rPr>
          <w:rFonts w:ascii="Times New Roman" w:hAnsi="Times New Roman" w:cs="Times New Roman"/>
          <w:sz w:val="24"/>
          <w:szCs w:val="24"/>
          <w:lang w:val="es-PE"/>
        </w:rPr>
        <w:lastRenderedPageBreak/>
        <w:t>Que, en atención a las consideraciones precedentes, este colegiado no aprecia que exista mérito y razón objetiva para revocar la resolución recurrida y, por lo tanto</w:t>
      </w:r>
    </w:p>
    <w:p w:rsidRPr="00065F91" w:rsidR="00065F91" w:rsidP="00065F91" w:rsidRDefault="00065F91" w14:paraId="304736D4" w14:textId="77777777">
      <w:pPr>
        <w:spacing w:line="240" w:lineRule="auto"/>
        <w:jc w:val="both"/>
        <w:rPr>
          <w:rFonts w:ascii="Times New Roman" w:hAnsi="Times New Roman" w:cs="Times New Roman"/>
          <w:b/>
          <w:sz w:val="24"/>
          <w:szCs w:val="24"/>
          <w:lang w:val="es-PE"/>
        </w:rPr>
      </w:pPr>
      <w:r w:rsidRPr="00065F91">
        <w:rPr>
          <w:rFonts w:ascii="Times New Roman" w:hAnsi="Times New Roman" w:cs="Times New Roman"/>
          <w:b/>
          <w:sz w:val="24"/>
          <w:szCs w:val="24"/>
          <w:lang w:val="es-PE"/>
        </w:rPr>
        <w:t xml:space="preserve">RESUELVE: </w:t>
      </w:r>
    </w:p>
    <w:p w:rsidRPr="00065F91" w:rsidR="00065F91" w:rsidP="00065F91" w:rsidRDefault="00065F91" w14:paraId="370F337D" w14:textId="43BAA59C">
      <w:pPr>
        <w:spacing w:line="240" w:lineRule="auto"/>
        <w:jc w:val="both"/>
        <w:rPr>
          <w:rFonts w:ascii="Times New Roman" w:hAnsi="Times New Roman" w:cs="Times New Roman"/>
          <w:sz w:val="24"/>
          <w:szCs w:val="24"/>
          <w:lang w:val="es-PE"/>
        </w:rPr>
      </w:pPr>
      <w:r w:rsidRPr="30BE9C88" w:rsidR="00065F91">
        <w:rPr>
          <w:rFonts w:ascii="Times New Roman" w:hAnsi="Times New Roman" w:cs="Times New Roman"/>
          <w:sz w:val="24"/>
          <w:szCs w:val="24"/>
          <w:lang w:val="es-PE"/>
        </w:rPr>
        <w:t xml:space="preserve">Declarar </w:t>
      </w:r>
      <w:r w:rsidRPr="30BE9C88" w:rsidR="00065F91">
        <w:rPr>
          <w:rFonts w:ascii="Times New Roman" w:hAnsi="Times New Roman" w:cs="Times New Roman"/>
          <w:b w:val="1"/>
          <w:bCs w:val="1"/>
          <w:sz w:val="24"/>
          <w:szCs w:val="24"/>
          <w:lang w:val="es-PE"/>
        </w:rPr>
        <w:t>INFUNDADO</w:t>
      </w:r>
      <w:r w:rsidRPr="30BE9C88" w:rsidR="00065F91">
        <w:rPr>
          <w:rFonts w:ascii="Times New Roman" w:hAnsi="Times New Roman" w:cs="Times New Roman"/>
          <w:sz w:val="24"/>
          <w:szCs w:val="24"/>
          <w:lang w:val="es-PE"/>
        </w:rPr>
        <w:t xml:space="preserve"> el Recurso Impugnativo interpuesto y, por consiguiente, RATIFICAR la Resolución </w:t>
      </w:r>
      <w:r w:rsidRPr="30BE9C88" w:rsidR="00065F91">
        <w:rPr>
          <w:rFonts w:ascii="Times New Roman" w:hAnsi="Times New Roman" w:cs="Times New Roman"/>
          <w:sz w:val="24"/>
          <w:szCs w:val="24"/>
          <w:lang w:val="es-PE"/>
        </w:rPr>
        <w:t>N°</w:t>
      </w:r>
      <w:r w:rsidRPr="30BE9C88" w:rsidR="00065F91">
        <w:rPr>
          <w:rFonts w:ascii="Times New Roman" w:hAnsi="Times New Roman" w:cs="Times New Roman"/>
          <w:sz w:val="24"/>
          <w:szCs w:val="24"/>
          <w:lang w:val="es-PE"/>
        </w:rPr>
        <w:t xml:space="preserve"> 140/21 que declaró INFUNDADA la reclamación interpuesta por </w:t>
      </w:r>
      <w:r w:rsidRPr="30BE9C88" w:rsidR="443B432A">
        <w:rPr>
          <w:rFonts w:ascii="Times New Roman" w:hAnsi="Times New Roman" w:cs="Times New Roman"/>
          <w:sz w:val="24"/>
          <w:szCs w:val="24"/>
          <w:lang w:val="es-PE"/>
        </w:rPr>
        <w:t>.............................................</w:t>
      </w:r>
      <w:r w:rsidRPr="30BE9C88" w:rsidR="00065F91">
        <w:rPr>
          <w:rFonts w:ascii="Times New Roman" w:hAnsi="Times New Roman" w:cs="Times New Roman"/>
          <w:sz w:val="24"/>
          <w:szCs w:val="24"/>
          <w:lang w:val="es-PE"/>
        </w:rPr>
        <w:t>, dejando a salvo el derecho del reclamante de acudir a otras instancias que considere pertinentes.</w:t>
      </w:r>
    </w:p>
    <w:p w:rsidRPr="00065F91"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065F91" w:rsidR="00C671F5" w:rsidP="005E398E" w:rsidRDefault="0091528B" w14:paraId="486C3F46" w14:textId="619D9DDD">
      <w:pPr>
        <w:suppressAutoHyphens/>
        <w:spacing w:after="0" w:line="240" w:lineRule="auto"/>
        <w:jc w:val="right"/>
        <w:outlineLvl w:val="0"/>
        <w:rPr>
          <w:rFonts w:ascii="Times New Roman" w:hAnsi="Times New Roman" w:eastAsia="Arial Unicode MS" w:cs="Times New Roman"/>
          <w:sz w:val="24"/>
          <w:szCs w:val="24"/>
          <w:lang w:val="es-PE" w:eastAsia="ar-SA"/>
        </w:rPr>
      </w:pPr>
      <w:r w:rsidRPr="00065F91">
        <w:rPr>
          <w:rFonts w:ascii="Times New Roman" w:hAnsi="Times New Roman" w:eastAsia="Arial Unicode MS" w:cs="Times New Roman"/>
          <w:sz w:val="24"/>
          <w:szCs w:val="24"/>
          <w:lang w:val="es-PE" w:eastAsia="ar-SA"/>
        </w:rPr>
        <w:t xml:space="preserve">Lima, </w:t>
      </w:r>
      <w:r w:rsidRPr="00065F91" w:rsidR="00FD35C4">
        <w:rPr>
          <w:rFonts w:ascii="Times New Roman" w:hAnsi="Times New Roman" w:eastAsia="Arial Unicode MS" w:cs="Times New Roman"/>
          <w:sz w:val="24"/>
          <w:szCs w:val="24"/>
          <w:lang w:val="es-PE" w:eastAsia="ar-SA"/>
        </w:rPr>
        <w:t>0</w:t>
      </w:r>
      <w:r w:rsidRPr="00065F91" w:rsidR="00065F91">
        <w:rPr>
          <w:rFonts w:ascii="Times New Roman" w:hAnsi="Times New Roman" w:eastAsia="Arial Unicode MS" w:cs="Times New Roman"/>
          <w:sz w:val="24"/>
          <w:szCs w:val="24"/>
          <w:lang w:val="es-PE" w:eastAsia="ar-SA"/>
        </w:rPr>
        <w:t>8</w:t>
      </w:r>
      <w:r w:rsidRPr="00065F91" w:rsidR="00DD21B2">
        <w:rPr>
          <w:rFonts w:ascii="Times New Roman" w:hAnsi="Times New Roman" w:eastAsia="Arial Unicode MS" w:cs="Times New Roman"/>
          <w:sz w:val="24"/>
          <w:szCs w:val="24"/>
          <w:lang w:val="es-PE" w:eastAsia="ar-SA"/>
        </w:rPr>
        <w:t xml:space="preserve"> </w:t>
      </w:r>
      <w:r w:rsidRPr="00065F91" w:rsidR="00707C99">
        <w:rPr>
          <w:rFonts w:ascii="Times New Roman" w:hAnsi="Times New Roman" w:eastAsia="Arial Unicode MS" w:cs="Times New Roman"/>
          <w:sz w:val="24"/>
          <w:szCs w:val="24"/>
          <w:lang w:val="es-PE" w:eastAsia="ar-SA"/>
        </w:rPr>
        <w:t>de</w:t>
      </w:r>
      <w:r w:rsidRPr="00065F91" w:rsidR="00864B0B">
        <w:rPr>
          <w:rFonts w:ascii="Times New Roman" w:hAnsi="Times New Roman" w:eastAsia="Arial Unicode MS" w:cs="Times New Roman"/>
          <w:sz w:val="24"/>
          <w:szCs w:val="24"/>
          <w:lang w:val="es-PE" w:eastAsia="ar-SA"/>
        </w:rPr>
        <w:t xml:space="preserve"> </w:t>
      </w:r>
      <w:r w:rsidR="00AD1B33">
        <w:rPr>
          <w:rFonts w:ascii="Times New Roman" w:hAnsi="Times New Roman" w:eastAsia="Arial Unicode MS" w:cs="Times New Roman"/>
          <w:sz w:val="24"/>
          <w:szCs w:val="24"/>
          <w:lang w:val="es-PE" w:eastAsia="ar-SA"/>
        </w:rPr>
        <w:t>noviembre</w:t>
      </w:r>
      <w:r w:rsidRPr="00065F91" w:rsidR="00F06498">
        <w:rPr>
          <w:rFonts w:ascii="Times New Roman" w:hAnsi="Times New Roman" w:eastAsia="Arial Unicode MS" w:cs="Times New Roman"/>
          <w:sz w:val="24"/>
          <w:szCs w:val="24"/>
          <w:lang w:val="es-PE" w:eastAsia="ar-SA"/>
        </w:rPr>
        <w:t xml:space="preserve"> de 202</w:t>
      </w:r>
      <w:r w:rsidRPr="00065F91" w:rsidR="00231C58">
        <w:rPr>
          <w:rFonts w:ascii="Times New Roman" w:hAnsi="Times New Roman" w:eastAsia="Arial Unicode MS" w:cs="Times New Roman"/>
          <w:sz w:val="24"/>
          <w:szCs w:val="24"/>
          <w:lang w:val="es-PE" w:eastAsia="ar-SA"/>
        </w:rPr>
        <w:t>1</w:t>
      </w:r>
      <w:r w:rsidRPr="00065F91" w:rsidR="00707C99">
        <w:rPr>
          <w:rFonts w:ascii="Times New Roman" w:hAnsi="Times New Roman" w:eastAsia="Times New Roman" w:cs="Times New Roman"/>
          <w:sz w:val="24"/>
          <w:szCs w:val="24"/>
          <w:lang w:val="es-PE" w:eastAsia="ar-SA"/>
        </w:rPr>
        <w:t xml:space="preserve"> </w:t>
      </w:r>
    </w:p>
    <w:p w:rsidRPr="00065F91"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65F91"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065F9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65F91"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065F91"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065F91">
        <w:rPr>
          <w:rFonts w:ascii="Times New Roman" w:hAnsi="Times New Roman" w:cs="Times New Roman"/>
          <w:b/>
          <w:bCs/>
          <w:sz w:val="24"/>
          <w:szCs w:val="24"/>
          <w:lang w:val="es-PE"/>
        </w:rPr>
        <w:t xml:space="preserve">Rolando Eyzaguirre </w:t>
      </w:r>
      <w:proofErr w:type="spellStart"/>
      <w:r w:rsidRPr="00065F91">
        <w:rPr>
          <w:rFonts w:ascii="Times New Roman" w:hAnsi="Times New Roman" w:cs="Times New Roman"/>
          <w:b/>
          <w:bCs/>
          <w:sz w:val="24"/>
          <w:szCs w:val="24"/>
          <w:lang w:val="es-PE"/>
        </w:rPr>
        <w:t>Maccan</w:t>
      </w:r>
      <w:proofErr w:type="spellEnd"/>
      <w:r w:rsidRPr="00065F91">
        <w:rPr>
          <w:rFonts w:ascii="Times New Roman" w:hAnsi="Times New Roman" w:cs="Times New Roman"/>
          <w:b/>
          <w:bCs/>
          <w:sz w:val="24"/>
          <w:szCs w:val="24"/>
          <w:lang w:val="es-PE"/>
        </w:rPr>
        <w:t xml:space="preserve"> – </w:t>
      </w:r>
      <w:proofErr w:type="gramStart"/>
      <w:r w:rsidRPr="00065F91">
        <w:rPr>
          <w:rFonts w:ascii="Times New Roman" w:hAnsi="Times New Roman" w:cs="Times New Roman"/>
          <w:b/>
          <w:bCs/>
          <w:sz w:val="24"/>
          <w:szCs w:val="24"/>
          <w:lang w:val="es-PE"/>
        </w:rPr>
        <w:t>Presidente</w:t>
      </w:r>
      <w:proofErr w:type="gramEnd"/>
    </w:p>
    <w:p w:rsidRPr="00065F91"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065F91">
        <w:rPr>
          <w:rFonts w:ascii="Times New Roman" w:hAnsi="Times New Roman" w:cs="Times New Roman"/>
          <w:b/>
          <w:bCs/>
          <w:sz w:val="24"/>
          <w:szCs w:val="24"/>
          <w:lang w:val="es-PE"/>
        </w:rPr>
        <w:t>María Eugenia Valdez Fernández Baca– Vocal</w:t>
      </w:r>
    </w:p>
    <w:p w:rsidRPr="00065F91"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065F91">
        <w:rPr>
          <w:rFonts w:ascii="Times New Roman" w:hAnsi="Times New Roman" w:cs="Times New Roman"/>
          <w:b/>
          <w:bCs/>
          <w:sz w:val="24"/>
          <w:szCs w:val="24"/>
          <w:lang w:val="es-PE"/>
        </w:rPr>
        <w:t>Marco Antonio Ortega Piana – Vocal</w:t>
      </w:r>
    </w:p>
    <w:p w:rsidRPr="00065F91"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065F91">
        <w:rPr>
          <w:rFonts w:ascii="Times New Roman" w:hAnsi="Times New Roman" w:cs="Times New Roman"/>
          <w:b/>
          <w:bCs/>
          <w:sz w:val="24"/>
          <w:szCs w:val="24"/>
          <w:lang w:val="es-PE"/>
        </w:rPr>
        <w:t xml:space="preserve">Gonzalo Abad del Busto </w:t>
      </w:r>
      <w:r w:rsidRPr="00065F91" w:rsidR="00231C58">
        <w:rPr>
          <w:rFonts w:ascii="Times New Roman" w:hAnsi="Times New Roman" w:cs="Times New Roman"/>
          <w:b/>
          <w:bCs/>
          <w:sz w:val="24"/>
          <w:szCs w:val="24"/>
          <w:lang w:val="es-PE"/>
        </w:rPr>
        <w:t xml:space="preserve">– </w:t>
      </w:r>
      <w:r w:rsidRPr="00065F91">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056A" w:rsidP="00784355" w:rsidRDefault="008C056A" w14:paraId="52D88FC1" w14:textId="77777777">
      <w:pPr>
        <w:spacing w:after="0" w:line="240" w:lineRule="auto"/>
      </w:pPr>
      <w:r>
        <w:separator/>
      </w:r>
    </w:p>
  </w:endnote>
  <w:endnote w:type="continuationSeparator" w:id="0">
    <w:p w:rsidR="008C056A" w:rsidP="00784355" w:rsidRDefault="008C056A" w14:paraId="4B59B8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056A" w:rsidP="00784355" w:rsidRDefault="008C056A" w14:paraId="677326C2" w14:textId="77777777">
      <w:pPr>
        <w:spacing w:after="0" w:line="240" w:lineRule="auto"/>
      </w:pPr>
      <w:r>
        <w:separator/>
      </w:r>
    </w:p>
  </w:footnote>
  <w:footnote w:type="continuationSeparator" w:id="0">
    <w:p w:rsidR="008C056A" w:rsidP="00784355" w:rsidRDefault="008C056A" w14:paraId="4BF483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BEA30EF"/>
    <w:rsid w:val="1B088645"/>
    <w:rsid w:val="30BE9C88"/>
    <w:rsid w:val="31A3A259"/>
    <w:rsid w:val="443B432A"/>
    <w:rsid w:val="52B7E96F"/>
    <w:rsid w:val="6BF25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2ce5d4b93ee44f58" Type="http://schemas.openxmlformats.org/officeDocument/2006/relationships/hyperlink" Target="http://www.defaseg.com.pe/reglam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C4328C7-F1A7-4F55-BFDA-83E6B21FC128}"/>
</file>

<file path=customXml/itemProps3.xml><?xml version="1.0" encoding="utf-8"?>
<ds:datastoreItem xmlns:ds="http://schemas.openxmlformats.org/officeDocument/2006/customXml" ds:itemID="{81212BB5-B679-4728-9A22-5BB865688197}"/>
</file>

<file path=customXml/itemProps4.xml><?xml version="1.0" encoding="utf-8"?>
<ds:datastoreItem xmlns:ds="http://schemas.openxmlformats.org/officeDocument/2006/customXml" ds:itemID="{2E0208A9-08B2-4E23-A079-CBFE243D30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96</cp:revision>
  <cp:lastPrinted>2021-11-09T15:06:00Z</cp:lastPrinted>
  <dcterms:created xsi:type="dcterms:W3CDTF">2020-12-18T20:17:00Z</dcterms:created>
  <dcterms:modified xsi:type="dcterms:W3CDTF">2026-02-04T20:39:34Z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