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70578" w:rsidR="00EF0B7F" w:rsidP="00EF0B7F" w:rsidRDefault="00201C0D" w14:paraId="632C635A" w14:textId="59FB3279">
      <w:pPr>
        <w:pStyle w:val="Ttulo2"/>
        <w:jc w:val="center"/>
        <w:rPr>
          <w:rFonts w:ascii="Times New Roman" w:hAnsi="Times New Roman" w:cs="Times New Roman"/>
          <w:b/>
          <w:bCs/>
          <w:color w:val="auto"/>
          <w:sz w:val="24"/>
          <w:szCs w:val="24"/>
          <w:lang w:val="es-PE" w:eastAsia="ar-SA"/>
        </w:rPr>
      </w:pPr>
      <w:r w:rsidRPr="00A70578">
        <w:rPr>
          <w:rFonts w:ascii="Times New Roman" w:hAnsi="Times New Roman" w:cs="Times New Roman"/>
          <w:b/>
          <w:bCs/>
          <w:color w:val="auto"/>
          <w:sz w:val="24"/>
          <w:szCs w:val="24"/>
          <w:lang w:val="es-PE" w:eastAsia="ar-SA"/>
        </w:rPr>
        <w:t xml:space="preserve">RESOLUCIÓN DE RECURSO IMPUGNATIVO </w:t>
      </w:r>
      <w:proofErr w:type="spellStart"/>
      <w:r w:rsidRPr="00A70578" w:rsidR="00707C99">
        <w:rPr>
          <w:rFonts w:ascii="Times New Roman" w:hAnsi="Times New Roman" w:cs="Times New Roman"/>
          <w:b/>
          <w:bCs/>
          <w:color w:val="auto"/>
          <w:sz w:val="24"/>
          <w:szCs w:val="24"/>
          <w:lang w:val="es-PE" w:eastAsia="ar-SA"/>
        </w:rPr>
        <w:t>N°</w:t>
      </w:r>
      <w:proofErr w:type="spellEnd"/>
      <w:r w:rsidRPr="00A70578" w:rsidR="00707C99">
        <w:rPr>
          <w:rFonts w:ascii="Times New Roman" w:hAnsi="Times New Roman" w:cs="Times New Roman"/>
          <w:b/>
          <w:bCs/>
          <w:color w:val="auto"/>
          <w:sz w:val="24"/>
          <w:szCs w:val="24"/>
          <w:lang w:val="es-PE" w:eastAsia="ar-SA"/>
        </w:rPr>
        <w:t xml:space="preserve"> </w:t>
      </w:r>
      <w:r w:rsidRPr="00A70578" w:rsidR="00C671F5">
        <w:rPr>
          <w:rFonts w:ascii="Times New Roman" w:hAnsi="Times New Roman" w:cs="Times New Roman"/>
          <w:b/>
          <w:bCs/>
          <w:color w:val="auto"/>
          <w:sz w:val="24"/>
          <w:szCs w:val="24"/>
          <w:lang w:val="es-PE" w:eastAsia="ar-SA"/>
        </w:rPr>
        <w:t>0</w:t>
      </w:r>
      <w:r w:rsidRPr="00A70578" w:rsidR="00065F91">
        <w:rPr>
          <w:rFonts w:ascii="Times New Roman" w:hAnsi="Times New Roman" w:cs="Times New Roman"/>
          <w:b/>
          <w:bCs/>
          <w:color w:val="auto"/>
          <w:sz w:val="24"/>
          <w:szCs w:val="24"/>
          <w:lang w:val="es-PE" w:eastAsia="ar-SA"/>
        </w:rPr>
        <w:t>6</w:t>
      </w:r>
      <w:r w:rsidRPr="00A70578" w:rsidR="0044533F">
        <w:rPr>
          <w:rFonts w:ascii="Times New Roman" w:hAnsi="Times New Roman" w:cs="Times New Roman"/>
          <w:b/>
          <w:bCs/>
          <w:color w:val="auto"/>
          <w:sz w:val="24"/>
          <w:szCs w:val="24"/>
          <w:lang w:val="es-PE" w:eastAsia="ar-SA"/>
        </w:rPr>
        <w:t>1</w:t>
      </w:r>
      <w:r w:rsidRPr="00A70578" w:rsidR="00517CFF">
        <w:rPr>
          <w:rFonts w:ascii="Times New Roman" w:hAnsi="Times New Roman" w:cs="Times New Roman"/>
          <w:b/>
          <w:bCs/>
          <w:color w:val="auto"/>
          <w:sz w:val="24"/>
          <w:szCs w:val="24"/>
          <w:lang w:val="es-PE" w:eastAsia="ar-SA"/>
        </w:rPr>
        <w:t>/</w:t>
      </w:r>
      <w:r w:rsidRPr="00A70578" w:rsidR="00C671F5">
        <w:rPr>
          <w:rFonts w:ascii="Times New Roman" w:hAnsi="Times New Roman" w:cs="Times New Roman"/>
          <w:b/>
          <w:bCs/>
          <w:color w:val="auto"/>
          <w:sz w:val="24"/>
          <w:szCs w:val="24"/>
          <w:lang w:val="es-PE" w:eastAsia="ar-SA"/>
        </w:rPr>
        <w:t>2</w:t>
      </w:r>
      <w:r w:rsidRPr="00A70578" w:rsidR="00231C58">
        <w:rPr>
          <w:rFonts w:ascii="Times New Roman" w:hAnsi="Times New Roman" w:cs="Times New Roman"/>
          <w:b/>
          <w:bCs/>
          <w:color w:val="auto"/>
          <w:sz w:val="24"/>
          <w:szCs w:val="24"/>
          <w:lang w:val="es-PE" w:eastAsia="ar-SA"/>
        </w:rPr>
        <w:t>1</w:t>
      </w:r>
    </w:p>
    <w:p w:rsidRPr="00A70578" w:rsidR="00FB0C48" w:rsidP="00FB0C48" w:rsidRDefault="00FB0C48" w14:paraId="71F35ACE" w14:textId="77777777">
      <w:pPr>
        <w:jc w:val="both"/>
        <w:outlineLvl w:val="0"/>
        <w:rPr>
          <w:rFonts w:ascii="Times New Roman" w:hAnsi="Times New Roman" w:cs="Times New Roman"/>
          <w:b/>
          <w:bCs/>
          <w:sz w:val="24"/>
          <w:szCs w:val="24"/>
          <w:lang w:val="es-MX"/>
        </w:rPr>
      </w:pPr>
    </w:p>
    <w:p w:rsidRPr="00A70578" w:rsidR="00A70578" w:rsidP="00A70578" w:rsidRDefault="00A70578" w14:paraId="72EAC3CA"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A70578">
        <w:rPr>
          <w:rFonts w:ascii="Times New Roman" w:hAnsi="Times New Roman" w:eastAsia="Times New Roman" w:cs="Times New Roman"/>
          <w:b/>
          <w:bCs/>
          <w:sz w:val="24"/>
          <w:szCs w:val="24"/>
          <w:lang w:val="es-MX" w:eastAsia="ar-SA"/>
        </w:rPr>
        <w:t>Vistos:</w:t>
      </w:r>
    </w:p>
    <w:p w:rsidRPr="00A70578" w:rsidR="00A70578" w:rsidP="00A70578" w:rsidRDefault="00A70578" w14:paraId="33661219"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A70578">
        <w:rPr>
          <w:rFonts w:ascii="Times New Roman" w:hAnsi="Times New Roman" w:eastAsia="Times New Roman" w:cs="Times New Roman"/>
          <w:b/>
          <w:bCs/>
          <w:sz w:val="24"/>
          <w:szCs w:val="24"/>
          <w:lang w:val="es-MX" w:eastAsia="ar-SA"/>
        </w:rPr>
        <w:t xml:space="preserve">   </w:t>
      </w:r>
    </w:p>
    <w:p w:rsidRPr="00A70578" w:rsidR="00A70578" w:rsidP="00A70578" w:rsidRDefault="00A70578" w14:paraId="6DD10A58" w14:textId="163DA5CE">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7C99BA89" w:rsidR="00A70578">
        <w:rPr>
          <w:rFonts w:ascii="Times New Roman" w:hAnsi="Times New Roman" w:eastAsia="Times New Roman" w:cs="Times New Roman"/>
          <w:sz w:val="24"/>
          <w:szCs w:val="24"/>
          <w:lang w:val="es-ES" w:eastAsia="ar-SA"/>
        </w:rPr>
        <w:t>El recurso de impugnación presentado con fecha 18 de octubre de 2021 por</w:t>
      </w:r>
      <w:r w:rsidRPr="7C99BA89" w:rsidR="00A70578">
        <w:rPr>
          <w:rFonts w:ascii="Times New Roman" w:hAnsi="Times New Roman" w:cs="Times New Roman"/>
          <w:sz w:val="24"/>
          <w:szCs w:val="24"/>
          <w:lang w:val="es-ES"/>
        </w:rPr>
        <w:t xml:space="preserve"> </w:t>
      </w:r>
      <w:r w:rsidRPr="7C99BA89" w:rsidR="2876E489">
        <w:rPr>
          <w:rFonts w:ascii="Times New Roman" w:hAnsi="Times New Roman" w:cs="Times New Roman"/>
          <w:sz w:val="24"/>
          <w:szCs w:val="24"/>
          <w:lang w:val="es-ES"/>
        </w:rPr>
        <w:t>....................................</w:t>
      </w:r>
      <w:r w:rsidRPr="7C99BA89" w:rsidR="00A70578">
        <w:rPr>
          <w:rFonts w:ascii="Times New Roman" w:hAnsi="Times New Roman" w:eastAsia="Times New Roman" w:cs="Times New Roman"/>
          <w:sz w:val="24"/>
          <w:szCs w:val="24"/>
          <w:lang w:val="es-ES" w:eastAsia="ar-SA"/>
        </w:rPr>
        <w:t xml:space="preserve">respecto de la Resolución Nro. 143/21, de fecha 11 de octubre de 2021, emitida por el Órgano Resolutivo Unipersonal (ORU) de esta Defensoría del Asegurado (DEFASEG), que declaró FUNDADA </w:t>
      </w:r>
      <w:r w:rsidRPr="7C99BA89" w:rsidR="00A70578">
        <w:rPr>
          <w:rFonts w:ascii="Times New Roman" w:hAnsi="Times New Roman" w:eastAsia="Arial Unicode MS" w:cs="Times New Roman"/>
          <w:sz w:val="24"/>
          <w:szCs w:val="24"/>
          <w:lang w:val="es-PE"/>
        </w:rPr>
        <w:t xml:space="preserve">la reclamación interpuesta por </w:t>
      </w:r>
      <w:r w:rsidRPr="7C99BA89" w:rsidR="00A70578">
        <w:rPr>
          <w:rFonts w:ascii="Times New Roman" w:hAnsi="Times New Roman" w:eastAsia="Times New Roman" w:cs="Times New Roman"/>
          <w:sz w:val="24"/>
          <w:szCs w:val="24"/>
          <w:lang w:val="es-PE" w:eastAsia="es-ES"/>
        </w:rPr>
        <w:t xml:space="preserve">doña </w:t>
      </w:r>
      <w:r w:rsidRPr="7C99BA89" w:rsidR="4F6158CA">
        <w:rPr>
          <w:rFonts w:ascii="Times New Roman" w:hAnsi="Times New Roman" w:cs="Times New Roman"/>
          <w:sz w:val="24"/>
          <w:szCs w:val="24"/>
          <w:lang w:val="es-ES"/>
        </w:rPr>
        <w:t>....................................</w:t>
      </w:r>
      <w:bookmarkStart w:name="OLE_LINK2" w:id="0"/>
      <w:r w:rsidRPr="7C99BA89" w:rsidR="00A70578">
        <w:rPr>
          <w:rFonts w:ascii="Times New Roman" w:hAnsi="Times New Roman" w:cs="Times New Roman"/>
          <w:sz w:val="24"/>
          <w:szCs w:val="24"/>
          <w:lang w:val="es-ES"/>
        </w:rPr>
        <w:t xml:space="preserve">, disponiéndose que la señalada aseguradora </w:t>
      </w:r>
      <w:r w:rsidRPr="7C99BA89" w:rsidR="00A70578">
        <w:rPr>
          <w:rFonts w:ascii="Times New Roman" w:hAnsi="Times New Roman" w:eastAsia="Times New Roman" w:cs="Times New Roman"/>
          <w:sz w:val="24"/>
          <w:szCs w:val="24"/>
          <w:lang w:val="es-PE" w:eastAsia="es-ES"/>
        </w:rPr>
        <w:t>otorgue cobertura al siniestro ocurrido con fecha 23 de abril de 2021</w:t>
      </w:r>
      <w:r w:rsidRPr="7C99BA89" w:rsidR="00A70578">
        <w:rPr>
          <w:rFonts w:ascii="Times New Roman" w:hAnsi="Times New Roman" w:cs="Times New Roman"/>
          <w:sz w:val="24"/>
          <w:szCs w:val="24"/>
          <w:lang w:val="es-ES" w:eastAsia="es-ES"/>
        </w:rPr>
        <w:t>,</w:t>
      </w:r>
      <w:r w:rsidRPr="7C99BA89" w:rsidR="00A70578">
        <w:rPr>
          <w:rFonts w:ascii="Times New Roman" w:hAnsi="Times New Roman" w:eastAsia="Times New Roman" w:cs="Times New Roman"/>
          <w:sz w:val="24"/>
          <w:szCs w:val="24"/>
          <w:lang w:val="es-ES" w:eastAsia="es-ES"/>
        </w:rPr>
        <w:t xml:space="preserve"> conforme</w:t>
      </w:r>
      <w:r w:rsidRPr="7C99BA89" w:rsidR="00A70578">
        <w:rPr>
          <w:rFonts w:ascii="Times New Roman" w:hAnsi="Times New Roman" w:eastAsia="Times New Roman" w:cs="Times New Roman"/>
          <w:sz w:val="24"/>
          <w:szCs w:val="24"/>
          <w:lang w:val="es-PE" w:eastAsia="es-ES"/>
        </w:rPr>
        <w:t xml:space="preserve"> a los términos y condiciones del </w:t>
      </w:r>
      <w:r w:rsidRPr="7C99BA89" w:rsidR="00A70578">
        <w:rPr>
          <w:rFonts w:ascii="Times New Roman" w:hAnsi="Times New Roman" w:cs="Times New Roman"/>
          <w:sz w:val="24"/>
          <w:szCs w:val="24"/>
          <w:lang w:val="es-ES"/>
        </w:rPr>
        <w:t>Seguro</w:t>
      </w:r>
      <w:bookmarkEnd w:id="0"/>
      <w:r w:rsidRPr="7C99BA89" w:rsidR="00A70578">
        <w:rPr>
          <w:rFonts w:ascii="Times New Roman" w:hAnsi="Times New Roman" w:cs="Times New Roman"/>
          <w:sz w:val="24"/>
          <w:szCs w:val="24"/>
          <w:lang w:val="es-ES"/>
        </w:rPr>
        <w:t xml:space="preserve"> de </w:t>
      </w:r>
      <w:r w:rsidRPr="7C99BA89" w:rsidR="00A70578">
        <w:rPr>
          <w:rFonts w:ascii="Times New Roman" w:hAnsi="Times New Roman" w:cs="Times New Roman"/>
          <w:sz w:val="24"/>
          <w:szCs w:val="24"/>
          <w:lang w:val="es-PE"/>
        </w:rPr>
        <w:t xml:space="preserve">Tarjetas 360° Certificado Nro. </w:t>
      </w:r>
      <w:r w:rsidRPr="7C99BA89" w:rsidR="216C8B75">
        <w:rPr>
          <w:rFonts w:ascii="Times New Roman" w:hAnsi="Times New Roman" w:cs="Times New Roman"/>
          <w:sz w:val="24"/>
          <w:szCs w:val="24"/>
          <w:lang w:val="es-PE"/>
        </w:rPr>
        <w:t>....................................</w:t>
      </w:r>
      <w:r w:rsidRPr="7C99BA89" w:rsidR="00A70578">
        <w:rPr>
          <w:rFonts w:ascii="Times New Roman" w:hAnsi="Times New Roman" w:cs="Times New Roman"/>
          <w:sz w:val="24"/>
          <w:szCs w:val="24"/>
          <w:lang w:val="es-PE"/>
        </w:rPr>
        <w:t>;</w:t>
      </w:r>
    </w:p>
    <w:p w:rsidRPr="00A70578" w:rsidR="00A70578" w:rsidP="00A70578" w:rsidRDefault="00A70578" w14:paraId="0786B3D4"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ES" w:eastAsia="es-ES"/>
        </w:rPr>
      </w:pPr>
    </w:p>
    <w:p w:rsidRPr="00A70578" w:rsidR="00A70578" w:rsidP="7C99BA89" w:rsidRDefault="00A70578" w14:paraId="55AD882F" w14:textId="7C2FC9B1">
      <w:pPr>
        <w:suppressAutoHyphens/>
        <w:spacing w:after="0" w:line="240" w:lineRule="auto"/>
        <w:jc w:val="both"/>
        <w:rPr>
          <w:rFonts w:ascii="Times New Roman" w:hAnsi="Times New Roman" w:eastAsia="Times New Roman" w:cs="Times New Roman"/>
          <w:sz w:val="24"/>
          <w:szCs w:val="24"/>
          <w:lang w:val="es-MX" w:eastAsia="ar-SA"/>
        </w:rPr>
      </w:pPr>
      <w:r w:rsidRPr="7C99BA89" w:rsidR="00A70578">
        <w:rPr>
          <w:rFonts w:ascii="Times New Roman" w:hAnsi="Times New Roman" w:eastAsia="Times New Roman" w:cs="Times New Roman"/>
          <w:sz w:val="24"/>
          <w:szCs w:val="24"/>
          <w:lang w:val="es-MX" w:eastAsia="ar-SA"/>
        </w:rPr>
        <w:t xml:space="preserve">Que, a través del señalado recurso, </w:t>
      </w:r>
      <w:r w:rsidRPr="7C99BA89" w:rsidR="2876E489">
        <w:rPr>
          <w:rFonts w:ascii="Times New Roman" w:hAnsi="Times New Roman" w:eastAsia="Times New Roman" w:cs="Times New Roman"/>
          <w:sz w:val="24"/>
          <w:szCs w:val="24"/>
          <w:lang w:val="es-MX" w:eastAsia="ar-SA"/>
        </w:rPr>
        <w:t>....................................</w:t>
      </w:r>
      <w:r w:rsidRPr="7C99BA89" w:rsidR="00A70578">
        <w:rPr>
          <w:rFonts w:ascii="Times New Roman" w:hAnsi="Times New Roman" w:eastAsia="Times New Roman" w:cs="Times New Roman"/>
          <w:sz w:val="24"/>
          <w:szCs w:val="24"/>
          <w:lang w:val="es-MX" w:eastAsia="ar-SA"/>
        </w:rPr>
        <w:t xml:space="preserve">cuestiona lo resuelto por el ORU, sustentándose resumidamente en lo siguiente: a) Mediante la contratación del correspondiente seguro, la asegurada tomó conocimiento de sus términos y condiciones, entre ellos, de la exclusión de cobertura derivada de aquellos eventos que ocurran a consecuencia de notificaciones y/o bloqueos tardíos de las tarjetas aseguradas, sin motivos de fuerza mayor, b) De acuerdo a la propia documentación presentada a la asegurada para fines de solicitar cobertura, el bloqueo se realizó de manera extemporánea, pasado el plazo de 4 horas establecido en la póliza, c) En razón de lo anterior, se comunicó el rechazo de cobertura, d) A pesar que el rechazo se sustenta en una exclusión establecida en la póliza, y que fue comunicada oportunamente a la asegurada, en la resolución del ORU de la DEFASEG se señala (numeral 6.4) que </w:t>
      </w:r>
      <w:r w:rsidRPr="7C99BA89" w:rsidR="00A70578">
        <w:rPr>
          <w:rFonts w:ascii="Times New Roman" w:hAnsi="Times New Roman" w:eastAsia="Times New Roman" w:cs="Times New Roman"/>
          <w:i w:val="1"/>
          <w:iCs w:val="1"/>
          <w:sz w:val="24"/>
          <w:szCs w:val="24"/>
          <w:lang w:val="es-MX" w:eastAsia="ar-SA"/>
        </w:rPr>
        <w:t>“</w:t>
      </w:r>
      <w:r w:rsidRPr="7C99BA89" w:rsidR="2876E489">
        <w:rPr>
          <w:rFonts w:ascii="Times New Roman" w:hAnsi="Times New Roman" w:eastAsia="Times New Roman" w:cs="Times New Roman"/>
          <w:i w:val="1"/>
          <w:iCs w:val="1"/>
          <w:sz w:val="24"/>
          <w:szCs w:val="24"/>
          <w:lang w:val="es-PE" w:eastAsia="es-ES"/>
        </w:rPr>
        <w:t>....................................</w:t>
      </w:r>
      <w:r w:rsidRPr="7C99BA89" w:rsidR="00A70578">
        <w:rPr>
          <w:rFonts w:ascii="Times New Roman" w:hAnsi="Times New Roman" w:eastAsia="Times New Roman" w:cs="Times New Roman"/>
          <w:i w:val="1"/>
          <w:iCs w:val="1"/>
          <w:sz w:val="24"/>
          <w:szCs w:val="24"/>
          <w:lang w:val="es-PE" w:eastAsia="es-ES"/>
        </w:rPr>
        <w:t xml:space="preserve">no ha demostrado que la sanción contractual por inobservancia de la carga invocada para fines del rechazo sea el perecimiento del derecho indemnizatorio o, expresado en otros términos correlativos, la liberación de la aseguradora de otorgar cobertura al siniestro invocado.  Es más, el tema ni siquiera es desarrollado por </w:t>
      </w:r>
      <w:r w:rsidRPr="7C99BA89" w:rsidR="2876E489">
        <w:rPr>
          <w:rFonts w:ascii="Times New Roman" w:hAnsi="Times New Roman" w:eastAsia="Times New Roman" w:cs="Times New Roman"/>
          <w:i w:val="1"/>
          <w:iCs w:val="1"/>
          <w:sz w:val="24"/>
          <w:szCs w:val="24"/>
          <w:lang w:val="es-PE" w:eastAsia="es-ES"/>
        </w:rPr>
        <w:t>....................................</w:t>
      </w:r>
      <w:r w:rsidRPr="7C99BA89" w:rsidR="00A70578">
        <w:rPr>
          <w:rFonts w:ascii="Times New Roman" w:hAnsi="Times New Roman" w:eastAsia="Times New Roman" w:cs="Times New Roman"/>
          <w:i w:val="1"/>
          <w:iCs w:val="1"/>
          <w:sz w:val="24"/>
          <w:szCs w:val="24"/>
          <w:lang w:val="es-PE" w:eastAsia="es-ES"/>
        </w:rPr>
        <w:t xml:space="preserve">en sus descargos, asumiendo aparentemente que se tratade un tema de responsabilidad objetiva, cuando la ley establece que la causa de la inobservancia de la carga debe ser atribuible al asegurado, sea a título de culpe leve, culpa inexcusable o dolo”, </w:t>
      </w:r>
      <w:r w:rsidRPr="7C99BA89" w:rsidR="00A70578">
        <w:rPr>
          <w:rFonts w:ascii="Times New Roman" w:hAnsi="Times New Roman" w:eastAsia="Times New Roman" w:cs="Times New Roman"/>
          <w:sz w:val="24"/>
          <w:szCs w:val="24"/>
          <w:lang w:val="es-PE" w:eastAsia="es-ES"/>
        </w:rPr>
        <w:t xml:space="preserve">e) Debe reiterarse que la póliza contempla como exclusión a </w:t>
      </w:r>
      <w:r w:rsidRPr="7C99BA89" w:rsidR="00A70578">
        <w:rPr>
          <w:rFonts w:ascii="Times New Roman" w:hAnsi="Times New Roman" w:eastAsia="Times New Roman" w:cs="Times New Roman"/>
          <w:sz w:val="24"/>
          <w:szCs w:val="24"/>
          <w:lang w:val="es-PE" w:eastAsia="es-ES"/>
        </w:rPr>
        <w:t>lo</w:t>
      </w:r>
      <w:r w:rsidRPr="7C99BA89" w:rsidR="00A70578">
        <w:rPr>
          <w:rFonts w:ascii="Times New Roman" w:hAnsi="Times New Roman" w:eastAsia="Times New Roman" w:cs="Times New Roman"/>
          <w:sz w:val="24"/>
          <w:szCs w:val="24"/>
          <w:lang w:val="es-PE" w:eastAsia="es-ES"/>
        </w:rPr>
        <w:t xml:space="preserve"> eventos que ocurran como consecuencia de notificaciones y/o bloqueos tardíos de las tarjetas aseguradas, salvo justificación por fuerza mayor, y f) Encontrándose debidamente justificado el rechazo, en una exclusión de la póliza, corresponde revocar lo resuelto y rechazar la reclamación;</w:t>
      </w:r>
    </w:p>
    <w:p w:rsidRPr="00A70578" w:rsidR="00A70578" w:rsidP="00A70578" w:rsidRDefault="00A70578" w14:paraId="7D4E4771"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70578" w:rsidR="00A70578" w:rsidP="00A70578" w:rsidRDefault="00A70578" w14:paraId="3F17A81F"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A70578">
        <w:rPr>
          <w:rFonts w:ascii="Times New Roman" w:hAnsi="Times New Roman" w:eastAsia="Times New Roman" w:cs="Times New Roman"/>
          <w:bCs/>
          <w:sz w:val="24"/>
          <w:szCs w:val="24"/>
          <w:lang w:val="es-MX" w:eastAsia="ar-SA"/>
        </w:rPr>
        <w:t>Que, habiéndosele corrido traslado de la señalada impugnación, la asegurada no ha absuelto el trámite correspondiente;</w:t>
      </w:r>
    </w:p>
    <w:p w:rsidRPr="00A70578" w:rsidR="00A70578" w:rsidP="00A70578" w:rsidRDefault="00A70578" w14:paraId="099980A9"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70578" w:rsidR="00A70578" w:rsidP="00A70578" w:rsidRDefault="00A70578" w14:paraId="60E98D3D" w14:textId="77777777">
      <w:pPr>
        <w:suppressAutoHyphens/>
        <w:spacing w:after="0" w:line="240" w:lineRule="auto"/>
        <w:jc w:val="both"/>
        <w:rPr>
          <w:rFonts w:ascii="Times New Roman" w:hAnsi="Times New Roman" w:cs="Times New Roman"/>
          <w:bCs/>
          <w:sz w:val="24"/>
          <w:szCs w:val="24"/>
          <w:lang w:val="es-ES"/>
        </w:rPr>
      </w:pPr>
      <w:r w:rsidRPr="00A70578">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A70578" w:rsidR="00A70578" w:rsidP="00A70578" w:rsidRDefault="00A70578" w14:paraId="7ADC3FB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70578" w:rsidR="00A70578" w:rsidP="00A70578" w:rsidRDefault="00A70578" w14:paraId="6E843DAB"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A70578">
        <w:rPr>
          <w:rFonts w:ascii="Times New Roman" w:hAnsi="Times New Roman" w:eastAsia="Times New Roman" w:cs="Times New Roman"/>
          <w:b/>
          <w:bCs/>
          <w:sz w:val="24"/>
          <w:szCs w:val="24"/>
          <w:lang w:val="es-MX" w:eastAsia="ar-SA"/>
        </w:rPr>
        <w:t>Considerando:</w:t>
      </w:r>
    </w:p>
    <w:p w:rsidRPr="00A70578" w:rsidR="00A70578" w:rsidP="00A70578" w:rsidRDefault="00A70578" w14:paraId="623EB757" w14:textId="77777777">
      <w:pPr>
        <w:suppressAutoHyphens/>
        <w:spacing w:after="0" w:line="240" w:lineRule="auto"/>
        <w:jc w:val="both"/>
        <w:rPr>
          <w:rFonts w:ascii="Times New Roman" w:hAnsi="Times New Roman" w:eastAsia="Times New Roman" w:cs="Times New Roman"/>
          <w:sz w:val="24"/>
          <w:szCs w:val="24"/>
          <w:lang w:val="es-ES" w:eastAsia="ar-SA"/>
        </w:rPr>
      </w:pPr>
    </w:p>
    <w:p w:rsidRPr="00A70578" w:rsidR="00A70578" w:rsidP="00A70578" w:rsidRDefault="00A70578" w14:paraId="1B0C65F1" w14:textId="77777777">
      <w:pPr>
        <w:spacing w:after="0" w:line="240" w:lineRule="auto"/>
        <w:jc w:val="both"/>
        <w:rPr>
          <w:rFonts w:ascii="Times New Roman" w:hAnsi="Times New Roman" w:cs="Times New Roman"/>
          <w:sz w:val="24"/>
          <w:szCs w:val="24"/>
          <w:lang w:val="es-PE"/>
        </w:rPr>
      </w:pPr>
      <w:r w:rsidRPr="00A70578">
        <w:rPr>
          <w:rFonts w:ascii="Times New Roman" w:hAnsi="Times New Roman" w:cs="Times New Roman"/>
          <w:b/>
          <w:sz w:val="24"/>
          <w:szCs w:val="24"/>
          <w:u w:val="single"/>
          <w:lang w:val="es-PE"/>
        </w:rPr>
        <w:t>Primero</w:t>
      </w:r>
      <w:r w:rsidRPr="00A70578">
        <w:rPr>
          <w:rFonts w:ascii="Times New Roman" w:hAnsi="Times New Roman" w:cs="Times New Roman"/>
          <w:b/>
          <w:sz w:val="24"/>
          <w:szCs w:val="24"/>
          <w:lang w:val="es-PE"/>
        </w:rPr>
        <w:t>:</w:t>
      </w:r>
      <w:r w:rsidRPr="00A70578">
        <w:rPr>
          <w:rFonts w:ascii="Times New Roman" w:hAnsi="Times New Roman" w:cs="Times New Roman"/>
          <w:sz w:val="24"/>
          <w:szCs w:val="24"/>
          <w:lang w:val="es-PE"/>
        </w:rPr>
        <w:t xml:space="preserve"> El Reglamento de la DEFASEG </w:t>
      </w:r>
      <w:r w:rsidRPr="00A70578">
        <w:rPr>
          <w:rFonts w:ascii="Times New Roman" w:hAnsi="Times New Roman" w:eastAsia="Arial Unicode MS" w:cs="Times New Roman"/>
          <w:sz w:val="24"/>
          <w:szCs w:val="24"/>
          <w:lang w:val="es-PE"/>
        </w:rPr>
        <w:t xml:space="preserve">(http://www.defaseg.com.pe/reglamento), en su artículo 10, </w:t>
      </w:r>
      <w:r w:rsidRPr="00A70578">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A70578">
        <w:rPr>
          <w:rFonts w:ascii="Times New Roman" w:hAnsi="Times New Roman" w:cs="Times New Roman"/>
          <w:sz w:val="24"/>
          <w:szCs w:val="24"/>
          <w:lang w:val="es-ES"/>
        </w:rPr>
        <w:t xml:space="preserve">usuario de seguro </w:t>
      </w:r>
      <w:r w:rsidRPr="00A70578">
        <w:rPr>
          <w:rFonts w:ascii="Times New Roman" w:hAnsi="Times New Roman" w:cs="Times New Roman"/>
          <w:sz w:val="24"/>
          <w:szCs w:val="24"/>
          <w:lang w:val="es-ES"/>
        </w:rPr>
        <w:lastRenderedPageBreak/>
        <w:t>recurre en forma voluntaria a la Defensoría, siendo que la presentación de una reclamación n</w:t>
      </w:r>
      <w:r w:rsidRPr="00A70578">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A70578">
        <w:rPr>
          <w:rFonts w:ascii="Times New Roman" w:hAnsi="Times New Roman" w:cs="Times New Roman"/>
          <w:sz w:val="24"/>
          <w:szCs w:val="24"/>
          <w:lang w:val="es-PE"/>
        </w:rPr>
        <w:t>De acuerdo a</w:t>
      </w:r>
      <w:proofErr w:type="gramEnd"/>
      <w:r w:rsidRPr="00A70578">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A70578" w:rsidR="00A70578" w:rsidP="00A70578" w:rsidRDefault="00A70578" w14:paraId="45AF8027" w14:textId="77777777">
      <w:pPr>
        <w:spacing w:after="0" w:line="240" w:lineRule="auto"/>
        <w:jc w:val="both"/>
        <w:rPr>
          <w:rFonts w:ascii="Times New Roman" w:hAnsi="Times New Roman" w:cs="Times New Roman"/>
          <w:sz w:val="24"/>
          <w:szCs w:val="24"/>
          <w:lang w:val="es-PE"/>
        </w:rPr>
      </w:pPr>
    </w:p>
    <w:p w:rsidRPr="00A70578" w:rsidR="00A70578" w:rsidP="00A70578" w:rsidRDefault="00A70578" w14:paraId="78D43B72" w14:textId="77777777">
      <w:pPr>
        <w:tabs>
          <w:tab w:val="left" w:pos="0"/>
          <w:tab w:val="left" w:pos="2160"/>
        </w:tabs>
        <w:spacing w:after="0" w:line="240" w:lineRule="auto"/>
        <w:jc w:val="both"/>
        <w:rPr>
          <w:rFonts w:ascii="Times New Roman" w:hAnsi="Times New Roman" w:cs="Times New Roman"/>
          <w:sz w:val="24"/>
          <w:szCs w:val="24"/>
          <w:lang w:val="es-ES"/>
        </w:rPr>
      </w:pPr>
      <w:r w:rsidRPr="00A70578">
        <w:rPr>
          <w:rFonts w:ascii="Times New Roman" w:hAnsi="Times New Roman" w:cs="Times New Roman"/>
          <w:b/>
          <w:sz w:val="24"/>
          <w:szCs w:val="24"/>
          <w:u w:val="single"/>
          <w:lang w:val="es-PE"/>
        </w:rPr>
        <w:t>Segundo</w:t>
      </w:r>
      <w:r w:rsidRPr="00A70578">
        <w:rPr>
          <w:rFonts w:ascii="Times New Roman" w:hAnsi="Times New Roman" w:cs="Times New Roman"/>
          <w:b/>
          <w:sz w:val="24"/>
          <w:szCs w:val="24"/>
          <w:lang w:val="es-PE"/>
        </w:rPr>
        <w:t>:</w:t>
      </w:r>
      <w:r w:rsidRPr="00A70578">
        <w:rPr>
          <w:rFonts w:ascii="Times New Roman" w:hAnsi="Times New Roman" w:cs="Times New Roman"/>
          <w:sz w:val="24"/>
          <w:szCs w:val="24"/>
          <w:lang w:val="es-PE"/>
        </w:rPr>
        <w:t xml:space="preserve"> Atendiendo a los fundamentos de la impugnación interpuesta, se advierte que no se</w:t>
      </w:r>
      <w:r w:rsidRPr="00A70578">
        <w:rPr>
          <w:rFonts w:ascii="Times New Roman" w:hAnsi="Times New Roman" w:cs="Times New Roman"/>
          <w:bCs/>
          <w:sz w:val="24"/>
          <w:szCs w:val="24"/>
          <w:lang w:val="es-PE"/>
        </w:rPr>
        <w:t xml:space="preserve"> expone ni acredita nuevo argumento que desautorice lo resuelto, de manera que el </w:t>
      </w:r>
      <w:r w:rsidRPr="00A70578">
        <w:rPr>
          <w:rFonts w:ascii="Times New Roman" w:hAnsi="Times New Roman" w:cs="Times New Roman"/>
          <w:sz w:val="24"/>
          <w:szCs w:val="24"/>
          <w:lang w:val="es-ES"/>
        </w:rPr>
        <w:t xml:space="preserve">recurso impugnativo interpuesto puede ser categorizado, por su contenido mismo, como una solicitud de revisión general, sustentada exclusivamente en el criterio de la aseguradora, sin aportar medio probatorio que permita apreciar que el ORU incurrió en un error o vicio al momento de resolver.  </w:t>
      </w:r>
    </w:p>
    <w:p w:rsidRPr="00A70578" w:rsidR="00A70578" w:rsidP="00A70578" w:rsidRDefault="00A70578" w14:paraId="00F9781C" w14:textId="77777777">
      <w:pPr>
        <w:tabs>
          <w:tab w:val="left" w:pos="0"/>
          <w:tab w:val="left" w:pos="2160"/>
        </w:tabs>
        <w:spacing w:after="0" w:line="240" w:lineRule="auto"/>
        <w:jc w:val="both"/>
        <w:rPr>
          <w:rFonts w:ascii="Times New Roman" w:hAnsi="Times New Roman" w:cs="Times New Roman"/>
          <w:sz w:val="24"/>
          <w:szCs w:val="24"/>
          <w:lang w:val="es-ES"/>
        </w:rPr>
      </w:pPr>
    </w:p>
    <w:p w:rsidRPr="00A70578" w:rsidR="00A70578" w:rsidP="00A70578" w:rsidRDefault="00A70578" w14:paraId="7D8168AA" w14:textId="0FC65A3D">
      <w:pPr>
        <w:tabs>
          <w:tab w:val="left" w:pos="0"/>
          <w:tab w:val="left" w:pos="2160"/>
        </w:tabs>
        <w:spacing w:after="0" w:line="240" w:lineRule="auto"/>
        <w:jc w:val="both"/>
        <w:rPr>
          <w:rFonts w:ascii="Times New Roman" w:hAnsi="Times New Roman" w:cs="Times New Roman"/>
          <w:sz w:val="24"/>
          <w:szCs w:val="24"/>
          <w:lang w:val="es-ES"/>
        </w:rPr>
      </w:pPr>
      <w:r w:rsidRPr="7C99BA89" w:rsidR="00A70578">
        <w:rPr>
          <w:rFonts w:ascii="Times New Roman" w:hAnsi="Times New Roman" w:cs="Times New Roman"/>
          <w:b w:val="1"/>
          <w:bCs w:val="1"/>
          <w:sz w:val="24"/>
          <w:szCs w:val="24"/>
          <w:u w:val="single"/>
          <w:lang w:val="es-ES"/>
        </w:rPr>
        <w:t>Tercero</w:t>
      </w:r>
      <w:r w:rsidRPr="7C99BA89" w:rsidR="00A70578">
        <w:rPr>
          <w:rFonts w:ascii="Times New Roman" w:hAnsi="Times New Roman" w:cs="Times New Roman"/>
          <w:b w:val="1"/>
          <w:bCs w:val="1"/>
          <w:sz w:val="24"/>
          <w:szCs w:val="24"/>
          <w:lang w:val="es-ES"/>
        </w:rPr>
        <w:t xml:space="preserve">: </w:t>
      </w:r>
      <w:r w:rsidRPr="7C99BA89" w:rsidR="00A70578">
        <w:rPr>
          <w:rFonts w:ascii="Times New Roman" w:hAnsi="Times New Roman" w:cs="Times New Roman"/>
          <w:sz w:val="24"/>
          <w:szCs w:val="24"/>
          <w:lang w:val="es-ES"/>
        </w:rPr>
        <w:t xml:space="preserve">Sin perjuicio de lo señalado precedentemente, del contenido de la impugnación interpuesta, se aprecia que </w:t>
      </w:r>
      <w:r w:rsidRPr="7C99BA89" w:rsidR="2876E489">
        <w:rPr>
          <w:rFonts w:ascii="Times New Roman" w:hAnsi="Times New Roman" w:cs="Times New Roman"/>
          <w:sz w:val="24"/>
          <w:szCs w:val="24"/>
          <w:lang w:val="es-ES"/>
        </w:rPr>
        <w:t>....................................</w:t>
      </w:r>
      <w:r w:rsidRPr="7C99BA89" w:rsidR="00A70578">
        <w:rPr>
          <w:rFonts w:ascii="Times New Roman" w:hAnsi="Times New Roman" w:cs="Times New Roman"/>
          <w:sz w:val="24"/>
          <w:szCs w:val="24"/>
          <w:lang w:val="es-ES"/>
        </w:rPr>
        <w:t>no contradice propiamente el sustento sobre el cual se declaró fundada la reclamación, siendo que, en el presente caso, conforme lo destacó el ORU, no está en discusión el conocimiento ni la oponibilidad de los términos y condiciones contractuales, siendo más bien la cuestión controvertida establecer si determinada carga contractual -que debía observar la asegurada- se realizó o no oportunamente, para cuyo efecto además debe considerarse si se le indicó que, en caso de inobservancia por dolo o culpa grave, ello derivaría en la pérdida de cobertura o caducidad del derecho indemnizatorio.</w:t>
      </w:r>
    </w:p>
    <w:p w:rsidRPr="00A70578" w:rsidR="00A70578" w:rsidP="00A70578" w:rsidRDefault="00A70578" w14:paraId="68993F30" w14:textId="77777777">
      <w:pPr>
        <w:tabs>
          <w:tab w:val="left" w:pos="0"/>
          <w:tab w:val="left" w:pos="2160"/>
        </w:tabs>
        <w:spacing w:after="0" w:line="240" w:lineRule="auto"/>
        <w:jc w:val="both"/>
        <w:rPr>
          <w:rFonts w:ascii="Times New Roman" w:hAnsi="Times New Roman" w:cs="Times New Roman"/>
          <w:sz w:val="24"/>
          <w:szCs w:val="24"/>
          <w:lang w:val="es-ES"/>
        </w:rPr>
      </w:pPr>
    </w:p>
    <w:p w:rsidRPr="00A70578" w:rsidR="00A70578" w:rsidP="00A70578" w:rsidRDefault="00A70578" w14:paraId="5A19FC5D" w14:textId="5B8D2590">
      <w:pPr>
        <w:tabs>
          <w:tab w:val="left" w:pos="0"/>
          <w:tab w:val="left" w:pos="2160"/>
        </w:tabs>
        <w:spacing w:after="0" w:line="240" w:lineRule="auto"/>
        <w:jc w:val="both"/>
        <w:rPr>
          <w:rFonts w:ascii="Times New Roman" w:hAnsi="Times New Roman" w:cs="Times New Roman"/>
          <w:sz w:val="24"/>
          <w:szCs w:val="24"/>
          <w:lang w:val="es-ES"/>
        </w:rPr>
      </w:pPr>
      <w:r w:rsidRPr="7C99BA89" w:rsidR="00A70578">
        <w:rPr>
          <w:rFonts w:ascii="Times New Roman" w:hAnsi="Times New Roman" w:cs="Times New Roman"/>
          <w:sz w:val="24"/>
          <w:szCs w:val="24"/>
          <w:lang w:val="es-ES"/>
        </w:rPr>
        <w:t xml:space="preserve">Al respecto, este colegiado advierte que la póliza no lo indica tales consecuencias.  No </w:t>
      </w:r>
      <w:r w:rsidRPr="7C99BA89" w:rsidR="00A70578">
        <w:rPr>
          <w:rFonts w:ascii="Times New Roman" w:hAnsi="Times New Roman" w:cs="Times New Roman"/>
          <w:sz w:val="24"/>
          <w:szCs w:val="24"/>
          <w:lang w:val="es-ES"/>
        </w:rPr>
        <w:t>obstante</w:t>
      </w:r>
      <w:r w:rsidRPr="7C99BA89" w:rsidR="00A70578">
        <w:rPr>
          <w:rFonts w:ascii="Times New Roman" w:hAnsi="Times New Roman" w:cs="Times New Roman"/>
          <w:sz w:val="24"/>
          <w:szCs w:val="24"/>
          <w:lang w:val="es-ES"/>
        </w:rPr>
        <w:t xml:space="preserve"> ello, </w:t>
      </w:r>
      <w:r w:rsidRPr="7C99BA89" w:rsidR="2876E489">
        <w:rPr>
          <w:rFonts w:ascii="Times New Roman" w:hAnsi="Times New Roman" w:cs="Times New Roman"/>
          <w:sz w:val="24"/>
          <w:szCs w:val="24"/>
          <w:lang w:val="es-ES"/>
        </w:rPr>
        <w:t>....................................</w:t>
      </w:r>
      <w:r w:rsidRPr="7C99BA89" w:rsidR="00A70578">
        <w:rPr>
          <w:rFonts w:ascii="Times New Roman" w:hAnsi="Times New Roman" w:cs="Times New Roman"/>
          <w:sz w:val="24"/>
          <w:szCs w:val="24"/>
          <w:lang w:val="es-ES"/>
        </w:rPr>
        <w:t>argumenta ante la DEFASEG que la extemporaneidad del bloqueo corresponde objetivamente a una exclusión de cobertura, pese a que ésta, por su contenido mismo, corresponde a una actuación a cargo del asegurado, luego de producido el siniestro (que, en principio estaría cubierto) para mantener su expectativa indemnizatoria.</w:t>
      </w:r>
    </w:p>
    <w:p w:rsidRPr="00A70578" w:rsidR="00A70578" w:rsidP="00A70578" w:rsidRDefault="00A70578" w14:paraId="31F35327" w14:textId="77777777">
      <w:pPr>
        <w:tabs>
          <w:tab w:val="left" w:pos="0"/>
          <w:tab w:val="left" w:pos="2160"/>
        </w:tabs>
        <w:spacing w:after="0" w:line="240" w:lineRule="auto"/>
        <w:jc w:val="both"/>
        <w:rPr>
          <w:rFonts w:ascii="Times New Roman" w:hAnsi="Times New Roman" w:cs="Times New Roman"/>
          <w:sz w:val="24"/>
          <w:szCs w:val="24"/>
          <w:lang w:val="es-ES"/>
        </w:rPr>
      </w:pPr>
    </w:p>
    <w:p w:rsidRPr="00A70578" w:rsidR="00A70578" w:rsidP="00A70578" w:rsidRDefault="00A70578" w14:paraId="5EC9D110" w14:textId="77777777">
      <w:pPr>
        <w:tabs>
          <w:tab w:val="left" w:pos="0"/>
          <w:tab w:val="left" w:pos="2160"/>
        </w:tabs>
        <w:spacing w:after="0" w:line="240" w:lineRule="auto"/>
        <w:jc w:val="both"/>
        <w:rPr>
          <w:rFonts w:ascii="Times New Roman" w:hAnsi="Times New Roman" w:cs="Times New Roman"/>
          <w:sz w:val="24"/>
          <w:szCs w:val="24"/>
          <w:lang w:val="es-ES"/>
        </w:rPr>
      </w:pPr>
      <w:r w:rsidRPr="00A70578">
        <w:rPr>
          <w:rFonts w:ascii="Times New Roman" w:hAnsi="Times New Roman" w:cs="Times New Roman"/>
          <w:sz w:val="24"/>
          <w:szCs w:val="24"/>
          <w:lang w:val="es-ES"/>
        </w:rPr>
        <w:t>Las exclusiones de cobertura son una delimitación negativa del riesgo, corresponden a sucesos o circunstancias relacionados a su ocurrencia material o producción misma, a diferencia de las cargas, sean legales o contractuales, que se asocian a conductas a ser seguidas, en este caso por la asegurada y luego de la ocurrencia del siniestro, cuya inobservancia deriva en la caducidad de su derecho, siempre y cuando así haya sido advertida expresamente, en la medida que dicha inobservancia provenga por dolo o culpa inexcusable.</w:t>
      </w:r>
    </w:p>
    <w:p w:rsidRPr="00A70578" w:rsidR="00A70578" w:rsidP="00A70578" w:rsidRDefault="00A70578" w14:paraId="7F66411A" w14:textId="77777777">
      <w:pPr>
        <w:tabs>
          <w:tab w:val="left" w:pos="0"/>
          <w:tab w:val="left" w:pos="2160"/>
        </w:tabs>
        <w:spacing w:after="0" w:line="240" w:lineRule="auto"/>
        <w:jc w:val="both"/>
        <w:rPr>
          <w:rFonts w:ascii="Times New Roman" w:hAnsi="Times New Roman" w:cs="Times New Roman"/>
          <w:sz w:val="24"/>
          <w:szCs w:val="24"/>
          <w:lang w:val="es-ES"/>
        </w:rPr>
      </w:pPr>
    </w:p>
    <w:p w:rsidRPr="00A70578" w:rsidR="00A70578" w:rsidP="00A70578" w:rsidRDefault="00A70578" w14:paraId="10DC9109" w14:textId="77777777">
      <w:pPr>
        <w:tabs>
          <w:tab w:val="left" w:pos="0"/>
          <w:tab w:val="left" w:pos="2160"/>
        </w:tabs>
        <w:spacing w:after="0" w:line="240" w:lineRule="auto"/>
        <w:jc w:val="both"/>
        <w:rPr>
          <w:rFonts w:ascii="Times New Roman" w:hAnsi="Times New Roman" w:cs="Times New Roman"/>
          <w:sz w:val="24"/>
          <w:szCs w:val="24"/>
          <w:lang w:val="es-ES"/>
        </w:rPr>
      </w:pPr>
      <w:r w:rsidRPr="00A70578">
        <w:rPr>
          <w:rFonts w:ascii="Times New Roman" w:hAnsi="Times New Roman" w:cs="Times New Roman"/>
          <w:sz w:val="24"/>
          <w:szCs w:val="24"/>
          <w:lang w:val="es-ES"/>
        </w:rPr>
        <w:t>Conforme a lo expuesto, este colegiado estima que no puede pretenderse válidamente presentar como exclusión (riesgo no aceptado) lo que es una inobservancia de carga contractual, objetivando lo que por ley demanda de una calificación subjetiva.  En efecto, dicha inobservancia, de acuerdo al artículo 59 de la Ley Nro. 29946 - Ley del Contrato de Seguro, sólo generará la pérdida del derecho indemnizatorio en la medida que hubiese sido inobservada por dolo o culpa grave, consecuencia que debe estar expresamente señalada como tal, lo cual no se aprecia de la póliza contratada, pacto y señalamiento de consecuencia que corresponde evidentemente a la aseguradora invocar y probar, atendiendo a los alcances del artículo 77 de la Ley del Contrato de Seguro</w:t>
      </w:r>
      <w:r w:rsidRPr="00A70578">
        <w:rPr>
          <w:rFonts w:ascii="Times New Roman" w:hAnsi="Times New Roman" w:cs="Times New Roman"/>
          <w:bCs/>
          <w:sz w:val="24"/>
          <w:szCs w:val="24"/>
          <w:lang w:val="es-PE"/>
        </w:rPr>
        <w:t>.</w:t>
      </w:r>
    </w:p>
    <w:p w:rsidRPr="00A70578" w:rsidR="00A70578" w:rsidP="00A70578" w:rsidRDefault="00A70578" w14:paraId="78B4D338" w14:textId="77777777">
      <w:pPr>
        <w:tabs>
          <w:tab w:val="left" w:pos="0"/>
          <w:tab w:val="left" w:pos="2160"/>
        </w:tabs>
        <w:spacing w:after="0" w:line="240" w:lineRule="auto"/>
        <w:jc w:val="both"/>
        <w:rPr>
          <w:rFonts w:ascii="Times New Roman" w:hAnsi="Times New Roman" w:cs="Times New Roman"/>
          <w:sz w:val="24"/>
          <w:szCs w:val="24"/>
          <w:lang w:val="es-PE"/>
        </w:rPr>
      </w:pPr>
    </w:p>
    <w:p w:rsidRPr="00A70578" w:rsidR="00A70578" w:rsidP="00A70578" w:rsidRDefault="00A70578" w14:paraId="4C17FA16" w14:textId="77777777">
      <w:pPr>
        <w:tabs>
          <w:tab w:val="left" w:pos="2160"/>
        </w:tabs>
        <w:spacing w:after="0" w:line="240" w:lineRule="auto"/>
        <w:jc w:val="both"/>
        <w:rPr>
          <w:rFonts w:ascii="Times New Roman" w:hAnsi="Times New Roman" w:cs="Times New Roman"/>
          <w:sz w:val="24"/>
          <w:szCs w:val="24"/>
          <w:lang w:val="es-ES"/>
        </w:rPr>
      </w:pPr>
      <w:r w:rsidRPr="00A70578">
        <w:rPr>
          <w:rFonts w:ascii="Times New Roman" w:hAnsi="Times New Roman" w:cs="Times New Roman"/>
          <w:sz w:val="24"/>
          <w:szCs w:val="24"/>
          <w:lang w:val="es-ES"/>
        </w:rPr>
        <w:lastRenderedPageBreak/>
        <w:t>En atención a las consideraciones precedentes, ratificando el análisis y conclusión contenidos en la resolución recurrida, este colegiado aprecia que no existe mérito para revocar la resolución recurrida; por lo tanto,</w:t>
      </w:r>
    </w:p>
    <w:p w:rsidRPr="00A70578" w:rsidR="00A70578" w:rsidP="00A70578" w:rsidRDefault="00A70578" w14:paraId="4EE209D0" w14:textId="77777777">
      <w:pPr>
        <w:spacing w:after="0" w:line="240" w:lineRule="auto"/>
        <w:jc w:val="both"/>
        <w:rPr>
          <w:rFonts w:ascii="Times New Roman" w:hAnsi="Times New Roman" w:eastAsia="Times New Roman" w:cs="Times New Roman"/>
          <w:bCs/>
          <w:sz w:val="24"/>
          <w:szCs w:val="24"/>
          <w:lang w:val="es-ES" w:eastAsia="ar-SA"/>
        </w:rPr>
      </w:pPr>
    </w:p>
    <w:p w:rsidRPr="00A70578" w:rsidR="00A70578" w:rsidP="00A70578" w:rsidRDefault="00A70578" w14:paraId="509F5903" w14:textId="77777777">
      <w:pPr>
        <w:spacing w:after="0" w:line="240" w:lineRule="auto"/>
        <w:jc w:val="both"/>
        <w:rPr>
          <w:rFonts w:ascii="Times New Roman" w:hAnsi="Times New Roman" w:cs="Times New Roman"/>
          <w:b/>
          <w:sz w:val="24"/>
          <w:szCs w:val="24"/>
          <w:lang w:val="es-PE"/>
        </w:rPr>
      </w:pPr>
      <w:r w:rsidRPr="00A70578">
        <w:rPr>
          <w:rFonts w:ascii="Times New Roman" w:hAnsi="Times New Roman" w:cs="Times New Roman"/>
          <w:b/>
          <w:sz w:val="24"/>
          <w:szCs w:val="24"/>
          <w:lang w:val="es-PE"/>
        </w:rPr>
        <w:t>Atendiendo a lo expresado, conforme a su reglamento, este colegiado resuelve:</w:t>
      </w:r>
    </w:p>
    <w:p w:rsidRPr="00A70578" w:rsidR="00A70578" w:rsidP="00A70578" w:rsidRDefault="00A70578" w14:paraId="0C26A9E0" w14:textId="77777777">
      <w:pPr>
        <w:spacing w:after="0" w:line="240" w:lineRule="auto"/>
        <w:jc w:val="both"/>
        <w:rPr>
          <w:rFonts w:ascii="Times New Roman" w:hAnsi="Times New Roman" w:eastAsia="Arial Unicode MS" w:cs="Times New Roman"/>
          <w:b/>
          <w:sz w:val="24"/>
          <w:szCs w:val="24"/>
          <w:lang w:val="es-PE"/>
        </w:rPr>
      </w:pPr>
    </w:p>
    <w:p w:rsidRPr="00A70578" w:rsidR="00A70578" w:rsidP="00A70578" w:rsidRDefault="00A70578" w14:paraId="424FAB6D" w14:textId="2616A568">
      <w:pPr>
        <w:spacing w:after="0" w:line="240" w:lineRule="auto"/>
        <w:jc w:val="both"/>
        <w:rPr>
          <w:rFonts w:ascii="Times New Roman" w:hAnsi="Times New Roman" w:eastAsia="Arial Unicode MS" w:cs="Times New Roman"/>
          <w:sz w:val="24"/>
          <w:szCs w:val="24"/>
          <w:lang w:val="es-PE"/>
        </w:rPr>
      </w:pPr>
      <w:r w:rsidRPr="7C99BA89" w:rsidR="00A70578">
        <w:rPr>
          <w:rFonts w:ascii="Times New Roman" w:hAnsi="Times New Roman" w:eastAsia="Arial Unicode MS" w:cs="Times New Roman"/>
          <w:b w:val="1"/>
          <w:bCs w:val="1"/>
          <w:sz w:val="24"/>
          <w:szCs w:val="24"/>
          <w:lang w:val="es-PE"/>
        </w:rPr>
        <w:t xml:space="preserve">Declarar INFUNDADO el recurso impugnativo </w:t>
      </w:r>
      <w:r w:rsidRPr="7C99BA89" w:rsidR="00A70578">
        <w:rPr>
          <w:rFonts w:ascii="Times New Roman" w:hAnsi="Times New Roman" w:eastAsia="Arial Unicode MS" w:cs="Times New Roman"/>
          <w:sz w:val="24"/>
          <w:szCs w:val="24"/>
          <w:lang w:val="es-PE"/>
        </w:rPr>
        <w:t xml:space="preserve">interpuesto </w:t>
      </w:r>
      <w:r w:rsidRPr="7C99BA89" w:rsidR="2876E489">
        <w:rPr>
          <w:rFonts w:ascii="Times New Roman" w:hAnsi="Times New Roman" w:eastAsia="Times New Roman" w:cs="Times New Roman"/>
          <w:sz w:val="24"/>
          <w:szCs w:val="24"/>
          <w:lang w:val="es-PE" w:eastAsia="es-ES"/>
        </w:rPr>
        <w:t>....................................</w:t>
      </w:r>
      <w:r w:rsidRPr="7C99BA89" w:rsidR="00A70578">
        <w:rPr>
          <w:rFonts w:ascii="Times New Roman" w:hAnsi="Times New Roman" w:cs="Times New Roman"/>
          <w:sz w:val="24"/>
          <w:szCs w:val="24"/>
          <w:lang w:val="es-ES"/>
        </w:rPr>
        <w:t>y, por consiguiente, ratificar</w:t>
      </w:r>
      <w:r w:rsidRPr="7C99BA89" w:rsidR="00A70578">
        <w:rPr>
          <w:rFonts w:ascii="Times New Roman" w:hAnsi="Times New Roman" w:eastAsia="Times New Roman" w:cs="Times New Roman"/>
          <w:sz w:val="24"/>
          <w:szCs w:val="24"/>
          <w:lang w:val="es-ES" w:eastAsia="ar-SA"/>
        </w:rPr>
        <w:t xml:space="preserve"> la Resolución Nro. 143/21, de fecha 11 de octubre de 2021.</w:t>
      </w:r>
    </w:p>
    <w:p w:rsidRPr="00A70578"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A70578" w:rsidR="00C671F5" w:rsidP="005E398E" w:rsidRDefault="0091528B" w14:paraId="486C3F46" w14:textId="404B9DC2">
      <w:pPr>
        <w:suppressAutoHyphens/>
        <w:spacing w:after="0" w:line="240" w:lineRule="auto"/>
        <w:jc w:val="right"/>
        <w:outlineLvl w:val="0"/>
        <w:rPr>
          <w:rFonts w:ascii="Times New Roman" w:hAnsi="Times New Roman" w:eastAsia="Arial Unicode MS" w:cs="Times New Roman"/>
          <w:sz w:val="24"/>
          <w:szCs w:val="24"/>
          <w:lang w:val="es-PE" w:eastAsia="ar-SA"/>
        </w:rPr>
      </w:pPr>
      <w:r w:rsidRPr="00A70578">
        <w:rPr>
          <w:rFonts w:ascii="Times New Roman" w:hAnsi="Times New Roman" w:eastAsia="Arial Unicode MS" w:cs="Times New Roman"/>
          <w:sz w:val="24"/>
          <w:szCs w:val="24"/>
          <w:lang w:val="es-PE" w:eastAsia="ar-SA"/>
        </w:rPr>
        <w:t xml:space="preserve">Lima, </w:t>
      </w:r>
      <w:r w:rsidRPr="00A70578" w:rsidR="00A70578">
        <w:rPr>
          <w:rFonts w:ascii="Times New Roman" w:hAnsi="Times New Roman" w:eastAsia="Arial Unicode MS" w:cs="Times New Roman"/>
          <w:sz w:val="24"/>
          <w:szCs w:val="24"/>
          <w:lang w:val="es-PE" w:eastAsia="ar-SA"/>
        </w:rPr>
        <w:t>15</w:t>
      </w:r>
      <w:r w:rsidRPr="00A70578" w:rsidR="00DD21B2">
        <w:rPr>
          <w:rFonts w:ascii="Times New Roman" w:hAnsi="Times New Roman" w:eastAsia="Arial Unicode MS" w:cs="Times New Roman"/>
          <w:sz w:val="24"/>
          <w:szCs w:val="24"/>
          <w:lang w:val="es-PE" w:eastAsia="ar-SA"/>
        </w:rPr>
        <w:t xml:space="preserve"> </w:t>
      </w:r>
      <w:r w:rsidRPr="00A70578" w:rsidR="00707C99">
        <w:rPr>
          <w:rFonts w:ascii="Times New Roman" w:hAnsi="Times New Roman" w:eastAsia="Arial Unicode MS" w:cs="Times New Roman"/>
          <w:sz w:val="24"/>
          <w:szCs w:val="24"/>
          <w:lang w:val="es-PE" w:eastAsia="ar-SA"/>
        </w:rPr>
        <w:t>de</w:t>
      </w:r>
      <w:r w:rsidRPr="00A70578" w:rsidR="00864B0B">
        <w:rPr>
          <w:rFonts w:ascii="Times New Roman" w:hAnsi="Times New Roman" w:eastAsia="Arial Unicode MS" w:cs="Times New Roman"/>
          <w:sz w:val="24"/>
          <w:szCs w:val="24"/>
          <w:lang w:val="es-PE" w:eastAsia="ar-SA"/>
        </w:rPr>
        <w:t xml:space="preserve"> </w:t>
      </w:r>
      <w:r w:rsidRPr="00A70578" w:rsidR="00AD1B33">
        <w:rPr>
          <w:rFonts w:ascii="Times New Roman" w:hAnsi="Times New Roman" w:eastAsia="Arial Unicode MS" w:cs="Times New Roman"/>
          <w:sz w:val="24"/>
          <w:szCs w:val="24"/>
          <w:lang w:val="es-PE" w:eastAsia="ar-SA"/>
        </w:rPr>
        <w:t>noviembre</w:t>
      </w:r>
      <w:r w:rsidRPr="00A70578" w:rsidR="00F06498">
        <w:rPr>
          <w:rFonts w:ascii="Times New Roman" w:hAnsi="Times New Roman" w:eastAsia="Arial Unicode MS" w:cs="Times New Roman"/>
          <w:sz w:val="24"/>
          <w:szCs w:val="24"/>
          <w:lang w:val="es-PE" w:eastAsia="ar-SA"/>
        </w:rPr>
        <w:t xml:space="preserve"> de 202</w:t>
      </w:r>
      <w:r w:rsidRPr="00A70578" w:rsidR="00231C58">
        <w:rPr>
          <w:rFonts w:ascii="Times New Roman" w:hAnsi="Times New Roman" w:eastAsia="Arial Unicode MS" w:cs="Times New Roman"/>
          <w:sz w:val="24"/>
          <w:szCs w:val="24"/>
          <w:lang w:val="es-PE" w:eastAsia="ar-SA"/>
        </w:rPr>
        <w:t>1</w:t>
      </w:r>
      <w:r w:rsidRPr="00A70578" w:rsidR="00707C99">
        <w:rPr>
          <w:rFonts w:ascii="Times New Roman" w:hAnsi="Times New Roman" w:eastAsia="Times New Roman" w:cs="Times New Roman"/>
          <w:sz w:val="24"/>
          <w:szCs w:val="24"/>
          <w:lang w:val="es-PE" w:eastAsia="ar-SA"/>
        </w:rPr>
        <w:t xml:space="preserve"> </w:t>
      </w:r>
    </w:p>
    <w:p w:rsidRPr="00A70578"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70578"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A7057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70578"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A70578" w:rsidR="009F3DD4" w:rsidP="009F3DD4" w:rsidRDefault="009F3DD4" w14:paraId="451211B4" w14:textId="7C22B670">
      <w:pPr>
        <w:spacing w:after="0" w:line="360" w:lineRule="auto"/>
        <w:jc w:val="center"/>
        <w:rPr>
          <w:rFonts w:ascii="Times New Roman" w:hAnsi="Times New Roman" w:cs="Times New Roman"/>
          <w:b/>
          <w:bCs/>
          <w:sz w:val="24"/>
          <w:szCs w:val="24"/>
          <w:lang w:val="es-PE"/>
        </w:rPr>
      </w:pPr>
      <w:r w:rsidRPr="00A70578">
        <w:rPr>
          <w:rFonts w:ascii="Times New Roman" w:hAnsi="Times New Roman" w:cs="Times New Roman"/>
          <w:b/>
          <w:bCs/>
          <w:sz w:val="24"/>
          <w:szCs w:val="24"/>
          <w:lang w:val="es-PE"/>
        </w:rPr>
        <w:t xml:space="preserve">Rolando Eyzaguirre </w:t>
      </w:r>
      <w:proofErr w:type="spellStart"/>
      <w:r w:rsidRPr="00A70578">
        <w:rPr>
          <w:rFonts w:ascii="Times New Roman" w:hAnsi="Times New Roman" w:cs="Times New Roman"/>
          <w:b/>
          <w:bCs/>
          <w:sz w:val="24"/>
          <w:szCs w:val="24"/>
          <w:lang w:val="es-PE"/>
        </w:rPr>
        <w:t>Maccan</w:t>
      </w:r>
      <w:proofErr w:type="spellEnd"/>
      <w:r w:rsidRPr="00A70578">
        <w:rPr>
          <w:rFonts w:ascii="Times New Roman" w:hAnsi="Times New Roman" w:cs="Times New Roman"/>
          <w:b/>
          <w:bCs/>
          <w:sz w:val="24"/>
          <w:szCs w:val="24"/>
          <w:lang w:val="es-PE"/>
        </w:rPr>
        <w:t xml:space="preserve"> – </w:t>
      </w:r>
      <w:proofErr w:type="gramStart"/>
      <w:r w:rsidRPr="00A70578">
        <w:rPr>
          <w:rFonts w:ascii="Times New Roman" w:hAnsi="Times New Roman" w:cs="Times New Roman"/>
          <w:b/>
          <w:bCs/>
          <w:sz w:val="24"/>
          <w:szCs w:val="24"/>
          <w:lang w:val="es-PE"/>
        </w:rPr>
        <w:t>Presidente</w:t>
      </w:r>
      <w:proofErr w:type="gramEnd"/>
    </w:p>
    <w:p w:rsidRPr="00A70578"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A70578">
        <w:rPr>
          <w:rFonts w:ascii="Times New Roman" w:hAnsi="Times New Roman" w:cs="Times New Roman"/>
          <w:b/>
          <w:bCs/>
          <w:sz w:val="24"/>
          <w:szCs w:val="24"/>
          <w:lang w:val="es-PE"/>
        </w:rPr>
        <w:t>María Eugenia Valdez Fernández Baca– Vocal</w:t>
      </w:r>
    </w:p>
    <w:p w:rsidRPr="00A70578"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A70578">
        <w:rPr>
          <w:rFonts w:ascii="Times New Roman" w:hAnsi="Times New Roman" w:cs="Times New Roman"/>
          <w:b/>
          <w:bCs/>
          <w:sz w:val="24"/>
          <w:szCs w:val="24"/>
          <w:lang w:val="es-PE"/>
        </w:rPr>
        <w:t xml:space="preserve">Gonzalo Abad del Busto </w:t>
      </w:r>
      <w:r w:rsidRPr="00A70578" w:rsidR="00231C58">
        <w:rPr>
          <w:rFonts w:ascii="Times New Roman" w:hAnsi="Times New Roman" w:cs="Times New Roman"/>
          <w:b/>
          <w:bCs/>
          <w:sz w:val="24"/>
          <w:szCs w:val="24"/>
          <w:lang w:val="es-PE"/>
        </w:rPr>
        <w:t xml:space="preserve">– </w:t>
      </w:r>
      <w:r w:rsidRPr="00A70578">
        <w:rPr>
          <w:rFonts w:ascii="Times New Roman" w:hAnsi="Times New Roman" w:cs="Times New Roman"/>
          <w:b/>
          <w:bCs/>
          <w:sz w:val="24"/>
          <w:szCs w:val="24"/>
          <w:lang w:val="es-PE"/>
        </w:rPr>
        <w:t>Vocal</w:t>
      </w:r>
    </w:p>
    <w:p w:rsidRPr="00ED2911" w:rsidR="00C671F5" w:rsidP="004A374A" w:rsidRDefault="00C671F5" w14:paraId="33E0FAB8" w14:textId="77777777">
      <w:pPr>
        <w:suppressAutoHyphens/>
        <w:spacing w:after="0" w:line="240" w:lineRule="auto"/>
        <w:outlineLvl w:val="0"/>
        <w:rPr>
          <w:rFonts w:ascii="Times New Roman" w:hAnsi="Times New Roman" w:eastAsia="Arial Unicode MS" w:cs="Times New Roman"/>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04B8" w:rsidP="00784355" w:rsidRDefault="009504B8" w14:paraId="0FC14A3A" w14:textId="77777777">
      <w:pPr>
        <w:spacing w:after="0" w:line="240" w:lineRule="auto"/>
      </w:pPr>
      <w:r>
        <w:separator/>
      </w:r>
    </w:p>
  </w:endnote>
  <w:endnote w:type="continuationSeparator" w:id="0">
    <w:p w:rsidR="009504B8" w:rsidP="00784355" w:rsidRDefault="009504B8" w14:paraId="6A74420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04B8" w:rsidP="00784355" w:rsidRDefault="009504B8" w14:paraId="38F6A6C4" w14:textId="77777777">
      <w:pPr>
        <w:spacing w:after="0" w:line="240" w:lineRule="auto"/>
      </w:pPr>
      <w:r>
        <w:separator/>
      </w:r>
    </w:p>
  </w:footnote>
  <w:footnote w:type="continuationSeparator" w:id="0">
    <w:p w:rsidR="009504B8" w:rsidP="00784355" w:rsidRDefault="009504B8" w14:paraId="687C34E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DD5286F"/>
    <w:multiLevelType w:val="hybridMultilevel"/>
    <w:tmpl w:val="1D440D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3BC4"/>
    <w:rsid w:val="000345DA"/>
    <w:rsid w:val="00037922"/>
    <w:rsid w:val="0004480C"/>
    <w:rsid w:val="0004492D"/>
    <w:rsid w:val="00053D16"/>
    <w:rsid w:val="00056D9F"/>
    <w:rsid w:val="00062040"/>
    <w:rsid w:val="00063183"/>
    <w:rsid w:val="0006548C"/>
    <w:rsid w:val="00065F91"/>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56308"/>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4533F"/>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056A"/>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04B8"/>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0578"/>
    <w:rsid w:val="00A734AD"/>
    <w:rsid w:val="00A837A0"/>
    <w:rsid w:val="00A83AB0"/>
    <w:rsid w:val="00A83D6A"/>
    <w:rsid w:val="00A90926"/>
    <w:rsid w:val="00A97287"/>
    <w:rsid w:val="00AA2A1F"/>
    <w:rsid w:val="00AA2DED"/>
    <w:rsid w:val="00AB1C66"/>
    <w:rsid w:val="00AB69B3"/>
    <w:rsid w:val="00AC5A9E"/>
    <w:rsid w:val="00AD1B33"/>
    <w:rsid w:val="00AD1FEC"/>
    <w:rsid w:val="00AD2DF1"/>
    <w:rsid w:val="00AE4125"/>
    <w:rsid w:val="00AF16B6"/>
    <w:rsid w:val="00AF5E87"/>
    <w:rsid w:val="00B00552"/>
    <w:rsid w:val="00B02BEE"/>
    <w:rsid w:val="00B115C4"/>
    <w:rsid w:val="00B11C1C"/>
    <w:rsid w:val="00B135A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216C8B75"/>
    <w:rsid w:val="2876E489"/>
    <w:rsid w:val="4F6158CA"/>
    <w:rsid w:val="66CE9E8A"/>
    <w:rsid w:val="702F7C00"/>
    <w:rsid w:val="7C99B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A45D684-2E3D-4BD3-81C7-1849FAF1622F}"/>
</file>

<file path=customXml/itemProps3.xml><?xml version="1.0" encoding="utf-8"?>
<ds:datastoreItem xmlns:ds="http://schemas.openxmlformats.org/officeDocument/2006/customXml" ds:itemID="{F29DCFA4-A2BF-4467-A56D-FC030A5A1B54}"/>
</file>

<file path=customXml/itemProps4.xml><?xml version="1.0" encoding="utf-8"?>
<ds:datastoreItem xmlns:ds="http://schemas.openxmlformats.org/officeDocument/2006/customXml" ds:itemID="{3F468105-2CC1-48D7-AA00-108DDF108E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99</cp:revision>
  <cp:lastPrinted>2021-11-16T15:15:00Z</cp:lastPrinted>
  <dcterms:created xsi:type="dcterms:W3CDTF">2020-12-18T20:17:00Z</dcterms:created>
  <dcterms:modified xsi:type="dcterms:W3CDTF">2026-02-04T20:41:57Z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