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65F91" w:rsidR="00EF0B7F" w:rsidP="00EF0B7F" w:rsidRDefault="00201C0D" w14:paraId="632C635A" w14:textId="7F44A489">
      <w:pPr>
        <w:pStyle w:val="Ttulo2"/>
        <w:jc w:val="center"/>
        <w:rPr>
          <w:rFonts w:ascii="Times New Roman" w:hAnsi="Times New Roman" w:cs="Times New Roman"/>
          <w:b/>
          <w:bCs/>
          <w:color w:val="auto"/>
          <w:sz w:val="24"/>
          <w:szCs w:val="24"/>
          <w:lang w:val="es-PE" w:eastAsia="ar-SA"/>
        </w:rPr>
      </w:pPr>
      <w:r w:rsidRPr="00065F91">
        <w:rPr>
          <w:rFonts w:ascii="Times New Roman" w:hAnsi="Times New Roman" w:cs="Times New Roman"/>
          <w:b/>
          <w:bCs/>
          <w:color w:val="auto"/>
          <w:sz w:val="24"/>
          <w:szCs w:val="24"/>
          <w:lang w:val="es-PE" w:eastAsia="ar-SA"/>
        </w:rPr>
        <w:t xml:space="preserve">RESOLUCIÓN DE RECURSO IMPUGNATIVO </w:t>
      </w:r>
      <w:proofErr w:type="spellStart"/>
      <w:r w:rsidRPr="00065F91" w:rsidR="00707C99">
        <w:rPr>
          <w:rFonts w:ascii="Times New Roman" w:hAnsi="Times New Roman" w:cs="Times New Roman"/>
          <w:b/>
          <w:bCs/>
          <w:color w:val="auto"/>
          <w:sz w:val="24"/>
          <w:szCs w:val="24"/>
          <w:lang w:val="es-PE" w:eastAsia="ar-SA"/>
        </w:rPr>
        <w:t>N°</w:t>
      </w:r>
      <w:proofErr w:type="spellEnd"/>
      <w:r w:rsidRPr="00065F91" w:rsidR="00707C99">
        <w:rPr>
          <w:rFonts w:ascii="Times New Roman" w:hAnsi="Times New Roman" w:cs="Times New Roman"/>
          <w:b/>
          <w:bCs/>
          <w:color w:val="auto"/>
          <w:sz w:val="24"/>
          <w:szCs w:val="24"/>
          <w:lang w:val="es-PE" w:eastAsia="ar-SA"/>
        </w:rPr>
        <w:t xml:space="preserve"> </w:t>
      </w:r>
      <w:r w:rsidRPr="00065F91" w:rsidR="00C671F5">
        <w:rPr>
          <w:rFonts w:ascii="Times New Roman" w:hAnsi="Times New Roman" w:cs="Times New Roman"/>
          <w:b/>
          <w:bCs/>
          <w:color w:val="auto"/>
          <w:sz w:val="24"/>
          <w:szCs w:val="24"/>
          <w:lang w:val="es-PE" w:eastAsia="ar-SA"/>
        </w:rPr>
        <w:t>0</w:t>
      </w:r>
      <w:r w:rsidRPr="00065F91" w:rsidR="00065F91">
        <w:rPr>
          <w:rFonts w:ascii="Times New Roman" w:hAnsi="Times New Roman" w:cs="Times New Roman"/>
          <w:b/>
          <w:bCs/>
          <w:color w:val="auto"/>
          <w:sz w:val="24"/>
          <w:szCs w:val="24"/>
          <w:lang w:val="es-PE" w:eastAsia="ar-SA"/>
        </w:rPr>
        <w:t>6</w:t>
      </w:r>
      <w:r w:rsidR="00626E08">
        <w:rPr>
          <w:rFonts w:ascii="Times New Roman" w:hAnsi="Times New Roman" w:cs="Times New Roman"/>
          <w:b/>
          <w:bCs/>
          <w:color w:val="auto"/>
          <w:sz w:val="24"/>
          <w:szCs w:val="24"/>
          <w:lang w:val="es-PE" w:eastAsia="ar-SA"/>
        </w:rPr>
        <w:t>2</w:t>
      </w:r>
      <w:r w:rsidRPr="00065F91" w:rsidR="00517CFF">
        <w:rPr>
          <w:rFonts w:ascii="Times New Roman" w:hAnsi="Times New Roman" w:cs="Times New Roman"/>
          <w:b/>
          <w:bCs/>
          <w:color w:val="auto"/>
          <w:sz w:val="24"/>
          <w:szCs w:val="24"/>
          <w:lang w:val="es-PE" w:eastAsia="ar-SA"/>
        </w:rPr>
        <w:t>/</w:t>
      </w:r>
      <w:r w:rsidRPr="00065F91" w:rsidR="00C671F5">
        <w:rPr>
          <w:rFonts w:ascii="Times New Roman" w:hAnsi="Times New Roman" w:cs="Times New Roman"/>
          <w:b/>
          <w:bCs/>
          <w:color w:val="auto"/>
          <w:sz w:val="24"/>
          <w:szCs w:val="24"/>
          <w:lang w:val="es-PE" w:eastAsia="ar-SA"/>
        </w:rPr>
        <w:t>2</w:t>
      </w:r>
      <w:r w:rsidRPr="00065F91" w:rsidR="00231C58">
        <w:rPr>
          <w:rFonts w:ascii="Times New Roman" w:hAnsi="Times New Roman" w:cs="Times New Roman"/>
          <w:b/>
          <w:bCs/>
          <w:color w:val="auto"/>
          <w:sz w:val="24"/>
          <w:szCs w:val="24"/>
          <w:lang w:val="es-PE" w:eastAsia="ar-SA"/>
        </w:rPr>
        <w:t>1</w:t>
      </w:r>
    </w:p>
    <w:p w:rsidRPr="00065F91" w:rsidR="00FB0C48" w:rsidP="00FB0C48" w:rsidRDefault="00FB0C48" w14:paraId="71F35ACE" w14:textId="77777777">
      <w:pPr>
        <w:jc w:val="both"/>
        <w:outlineLvl w:val="0"/>
        <w:rPr>
          <w:rFonts w:ascii="Times New Roman" w:hAnsi="Times New Roman" w:cs="Times New Roman"/>
          <w:b/>
          <w:bCs/>
          <w:sz w:val="24"/>
          <w:szCs w:val="24"/>
          <w:lang w:val="es-MX"/>
        </w:rPr>
      </w:pPr>
    </w:p>
    <w:p w:rsidRPr="003105D0" w:rsidR="008C1DD6" w:rsidP="00221C82" w:rsidRDefault="008C1DD6" w14:paraId="27700AAD" w14:textId="731F64F6">
      <w:pPr>
        <w:jc w:val="both"/>
        <w:outlineLvl w:val="0"/>
        <w:rPr>
          <w:rFonts w:ascii="Georgia" w:hAnsi="Georgia" w:cs="Arial"/>
          <w:b/>
          <w:bCs/>
          <w:lang w:val="es-MX"/>
        </w:rPr>
      </w:pPr>
      <w:r w:rsidRPr="003105D0">
        <w:rPr>
          <w:rFonts w:ascii="Georgia" w:hAnsi="Georgia" w:cs="Arial"/>
          <w:b/>
          <w:bCs/>
          <w:lang w:val="es-MX"/>
        </w:rPr>
        <w:t>VISTOS:</w:t>
      </w:r>
    </w:p>
    <w:p w:rsidR="008C1DD6" w:rsidP="00221C82" w:rsidRDefault="008C1DD6" w14:paraId="58D394F8" w14:textId="089D146B">
      <w:pPr>
        <w:pStyle w:val="Default"/>
        <w:jc w:val="both"/>
        <w:rPr>
          <w:rFonts w:ascii="Georgia" w:hAnsi="Georgia"/>
        </w:rPr>
      </w:pPr>
      <w:r w:rsidRPr="11947526" w:rsidR="008C1DD6">
        <w:rPr>
          <w:rFonts w:ascii="Georgia" w:hAnsi="Georgia"/>
        </w:rPr>
        <w:t xml:space="preserve">El recurso de impugnación presentado por </w:t>
      </w:r>
      <w:r w:rsidRPr="11947526" w:rsidR="1DB0D704">
        <w:rPr>
          <w:rFonts w:ascii="Georgia" w:hAnsi="Georgia"/>
        </w:rPr>
        <w:t>................................................</w:t>
      </w:r>
      <w:r w:rsidRPr="11947526" w:rsidR="008C1DD6">
        <w:rPr>
          <w:rFonts w:ascii="Georgia" w:hAnsi="Georgia"/>
        </w:rPr>
        <w:t xml:space="preserve"> respecto de la Resolución Nro. 135/21, expedida por el Órgano Resolutivo Unipersonal de esta Defensoría del Asegurado (DEFASEG), conforme a la cual se declaró FUNDADA la reclamación interpuesta por </w:t>
      </w:r>
      <w:r w:rsidRPr="11947526" w:rsidR="600BA39B">
        <w:rPr>
          <w:rFonts w:ascii="Georgia" w:hAnsi="Georgia"/>
        </w:rPr>
        <w:t>................................................</w:t>
      </w:r>
      <w:r w:rsidRPr="11947526" w:rsidR="008C1DD6">
        <w:rPr>
          <w:rFonts w:ascii="Georgia" w:hAnsi="Georgia"/>
        </w:rPr>
        <w:t xml:space="preserve"> respecto al SEGURO DE TARJETAS</w:t>
      </w:r>
      <w:r w:rsidRPr="11947526" w:rsidR="008C1DD6">
        <w:rPr>
          <w:rFonts w:ascii="Georgia" w:hAnsi="Georgia"/>
        </w:rPr>
        <w:t xml:space="preserve"> </w:t>
      </w:r>
      <w:r w:rsidRPr="11947526" w:rsidR="008C1DD6">
        <w:rPr>
          <w:rFonts w:ascii="Georgia" w:hAnsi="Georgia"/>
        </w:rPr>
        <w:t xml:space="preserve">360° - PÓLIZA </w:t>
      </w:r>
      <w:r w:rsidRPr="11947526" w:rsidR="21C864BA">
        <w:rPr>
          <w:rFonts w:ascii="Georgia" w:hAnsi="Georgia"/>
        </w:rPr>
        <w:t>................................................</w:t>
      </w:r>
      <w:r w:rsidRPr="11947526" w:rsidR="008C1DD6">
        <w:rPr>
          <w:rFonts w:ascii="Georgia" w:hAnsi="Georgia"/>
        </w:rPr>
        <w:t>;</w:t>
      </w:r>
    </w:p>
    <w:p w:rsidRPr="008C1DD6" w:rsidR="00221C82" w:rsidP="00221C82" w:rsidRDefault="00221C82" w14:paraId="64E516AF" w14:textId="77777777">
      <w:pPr>
        <w:pStyle w:val="Default"/>
        <w:jc w:val="both"/>
        <w:rPr>
          <w:rFonts w:ascii="Georgia" w:hAnsi="Georgia"/>
        </w:rPr>
      </w:pPr>
    </w:p>
    <w:p w:rsidRPr="00221C82" w:rsidR="008C1DD6" w:rsidP="00221C82" w:rsidRDefault="008C1DD6" w14:paraId="48E2F9F8" w14:textId="49E6824F">
      <w:pPr>
        <w:autoSpaceDE w:val="0"/>
        <w:autoSpaceDN w:val="0"/>
        <w:adjustRightInd w:val="0"/>
        <w:jc w:val="both"/>
        <w:rPr>
          <w:rFonts w:ascii="Georgia" w:hAnsi="Georgia" w:cs="Arial"/>
          <w:color w:val="000000"/>
          <w:lang w:val="es-PE" w:eastAsia="es-PE"/>
        </w:rPr>
      </w:pPr>
      <w:r w:rsidRPr="11947526" w:rsidR="008C1DD6">
        <w:rPr>
          <w:rFonts w:ascii="Georgia" w:hAnsi="Georgia" w:cs="Arial"/>
          <w:lang w:val="es-PE"/>
        </w:rPr>
        <w:t xml:space="preserve">Que, el indicado recurso se sustenta resumidamente en lo siguiente: (1) </w:t>
      </w:r>
      <w:r w:rsidRPr="11947526" w:rsidR="008C1DD6">
        <w:rPr>
          <w:rFonts w:ascii="Georgia" w:hAnsi="Georgia" w:cs="ChubbPublicoTextApp-Roman"/>
          <w:lang w:val="es-PE" w:eastAsia="es-PE"/>
        </w:rPr>
        <w:t>la asegurada tomó conocimiento acerca de los términos y condiciones de la Póliza contratada, siendo uno de ellos que:</w:t>
      </w:r>
      <w:r w:rsidRPr="11947526" w:rsidR="008C1DD6">
        <w:rPr>
          <w:rFonts w:ascii="Georgia" w:hAnsi="Georgia" w:cs="ChubbPublicoTextApp-BoldItalic"/>
          <w:i w:val="1"/>
          <w:iCs w:val="1"/>
          <w:lang w:val="es-PE" w:eastAsia="es-PE"/>
        </w:rPr>
        <w:t>“(…) LA COMPAÑÍA se obliga a indemnizar al ASEGURADO por el Daño Patrimonial que pueda sufrir como consecuencia del Uso Indebido, y con presencia física, de la(s) tarjeta(s) Asegurada(s), en un Negocio Afiliado(…)”</w:t>
      </w:r>
      <w:r w:rsidRPr="11947526" w:rsidR="008C1DD6">
        <w:rPr>
          <w:rFonts w:ascii="Georgia" w:hAnsi="Georgia" w:cs="ChubbPublicoTextApp-BoldItalic"/>
          <w:lang w:val="es-PE" w:eastAsia="es-PE"/>
        </w:rPr>
        <w:t xml:space="preserve">; (2) </w:t>
      </w:r>
      <w:r w:rsidRPr="11947526" w:rsidR="008C1DD6">
        <w:rPr>
          <w:rFonts w:ascii="Georgia" w:hAnsi="Georgia" w:cs="ChubbPublicoTextApp-Roman"/>
          <w:lang w:val="es-PE" w:eastAsia="es-PE"/>
        </w:rPr>
        <w:t xml:space="preserve">dentro de las definiciones, se establece expresamente qué debe entenderse como </w:t>
      </w:r>
      <w:r w:rsidRPr="11947526" w:rsidR="008C1DD6">
        <w:rPr>
          <w:rFonts w:ascii="Georgia" w:hAnsi="Georgia" w:cs="ChubbPublicoTextApp-BoldItalic"/>
          <w:i w:val="1"/>
          <w:iCs w:val="1"/>
          <w:lang w:val="es-PE" w:eastAsia="es-PE"/>
        </w:rPr>
        <w:t>Negocio Afiliado</w:t>
      </w:r>
      <w:r w:rsidRPr="11947526" w:rsidR="008C1DD6">
        <w:rPr>
          <w:rFonts w:ascii="Georgia" w:hAnsi="Georgia" w:cs="ChubbPublicoTextApp-Roman"/>
          <w:lang w:val="es-PE" w:eastAsia="es-PE"/>
        </w:rPr>
        <w:t xml:space="preserve">; es decir, aquellas </w:t>
      </w:r>
      <w:r w:rsidRPr="11947526" w:rsidR="008C1DD6">
        <w:rPr>
          <w:rFonts w:ascii="Georgia" w:hAnsi="Georgia" w:cs="ChubbPublicoTextApp-BoldItalic"/>
          <w:i w:val="1"/>
          <w:iCs w:val="1"/>
          <w:lang w:val="es-PE" w:eastAsia="es-PE"/>
        </w:rPr>
        <w:t>empresas o personas que aceptan tarjetas de crédito y/o débito como medio de pago por los productos y/o servicios que se ofrecen</w:t>
      </w:r>
      <w:r w:rsidRPr="11947526" w:rsidR="008C1DD6">
        <w:rPr>
          <w:rFonts w:ascii="Georgia" w:hAnsi="Georgia" w:cs="ChubbPublicoTextApp-BoldItalic"/>
          <w:lang w:val="es-PE" w:eastAsia="es-PE"/>
        </w:rPr>
        <w:t xml:space="preserve">; (3) </w:t>
      </w:r>
      <w:r w:rsidRPr="11947526" w:rsidR="008C1DD6">
        <w:rPr>
          <w:rFonts w:ascii="Georgia" w:hAnsi="Georgia" w:cs="ChubbPublicoTextApp-Roman"/>
          <w:lang w:val="es-PE" w:eastAsia="es-PE"/>
        </w:rPr>
        <w:t xml:space="preserve">el evento en cuestión </w:t>
      </w:r>
      <w:r w:rsidRPr="11947526" w:rsidR="008C1DD6">
        <w:rPr>
          <w:rFonts w:ascii="Georgia" w:hAnsi="Georgia" w:cs="ChubbPublicoTextApp-Bold"/>
          <w:lang w:val="es-PE" w:eastAsia="es-PE"/>
        </w:rPr>
        <w:t>no constituía un evento amparado en la Póliza contratada</w:t>
      </w:r>
      <w:r w:rsidRPr="11947526" w:rsidR="008C1DD6">
        <w:rPr>
          <w:rFonts w:ascii="Georgia" w:hAnsi="Georgia" w:cs="ChubbPublicoTextApp-Roman"/>
          <w:lang w:val="es-PE" w:eastAsia="es-PE"/>
        </w:rPr>
        <w:t xml:space="preserve">, en la medida que </w:t>
      </w:r>
      <w:r w:rsidRPr="11947526" w:rsidR="008C1DD6">
        <w:rPr>
          <w:rFonts w:ascii="Georgia" w:hAnsi="Georgia" w:cs="ChubbPublicoTextApp-Bold"/>
          <w:lang w:val="es-PE" w:eastAsia="es-PE"/>
        </w:rPr>
        <w:t xml:space="preserve">no se trataba del uso indebido de la tarjeta de la señora </w:t>
      </w:r>
      <w:r w:rsidRPr="11947526" w:rsidR="3E888B34">
        <w:rPr>
          <w:rFonts w:ascii="Georgia" w:hAnsi="Georgia" w:cs="ChubbPublicoTextApp-Bold"/>
          <w:lang w:val="es-PE" w:eastAsia="es-PE"/>
        </w:rPr>
        <w:t>.................................</w:t>
      </w:r>
      <w:r w:rsidRPr="11947526" w:rsidR="008C1DD6">
        <w:rPr>
          <w:rFonts w:ascii="Georgia" w:hAnsi="Georgia" w:cs="ChubbPublicoTextApp-Bold"/>
          <w:lang w:val="es-PE" w:eastAsia="es-PE"/>
        </w:rPr>
        <w:t xml:space="preserve"> mediante el pago por la adquisición de algún producto o servicio en negocios afiliados</w:t>
      </w:r>
      <w:r w:rsidRPr="11947526" w:rsidR="008C1DD6">
        <w:rPr>
          <w:rFonts w:ascii="Georgia" w:hAnsi="Georgia" w:cs="ChubbPublicoTextApp-Roman"/>
          <w:lang w:val="es-PE" w:eastAsia="es-PE"/>
        </w:rPr>
        <w:t xml:space="preserve">, sino estábamos ante un supuesto de </w:t>
      </w:r>
      <w:r w:rsidRPr="11947526" w:rsidR="008C1DD6">
        <w:rPr>
          <w:rFonts w:ascii="Georgia" w:hAnsi="Georgia" w:cs="ChubbPublicoTextApp-Bold"/>
          <w:lang w:val="es-PE" w:eastAsia="es-PE"/>
        </w:rPr>
        <w:t>retiro de dinero del cajero automático; (4) la aseguradora</w:t>
      </w:r>
      <w:r w:rsidRPr="11947526" w:rsidR="008C1DD6">
        <w:rPr>
          <w:rFonts w:ascii="Georgia" w:hAnsi="Georgia" w:cs="ChubbPublicoTextApp-Roman"/>
          <w:lang w:val="es-PE" w:eastAsia="es-PE"/>
        </w:rPr>
        <w:t xml:space="preserve"> sí informó debidamente los términos y condiciones de la Póliza contratada; (5) esta información o puesta a disposición de información no solo ocurrió al momento de la contratación, sino también al remitir dicha información vía correo electrónico, la reclamante; (6) la asegurada fue debidamente notificada con la Póliza contratada; ergo, con las coberturas que dicha póliza contempla, por lo que tenía pleno conocimiento acerca de los términos y condiciones de la Póliza al momento de ocurrido el sinestro.</w:t>
      </w:r>
    </w:p>
    <w:p w:rsidRPr="003105D0" w:rsidR="008C1DD6" w:rsidP="008C1DD6" w:rsidRDefault="008C1DD6" w14:paraId="469C7004" w14:textId="77777777">
      <w:pPr>
        <w:pStyle w:val="Textoindependiente"/>
        <w:rPr>
          <w:rFonts w:ascii="Georgia" w:hAnsi="Georgia" w:cs="Calibri"/>
          <w:bCs w:val="0"/>
          <w:color w:val="000000"/>
          <w:lang w:val="es-PE" w:eastAsia="es-PE"/>
        </w:rPr>
      </w:pPr>
      <w:r w:rsidRPr="003105D0">
        <w:rPr>
          <w:rFonts w:ascii="Georgia" w:hAnsi="Georgia" w:cs="Arial"/>
        </w:rPr>
        <w:t xml:space="preserve">Que, la reclamante no absolvió el traslado del recurso interpuesto. </w:t>
      </w:r>
    </w:p>
    <w:p w:rsidRPr="003105D0" w:rsidR="008C1DD6" w:rsidP="008C1DD6" w:rsidRDefault="008C1DD6" w14:paraId="7A8229E2" w14:textId="77777777">
      <w:pPr>
        <w:pStyle w:val="Textoindependiente"/>
        <w:rPr>
          <w:rFonts w:ascii="Georgia" w:hAnsi="Georgia" w:cs="Arial"/>
        </w:rPr>
      </w:pPr>
    </w:p>
    <w:p w:rsidR="008C1DD6" w:rsidP="008C1DD6" w:rsidRDefault="008C1DD6" w14:paraId="4E3A084A" w14:textId="1A760CF4">
      <w:pPr>
        <w:pStyle w:val="Textoindependiente"/>
        <w:tabs>
          <w:tab w:val="left" w:pos="930"/>
        </w:tabs>
        <w:rPr>
          <w:rFonts w:ascii="Georgia" w:hAnsi="Georgia" w:cs="Arial"/>
        </w:rPr>
      </w:pPr>
      <w:r w:rsidRPr="003105D0">
        <w:rPr>
          <w:rFonts w:ascii="Georgia" w:hAnsi="Georgia" w:cs="Arial"/>
        </w:rPr>
        <w:t>Que, atendiendo a lo expuesto, esta Defensoría resuelve finalmente lo siguiente:</w:t>
      </w:r>
    </w:p>
    <w:p w:rsidRPr="008C1DD6" w:rsidR="008C1DD6" w:rsidP="008C1DD6" w:rsidRDefault="008C1DD6" w14:paraId="3DDBA06B" w14:textId="77777777">
      <w:pPr>
        <w:pStyle w:val="Textoindependiente"/>
        <w:tabs>
          <w:tab w:val="left" w:pos="930"/>
        </w:tabs>
        <w:rPr>
          <w:rFonts w:ascii="Georgia" w:hAnsi="Georgia" w:cs="Arial"/>
        </w:rPr>
      </w:pPr>
    </w:p>
    <w:p w:rsidRPr="003105D0" w:rsidR="008C1DD6" w:rsidP="008C1DD6" w:rsidRDefault="008C1DD6" w14:paraId="3B80080D" w14:textId="74ACA58D">
      <w:pPr>
        <w:jc w:val="both"/>
        <w:rPr>
          <w:rFonts w:ascii="Georgia" w:hAnsi="Georgia" w:cs="Arial"/>
          <w:lang w:val="es-PE"/>
        </w:rPr>
      </w:pPr>
      <w:r w:rsidRPr="003105D0">
        <w:rPr>
          <w:rFonts w:ascii="Georgia" w:hAnsi="Georgia" w:cs="Arial"/>
          <w:b/>
          <w:u w:val="single"/>
          <w:lang w:val="es-PE"/>
        </w:rPr>
        <w:t>PRIMERO</w:t>
      </w:r>
      <w:r w:rsidRPr="003105D0">
        <w:rPr>
          <w:rFonts w:ascii="Georgia" w:hAnsi="Georgia" w:cs="Arial"/>
          <w:b/>
          <w:lang w:val="es-PE"/>
        </w:rPr>
        <w:t>:</w:t>
      </w:r>
      <w:r w:rsidRPr="003105D0">
        <w:rPr>
          <w:rFonts w:ascii="Georgia" w:hAnsi="Georgia" w:cs="Arial"/>
          <w:lang w:val="es-PE"/>
        </w:rPr>
        <w:t xml:space="preserve"> El artículo 10 (Procedimiento) del Reglamento de la DEFASEG </w:t>
      </w:r>
      <w:r w:rsidRPr="003105D0">
        <w:rPr>
          <w:rFonts w:ascii="Georgia" w:hAnsi="Georgia" w:eastAsia="Arial Unicode MS" w:cs="Arial"/>
          <w:lang w:val="es-PE"/>
        </w:rPr>
        <w:t>(http://www.defaseg.com.pe/reglamento)</w:t>
      </w:r>
      <w:r w:rsidRPr="003105D0">
        <w:rPr>
          <w:rFonts w:ascii="Georgia" w:hAnsi="Georgia" w:cs="Arial"/>
          <w:lang w:val="es-PE"/>
        </w:rPr>
        <w:t xml:space="preserve"> establece que cualquiera de las partes que no se encuentre de acuerdo con la decisión adoptada por el </w:t>
      </w:r>
      <w:r w:rsidRPr="008C1DD6">
        <w:rPr>
          <w:rFonts w:ascii="Georgia" w:hAnsi="Georgia" w:cs="Arial"/>
          <w:lang w:val="es-PE"/>
        </w:rPr>
        <w:t>Órgano Resolutivo Unipersonal</w:t>
      </w:r>
      <w:r w:rsidRPr="003105D0">
        <w:rPr>
          <w:rFonts w:ascii="Georgia" w:hAnsi="Georgia" w:cs="Arial"/>
          <w:lang w:val="es-PE"/>
        </w:rPr>
        <w:t xml:space="preserve"> sobre la materia reclamada, podrá impugnarla, interponiendo el correspondiente recurso de impugnación.  </w:t>
      </w:r>
    </w:p>
    <w:p w:rsidRPr="008C1DD6" w:rsidR="008C1DD6" w:rsidP="008C1DD6" w:rsidRDefault="008C1DD6" w14:paraId="58DC771A" w14:textId="4A466067">
      <w:pPr>
        <w:jc w:val="both"/>
        <w:rPr>
          <w:rFonts w:ascii="Georgia" w:hAnsi="Georgia" w:cs="Arial"/>
          <w:lang w:val="es-PE"/>
        </w:rPr>
      </w:pPr>
      <w:r w:rsidRPr="003105D0">
        <w:rPr>
          <w:rFonts w:ascii="Georgia" w:hAnsi="Georgia" w:cs="Arial"/>
          <w:lang w:val="es-PE"/>
        </w:rPr>
        <w:t>Conforme a ello, en el caso concreto, al interponer el recurso de impugnación la aseguradora ha ejercido formalmente su derecho a contradecir lo resuelto por la Defensoría.</w:t>
      </w:r>
    </w:p>
    <w:p w:rsidRPr="008C1DD6" w:rsidR="008C1DD6" w:rsidP="008C1DD6" w:rsidRDefault="008C1DD6" w14:paraId="403C0004" w14:textId="4BCCE593">
      <w:pPr>
        <w:jc w:val="both"/>
        <w:rPr>
          <w:rFonts w:ascii="Georgia" w:hAnsi="Georgia" w:cs="Arial"/>
          <w:bCs/>
          <w:lang w:val="es-PE"/>
        </w:rPr>
      </w:pPr>
      <w:r w:rsidRPr="008C1DD6">
        <w:rPr>
          <w:rFonts w:ascii="Georgia" w:hAnsi="Georgia" w:cs="Arial"/>
          <w:b/>
          <w:bCs/>
          <w:u w:val="single"/>
          <w:lang w:val="es-PE"/>
        </w:rPr>
        <w:t>SEGUNDO</w:t>
      </w:r>
      <w:r w:rsidRPr="008C1DD6">
        <w:rPr>
          <w:rFonts w:ascii="Georgia" w:hAnsi="Georgia" w:cs="Arial"/>
          <w:b/>
          <w:bCs/>
          <w:lang w:val="es-PE"/>
        </w:rPr>
        <w:t>:</w:t>
      </w:r>
      <w:r w:rsidRPr="008C1DD6">
        <w:rPr>
          <w:rFonts w:ascii="Georgia" w:hAnsi="Georgia" w:cs="Arial"/>
          <w:bCs/>
          <w:lang w:val="es-PE"/>
        </w:rPr>
        <w:t xml:space="preserve"> Que el recurso de impugnación presentado por la aseguradora se sustenta en nueva prueba en virtud de la cual acredita que cumplió con poner en conocimiento de la asegurada los alcances y términos del seguro contratado.</w:t>
      </w:r>
    </w:p>
    <w:p w:rsidRPr="008C1DD6" w:rsidR="008C1DD6" w:rsidP="008C1DD6" w:rsidRDefault="008C1DD6" w14:paraId="2A7C06A9" w14:textId="0E16E6A9">
      <w:pPr>
        <w:tabs>
          <w:tab w:val="left" w:pos="2160"/>
        </w:tabs>
        <w:jc w:val="both"/>
        <w:rPr>
          <w:rFonts w:ascii="Georgia" w:hAnsi="Georgia" w:cs="Arial"/>
          <w:lang w:val="es-PE"/>
        </w:rPr>
      </w:pPr>
      <w:r w:rsidRPr="008C1DD6">
        <w:rPr>
          <w:rFonts w:ascii="Georgia" w:hAnsi="Georgia" w:cs="Arial"/>
          <w:lang w:val="es-PE"/>
        </w:rPr>
        <w:t>Sobre el particular, este Colegiado advierte que, la Resolución Nro. 135/21, expedida por el Órgano Resolutivo Unipersonal de esta Defensoría del Asegurado (DEFASEG), se fundamenta en que la asegurado no probó con su obligación de informar los alcances del seguro contratado.</w:t>
      </w:r>
    </w:p>
    <w:p w:rsidRPr="008C1DD6" w:rsidR="008C1DD6" w:rsidP="008C1DD6" w:rsidRDefault="008C1DD6" w14:paraId="047D0BFF" w14:textId="5E58D3E3">
      <w:pPr>
        <w:tabs>
          <w:tab w:val="left" w:pos="2160"/>
        </w:tabs>
        <w:jc w:val="both"/>
        <w:rPr>
          <w:rFonts w:ascii="Georgia" w:hAnsi="Georgia" w:cs="Arial"/>
          <w:lang w:val="es-PE"/>
        </w:rPr>
      </w:pPr>
      <w:r w:rsidRPr="008C1DD6">
        <w:rPr>
          <w:rFonts w:ascii="Georgia" w:hAnsi="Georgia" w:cs="Arial"/>
          <w:lang w:val="es-PE"/>
        </w:rPr>
        <w:lastRenderedPageBreak/>
        <w:t xml:space="preserve">En efecto, conforme a la documentación presentada por la aseguradora en sus descargos, esta únicamente presentó una copia de un formato de solicitud – certificado de seguro, documento que no está firmado y en el que no se identifica a la asegurada. </w:t>
      </w:r>
    </w:p>
    <w:p w:rsidRPr="008C1DD6" w:rsidR="008C1DD6" w:rsidP="008C1DD6" w:rsidRDefault="008C1DD6" w14:paraId="16795C24" w14:textId="580512BD">
      <w:pPr>
        <w:tabs>
          <w:tab w:val="left" w:pos="2160"/>
        </w:tabs>
        <w:jc w:val="both"/>
        <w:rPr>
          <w:rStyle w:val="Textoennegrita"/>
          <w:rFonts w:ascii="Georgia" w:hAnsi="Georgia"/>
          <w:b w:val="0"/>
          <w:bCs w:val="0"/>
          <w:lang w:val="es-PE"/>
        </w:rPr>
      </w:pPr>
      <w:r w:rsidRPr="008C1DD6">
        <w:rPr>
          <w:rFonts w:ascii="Georgia" w:hAnsi="Georgia"/>
          <w:lang w:val="es-PE"/>
        </w:rPr>
        <w:t>Mediante el recurso de impugnación, la aseguradora acompaña nueva prueba que demuestra el cumplimiento de informar a la asegurada los contenidos contractuales del seguro contratado, demostrando con ello que la reclamante conocía los términos de las coberturas contratadas.</w:t>
      </w:r>
    </w:p>
    <w:p w:rsidRPr="008C1DD6" w:rsidR="008C1DD6" w:rsidP="008C1DD6" w:rsidRDefault="008C1DD6" w14:paraId="06AD1CE5" w14:textId="46D92CCC">
      <w:pPr>
        <w:tabs>
          <w:tab w:val="left" w:pos="2160"/>
        </w:tabs>
        <w:jc w:val="both"/>
        <w:rPr>
          <w:rStyle w:val="Textoennegrita"/>
          <w:rFonts w:ascii="Georgia" w:hAnsi="Georgia"/>
          <w:b w:val="0"/>
          <w:bCs w:val="0"/>
          <w:lang w:val="es-PE"/>
        </w:rPr>
      </w:pPr>
      <w:r w:rsidRPr="11947526" w:rsidR="008C1DD6">
        <w:rPr>
          <w:rStyle w:val="Textoennegrita"/>
          <w:rFonts w:ascii="Georgia" w:hAnsi="Georgia"/>
          <w:b w:val="0"/>
          <w:bCs w:val="0"/>
          <w:lang w:val="es-PE"/>
        </w:rPr>
        <w:t xml:space="preserve">Conforme a lo anterior, es pertinente tener en cuenta que como nueva prueba </w:t>
      </w:r>
      <w:r w:rsidRPr="11947526" w:rsidR="1DB0D704">
        <w:rPr>
          <w:rStyle w:val="Textoennegrita"/>
          <w:rFonts w:ascii="Georgia" w:hAnsi="Georgia"/>
          <w:b w:val="0"/>
          <w:bCs w:val="0"/>
          <w:lang w:val="es-PE"/>
        </w:rPr>
        <w:t>................................................</w:t>
      </w:r>
      <w:r w:rsidRPr="11947526" w:rsidR="008C1DD6">
        <w:rPr>
          <w:rStyle w:val="Textoennegrita"/>
          <w:rFonts w:ascii="Georgia" w:hAnsi="Georgia"/>
          <w:b w:val="0"/>
          <w:bCs w:val="0"/>
          <w:lang w:val="es-PE"/>
        </w:rPr>
        <w:t xml:space="preserve"> presentó: (i) la solicitud del seguro </w:t>
      </w:r>
      <w:r w:rsidRPr="11947526" w:rsidR="008C1DD6">
        <w:rPr>
          <w:rStyle w:val="Textoennegrita"/>
          <w:rFonts w:ascii="Georgia" w:hAnsi="Georgia"/>
          <w:b w:val="0"/>
          <w:bCs w:val="0"/>
          <w:lang w:val="es-PE"/>
        </w:rPr>
        <w:t>N°</w:t>
      </w:r>
      <w:r w:rsidRPr="11947526" w:rsidR="008C1DD6">
        <w:rPr>
          <w:rStyle w:val="Textoennegrita"/>
          <w:rFonts w:ascii="Georgia" w:hAnsi="Georgia"/>
          <w:b w:val="0"/>
          <w:bCs w:val="0"/>
          <w:lang w:val="es-PE"/>
        </w:rPr>
        <w:t xml:space="preserve"> 174884, debidamente firmada por la asegurada, donde constan las coberturas contratadas; (</w:t>
      </w:r>
      <w:r w:rsidRPr="11947526" w:rsidR="008C1DD6">
        <w:rPr>
          <w:rStyle w:val="Textoennegrita"/>
          <w:rFonts w:ascii="Georgia" w:hAnsi="Georgia"/>
          <w:b w:val="0"/>
          <w:bCs w:val="0"/>
          <w:lang w:val="es-PE"/>
        </w:rPr>
        <w:t>ii</w:t>
      </w:r>
      <w:r w:rsidRPr="11947526" w:rsidR="008C1DD6">
        <w:rPr>
          <w:rStyle w:val="Textoennegrita"/>
          <w:rFonts w:ascii="Georgia" w:hAnsi="Georgia"/>
          <w:b w:val="0"/>
          <w:bCs w:val="0"/>
          <w:lang w:val="es-PE"/>
        </w:rPr>
        <w:t>) constancia de envío de la Póliza; (</w:t>
      </w:r>
      <w:r w:rsidRPr="11947526" w:rsidR="008C1DD6">
        <w:rPr>
          <w:rStyle w:val="Textoennegrita"/>
          <w:rFonts w:ascii="Georgia" w:hAnsi="Georgia"/>
          <w:b w:val="0"/>
          <w:bCs w:val="0"/>
          <w:lang w:val="es-PE"/>
        </w:rPr>
        <w:t>iii</w:t>
      </w:r>
      <w:r w:rsidRPr="11947526" w:rsidR="008C1DD6">
        <w:rPr>
          <w:rStyle w:val="Textoennegrita"/>
          <w:rFonts w:ascii="Georgia" w:hAnsi="Georgia"/>
          <w:b w:val="0"/>
          <w:bCs w:val="0"/>
          <w:lang w:val="es-PE"/>
        </w:rPr>
        <w:t>) constancia de lectura</w:t>
      </w:r>
    </w:p>
    <w:p w:rsidRPr="003105D0" w:rsidR="008C1DD6" w:rsidP="008C1DD6" w:rsidRDefault="008C1DD6" w14:paraId="53A8B379" w14:textId="17CE9BA6">
      <w:pPr>
        <w:tabs>
          <w:tab w:val="left" w:pos="2160"/>
        </w:tabs>
        <w:jc w:val="both"/>
      </w:pPr>
      <w:r w:rsidR="18B78D33">
        <w:rPr/>
        <w:t>................................................................................................................................................................</w:t>
      </w:r>
    </w:p>
    <w:p w:rsidRPr="008C1DD6" w:rsidR="008C1DD6" w:rsidP="11947526" w:rsidRDefault="008C1DD6" w14:paraId="3E455E9C" w14:textId="55A2FDBB">
      <w:pPr>
        <w:pStyle w:val="Normal"/>
        <w:tabs>
          <w:tab w:val="left" w:pos="2160"/>
        </w:tabs>
        <w:jc w:val="both"/>
        <w:rPr>
          <w:rStyle w:val="Textoennegrita"/>
          <w:rFonts w:ascii="Georgia" w:hAnsi="Georgia"/>
          <w:b w:val="0"/>
          <w:bCs w:val="0"/>
        </w:rPr>
      </w:pPr>
    </w:p>
    <w:p w:rsidRPr="008C1DD6" w:rsidR="008C1DD6" w:rsidP="008C1DD6" w:rsidRDefault="008C1DD6" w14:paraId="1260EEAF" w14:textId="2BFBE270">
      <w:pPr>
        <w:tabs>
          <w:tab w:val="left" w:pos="2160"/>
        </w:tabs>
        <w:jc w:val="both"/>
        <w:rPr>
          <w:rStyle w:val="Textoennegrita"/>
          <w:rFonts w:ascii="Georgia" w:hAnsi="Georgia"/>
          <w:b w:val="0"/>
          <w:lang w:val="es-PE"/>
        </w:rPr>
      </w:pPr>
      <w:r w:rsidRPr="008C1DD6">
        <w:rPr>
          <w:rStyle w:val="Textoennegrita"/>
          <w:rFonts w:ascii="Georgia" w:hAnsi="Georgia"/>
          <w:b w:val="0"/>
          <w:lang w:val="es-PE"/>
        </w:rPr>
        <w:t>En ese sentido, en vía de impugnación, el colegiado verifica que se ha probado el cumplimiento de las obligaciones a cargo de la aseguradora, por lo que a la asegurada le son oponibles las condiciones contractuales que le fueron oportunamente informadas.</w:t>
      </w:r>
    </w:p>
    <w:p w:rsidRPr="008C1DD6" w:rsidR="008C1DD6" w:rsidP="008C1DD6" w:rsidRDefault="008C1DD6" w14:paraId="4DD30B2C" w14:textId="2693CF6D">
      <w:pPr>
        <w:tabs>
          <w:tab w:val="left" w:pos="2160"/>
        </w:tabs>
        <w:jc w:val="both"/>
        <w:rPr>
          <w:rFonts w:ascii="Georgia" w:hAnsi="Georgia" w:cs="Arial"/>
          <w:lang w:val="es-PE"/>
        </w:rPr>
      </w:pPr>
      <w:r w:rsidRPr="008C1DD6">
        <w:rPr>
          <w:rStyle w:val="Textoennegrita"/>
          <w:rFonts w:ascii="Georgia" w:hAnsi="Georgia"/>
          <w:b w:val="0"/>
          <w:lang w:val="es-PE"/>
        </w:rPr>
        <w:t>Conforme a ello, es pertinente tener en cuenta que la cobertura bajo reclamación es definida literalmente en los siguientes términos:</w:t>
      </w:r>
    </w:p>
    <w:p w:rsidR="008C1DD6" w:rsidP="008C1DD6" w:rsidRDefault="008C1DD6" w14:paraId="735F1A1D" w14:textId="627660A1">
      <w:pPr>
        <w:numPr>
          <w:ilvl w:val="0"/>
          <w:numId w:val="13"/>
        </w:numPr>
        <w:spacing w:after="0" w:line="240" w:lineRule="auto"/>
        <w:jc w:val="both"/>
        <w:rPr>
          <w:rFonts w:ascii="Georgia" w:hAnsi="Georgia" w:cs="Arial"/>
          <w:lang w:val="es-PE"/>
        </w:rPr>
      </w:pPr>
      <w:r w:rsidRPr="008C1DD6">
        <w:rPr>
          <w:rFonts w:ascii="Georgia" w:hAnsi="Georgia" w:cs="Arial"/>
          <w:lang w:val="es-PE"/>
        </w:rPr>
        <w:t>Uso indebido de tarjeta por Robo, Secuestro, hurto o Extravío: La COMPAÑÍA se obliga a indemnizar al ASEGURADO por el Daño Patrimonial que pudiera sufrir como consecuencia del Uso Indebido, y con presencia física, de la(s) tarjeta(s) Asegurada(s), en un Negocio Afiliado</w:t>
      </w:r>
      <w:r w:rsidRPr="003105D0">
        <w:rPr>
          <w:rStyle w:val="Refdenotaalpie"/>
          <w:rFonts w:ascii="Georgia" w:hAnsi="Georgia" w:cs="Arial"/>
        </w:rPr>
        <w:footnoteReference w:id="1"/>
      </w:r>
      <w:r w:rsidRPr="008C1DD6">
        <w:rPr>
          <w:rFonts w:ascii="Georgia" w:hAnsi="Georgia" w:cs="Arial"/>
          <w:lang w:val="es-PE"/>
        </w:rPr>
        <w:t xml:space="preserve">, hasta la Suma Asegurada Máxima indicada en el presente documento. </w:t>
      </w:r>
    </w:p>
    <w:p w:rsidRPr="008C1DD6" w:rsidR="008C1DD6" w:rsidP="008C1DD6" w:rsidRDefault="008C1DD6" w14:paraId="7265FDEA" w14:textId="77777777">
      <w:pPr>
        <w:spacing w:after="0" w:line="240" w:lineRule="auto"/>
        <w:ind w:left="1068"/>
        <w:jc w:val="both"/>
        <w:rPr>
          <w:rFonts w:ascii="Georgia" w:hAnsi="Georgia" w:cs="Arial"/>
          <w:lang w:val="es-PE"/>
        </w:rPr>
      </w:pPr>
    </w:p>
    <w:p w:rsidRPr="008C1DD6" w:rsidR="008C1DD6" w:rsidP="008C1DD6" w:rsidRDefault="008C1DD6" w14:paraId="346C5188" w14:textId="67DED65A">
      <w:pPr>
        <w:jc w:val="both"/>
        <w:rPr>
          <w:rFonts w:ascii="Georgia" w:hAnsi="Georgia" w:cs="Arial"/>
          <w:lang w:val="es-PE"/>
        </w:rPr>
      </w:pPr>
      <w:r w:rsidRPr="003105D0">
        <w:rPr>
          <w:rFonts w:ascii="Georgia" w:hAnsi="Georgia" w:cs="Arial"/>
          <w:lang w:val="es-MX"/>
        </w:rPr>
        <w:t xml:space="preserve">Como puede apreciarse, de la descripción de la cobertura contratada, </w:t>
      </w:r>
      <w:r w:rsidRPr="008C1DD6">
        <w:rPr>
          <w:rFonts w:ascii="Georgia" w:hAnsi="Georgia" w:cs="Arial"/>
          <w:lang w:val="es-PE"/>
        </w:rPr>
        <w:t>la póliza de seguro brinda cobertura frente a “usos indebidos en un Negocio Afiliado”.</w:t>
      </w:r>
    </w:p>
    <w:p w:rsidRPr="008C1DD6" w:rsidR="008C1DD6" w:rsidP="008C1DD6" w:rsidRDefault="008C1DD6" w14:paraId="715C51BE" w14:textId="333728D4">
      <w:pPr>
        <w:jc w:val="both"/>
        <w:rPr>
          <w:rFonts w:ascii="Georgia" w:hAnsi="Georgia" w:cs="Arial"/>
          <w:lang w:val="es-PE"/>
        </w:rPr>
      </w:pPr>
      <w:r w:rsidRPr="008C1DD6">
        <w:rPr>
          <w:rFonts w:ascii="Georgia" w:hAnsi="Georgia" w:cs="Arial"/>
          <w:lang w:val="es-PE"/>
        </w:rPr>
        <w:t>En tal sentido, un presupuesto indispensable para que se active la cobertura de “Uso Indebido”, es que el uso de la tarjeta se haya efectuado en un negocio afiliado.</w:t>
      </w:r>
    </w:p>
    <w:p w:rsidRPr="008C1DD6" w:rsidR="008C1DD6" w:rsidP="008C1DD6" w:rsidRDefault="008C1DD6" w14:paraId="36BBCF8B" w14:textId="4E558DAF">
      <w:pPr>
        <w:jc w:val="both"/>
        <w:rPr>
          <w:rFonts w:ascii="Georgia" w:hAnsi="Georgia" w:cs="Arial"/>
          <w:lang w:val="es-PE"/>
        </w:rPr>
      </w:pPr>
      <w:r w:rsidRPr="008C1DD6">
        <w:rPr>
          <w:rFonts w:ascii="Georgia" w:hAnsi="Georgia" w:cs="Arial"/>
          <w:lang w:val="es-PE"/>
        </w:rPr>
        <w:lastRenderedPageBreak/>
        <w:t>En el presente caso, la operación no reconocida consistió en el retiro de dinero en el Cajero de Plaza Vea, luego que a la asegurada la hurtaran su billetera.</w:t>
      </w:r>
    </w:p>
    <w:p w:rsidRPr="008C1DD6" w:rsidR="008C1DD6" w:rsidP="008C1DD6" w:rsidRDefault="008C1DD6" w14:paraId="075E7E55" w14:textId="78C80579">
      <w:pPr>
        <w:jc w:val="both"/>
        <w:rPr>
          <w:rFonts w:ascii="Georgia" w:hAnsi="Georgia" w:cs="Arial"/>
          <w:lang w:val="es-PE"/>
        </w:rPr>
      </w:pPr>
      <w:r w:rsidRPr="008C1DD6">
        <w:rPr>
          <w:rFonts w:ascii="Georgia" w:hAnsi="Georgia" w:cs="Arial"/>
          <w:lang w:val="es-PE"/>
        </w:rPr>
        <w:t>Cabe señalar que, para el caso de robo de efectivo por retiro en Cajero Automático y/ o Ventanilla, la cobertura se pactó en los siguientes términos:</w:t>
      </w:r>
    </w:p>
    <w:p w:rsidR="008C1DD6" w:rsidP="008C1DD6" w:rsidRDefault="008C1DD6" w14:paraId="49E9BED0" w14:textId="5FCC0177">
      <w:pPr>
        <w:numPr>
          <w:ilvl w:val="0"/>
          <w:numId w:val="13"/>
        </w:numPr>
        <w:suppressAutoHyphens/>
        <w:spacing w:after="0" w:line="240" w:lineRule="auto"/>
        <w:jc w:val="both"/>
        <w:rPr>
          <w:rFonts w:ascii="Georgia" w:hAnsi="Georgia" w:cs="Calibri"/>
          <w:color w:val="000000"/>
          <w:lang w:val="es-PE" w:eastAsia="es-PE"/>
        </w:rPr>
      </w:pPr>
      <w:r w:rsidRPr="003105D0">
        <w:rPr>
          <w:rFonts w:ascii="Georgia" w:hAnsi="Georgia" w:cs="Calibri"/>
          <w:color w:val="000000"/>
          <w:lang w:val="es-PE" w:eastAsia="es-PE"/>
        </w:rPr>
        <w:t>Robo de efectivo por retiro en Cajero Automático y/o Ventanilla: La COMPAÑÍA se obliga, mediante el cobro de una prima adicional, a indemnizar al ASEGURADO por el Daño Patrimonial que pueda sufrir como consecuencia de un Robo, de forma posterior al Retiro de Dinero que el ASEGURADO haya realizado: (i) en un Cajero Automático de la Institución Financiera o (</w:t>
      </w:r>
      <w:proofErr w:type="spellStart"/>
      <w:r w:rsidRPr="003105D0">
        <w:rPr>
          <w:rFonts w:ascii="Georgia" w:hAnsi="Georgia" w:cs="Calibri"/>
          <w:color w:val="000000"/>
          <w:lang w:val="es-PE" w:eastAsia="es-PE"/>
        </w:rPr>
        <w:t>ii</w:t>
      </w:r>
      <w:proofErr w:type="spellEnd"/>
      <w:r w:rsidRPr="003105D0">
        <w:rPr>
          <w:rFonts w:ascii="Georgia" w:hAnsi="Georgia" w:cs="Calibri"/>
          <w:color w:val="000000"/>
          <w:lang w:val="es-PE" w:eastAsia="es-PE"/>
        </w:rPr>
        <w:t>) en un Punto de Retiro</w:t>
      </w:r>
    </w:p>
    <w:p w:rsidRPr="008C1DD6" w:rsidR="008C1DD6" w:rsidP="008C1DD6" w:rsidRDefault="008C1DD6" w14:paraId="30611FED" w14:textId="77777777">
      <w:pPr>
        <w:suppressAutoHyphens/>
        <w:spacing w:after="0" w:line="240" w:lineRule="auto"/>
        <w:ind w:left="1068"/>
        <w:jc w:val="both"/>
        <w:rPr>
          <w:rFonts w:ascii="Georgia" w:hAnsi="Georgia" w:cs="Calibri"/>
          <w:color w:val="000000"/>
          <w:lang w:val="es-PE" w:eastAsia="es-PE"/>
        </w:rPr>
      </w:pPr>
    </w:p>
    <w:p w:rsidRPr="008C1DD6" w:rsidR="008C1DD6" w:rsidP="008C1DD6" w:rsidRDefault="008C1DD6" w14:paraId="6133A29A" w14:textId="603C8E4F">
      <w:pPr>
        <w:tabs>
          <w:tab w:val="left" w:pos="2160"/>
        </w:tabs>
        <w:jc w:val="both"/>
        <w:rPr>
          <w:rStyle w:val="Textoennegrita"/>
          <w:rFonts w:ascii="Georgia" w:hAnsi="Georgia" w:cs="Arial"/>
          <w:b w:val="0"/>
          <w:bCs w:val="0"/>
          <w:lang w:val="es-PE" w:eastAsia="es-ES"/>
        </w:rPr>
      </w:pPr>
      <w:r w:rsidRPr="003105D0">
        <w:rPr>
          <w:rFonts w:ascii="Georgia" w:hAnsi="Georgia" w:cs="Arial"/>
          <w:lang w:val="es-PE" w:eastAsia="es-ES"/>
        </w:rPr>
        <w:t>De lo anterior, es evidente que el evento bajo reclamación no se encuentra amparo en las coberturas contratadas, por cuanto el uso indebido no se realizó en un Negocio Afiliado, y el retiro en cajero no fue realizado por la asegurada.</w:t>
      </w:r>
    </w:p>
    <w:p w:rsidRPr="008C1DD6" w:rsidR="008C1DD6" w:rsidP="008C1DD6" w:rsidRDefault="008C1DD6" w14:paraId="1D645AD8" w14:textId="22A96799">
      <w:pPr>
        <w:tabs>
          <w:tab w:val="left" w:pos="2160"/>
        </w:tabs>
        <w:jc w:val="both"/>
        <w:rPr>
          <w:rFonts w:ascii="Georgia" w:hAnsi="Georgia" w:cs="Arial"/>
          <w:lang w:val="es-PE" w:eastAsia="es-ES"/>
        </w:rPr>
      </w:pPr>
      <w:r w:rsidRPr="008C1DD6">
        <w:rPr>
          <w:rStyle w:val="Textoennegrita"/>
          <w:rFonts w:ascii="Georgia" w:hAnsi="Georgia"/>
          <w:b w:val="0"/>
          <w:lang w:val="es-PE"/>
        </w:rPr>
        <w:t xml:space="preserve">Por tanto, </w:t>
      </w:r>
      <w:r w:rsidRPr="003105D0">
        <w:rPr>
          <w:rFonts w:ascii="Georgia" w:hAnsi="Georgia" w:cs="Arial"/>
          <w:lang w:val="es-PE" w:eastAsia="es-ES"/>
        </w:rPr>
        <w:t>de la situación fáctica y legal analizada se llega a la conclusión que el rechazo de cobertura es legítimo.</w:t>
      </w:r>
    </w:p>
    <w:p w:rsidRPr="008C1DD6" w:rsidR="008C1DD6" w:rsidP="008C1DD6" w:rsidRDefault="008C1DD6" w14:paraId="2DFDDEEC" w14:textId="77777777">
      <w:pPr>
        <w:jc w:val="both"/>
        <w:rPr>
          <w:rFonts w:ascii="Georgia" w:hAnsi="Georgia" w:cs="Arial"/>
          <w:lang w:val="es-PE"/>
        </w:rPr>
      </w:pPr>
      <w:r w:rsidRPr="008C1DD6">
        <w:rPr>
          <w:rFonts w:ascii="Georgia" w:hAnsi="Georgia" w:cs="Arial"/>
          <w:b/>
          <w:u w:val="single"/>
          <w:lang w:val="es-PE"/>
        </w:rPr>
        <w:t>TERCERO</w:t>
      </w:r>
      <w:r w:rsidRPr="008C1DD6">
        <w:rPr>
          <w:rFonts w:ascii="Georgia" w:hAnsi="Georgia" w:cs="Arial"/>
          <w:b/>
          <w:lang w:val="es-PE"/>
        </w:rPr>
        <w:t>:</w:t>
      </w:r>
      <w:r w:rsidRPr="008C1DD6">
        <w:rPr>
          <w:rFonts w:ascii="Georgia" w:hAnsi="Georgia" w:cs="Arial"/>
          <w:lang w:val="es-PE"/>
        </w:rPr>
        <w:t xml:space="preserve"> En atención a las consideraciones precedentes, este colegiado aprecia finalmente que se ha evidenciado error en la resolución recurrida, por lo que existe mérito suficiente y razón objetiva para revocarla.</w:t>
      </w:r>
    </w:p>
    <w:p w:rsidRPr="003105D0" w:rsidR="008C1DD6" w:rsidP="008C1DD6" w:rsidRDefault="008C1DD6" w14:paraId="4A4FF885" w14:textId="77777777">
      <w:pPr>
        <w:jc w:val="both"/>
        <w:rPr>
          <w:rFonts w:ascii="Georgia" w:hAnsi="Georgia" w:cs="Arial"/>
          <w:b/>
          <w:lang w:val="es-PE"/>
        </w:rPr>
      </w:pPr>
      <w:r w:rsidRPr="003105D0">
        <w:rPr>
          <w:rFonts w:ascii="Georgia" w:hAnsi="Georgia" w:cs="Arial"/>
          <w:b/>
          <w:lang w:val="es-PE"/>
        </w:rPr>
        <w:t>ATENDIENDO A LO EXPRESADO, CONFORME A SU REGLAMENTO, ESTE COLEGIADO RESUELVE:</w:t>
      </w:r>
    </w:p>
    <w:p w:rsidRPr="003105D0" w:rsidR="008C1DD6" w:rsidP="008C1DD6" w:rsidRDefault="008C1DD6" w14:paraId="3FC961FA" w14:textId="1DFC2F65">
      <w:pPr>
        <w:pStyle w:val="Default"/>
        <w:jc w:val="both"/>
      </w:pPr>
      <w:r w:rsidRPr="11947526" w:rsidR="008C1DD6">
        <w:rPr>
          <w:rFonts w:ascii="Georgia" w:hAnsi="Georgia"/>
          <w:b w:val="1"/>
          <w:bCs w:val="1"/>
        </w:rPr>
        <w:t xml:space="preserve">DECLARAR FUNDADO </w:t>
      </w:r>
      <w:r w:rsidRPr="11947526" w:rsidR="008C1DD6">
        <w:rPr>
          <w:rFonts w:ascii="Georgia" w:hAnsi="Georgia"/>
        </w:rPr>
        <w:t xml:space="preserve">el recurso de impugnación interpuesto por </w:t>
      </w:r>
      <w:r w:rsidRPr="11947526" w:rsidR="1DB0D704">
        <w:rPr>
          <w:rFonts w:ascii="Georgia" w:hAnsi="Georgia"/>
          <w:b w:val="1"/>
          <w:bCs w:val="1"/>
        </w:rPr>
        <w:t>................................................</w:t>
      </w:r>
      <w:r w:rsidRPr="11947526" w:rsidR="008C1DD6">
        <w:rPr>
          <w:rFonts w:ascii="Georgia" w:hAnsi="Georgia"/>
        </w:rPr>
        <w:t xml:space="preserve"> y, por consiguiente, </w:t>
      </w:r>
      <w:r w:rsidRPr="11947526" w:rsidR="008C1DD6">
        <w:rPr>
          <w:rFonts w:ascii="Georgia" w:hAnsi="Georgia"/>
          <w:b w:val="1"/>
          <w:bCs w:val="1"/>
        </w:rPr>
        <w:t xml:space="preserve">REVOCAR </w:t>
      </w:r>
      <w:r w:rsidRPr="11947526" w:rsidR="008C1DD6">
        <w:rPr>
          <w:rFonts w:ascii="Georgia" w:hAnsi="Georgia"/>
        </w:rPr>
        <w:t xml:space="preserve">la Resolución </w:t>
      </w:r>
      <w:r w:rsidRPr="11947526" w:rsidR="008C1DD6">
        <w:rPr>
          <w:rFonts w:ascii="Georgia" w:hAnsi="Georgia"/>
        </w:rPr>
        <w:t>N°</w:t>
      </w:r>
      <w:r w:rsidRPr="11947526" w:rsidR="008C1DD6">
        <w:rPr>
          <w:rFonts w:ascii="Georgia" w:hAnsi="Georgia"/>
        </w:rPr>
        <w:t xml:space="preserve"> 135/21; en consecuencia, declarar </w:t>
      </w:r>
      <w:r w:rsidRPr="11947526" w:rsidR="008C1DD6">
        <w:rPr>
          <w:rFonts w:ascii="Georgia" w:hAnsi="Georgia"/>
          <w:b w:val="1"/>
          <w:bCs w:val="1"/>
          <w:lang w:val="es-MX"/>
        </w:rPr>
        <w:t>INFUNDADA</w:t>
      </w:r>
      <w:r w:rsidRPr="11947526" w:rsidR="008C1DD6">
        <w:rPr>
          <w:rFonts w:ascii="Georgia" w:hAnsi="Georgia"/>
          <w:lang w:val="es-MX"/>
        </w:rPr>
        <w:t xml:space="preserve"> la reclamación </w:t>
      </w:r>
      <w:r w:rsidRPr="11947526" w:rsidR="008C1DD6">
        <w:rPr>
          <w:rFonts w:ascii="Georgia" w:hAnsi="Georgia"/>
        </w:rPr>
        <w:t xml:space="preserve">interpuesta por </w:t>
      </w:r>
      <w:r w:rsidRPr="11947526" w:rsidR="600BA39B">
        <w:rPr>
          <w:rFonts w:ascii="Georgia" w:hAnsi="Georgia"/>
          <w:b w:val="1"/>
          <w:bCs w:val="1"/>
        </w:rPr>
        <w:t>................................................</w:t>
      </w:r>
      <w:r w:rsidRPr="11947526" w:rsidR="008C1DD6">
        <w:rPr>
          <w:rFonts w:ascii="Georgia" w:hAnsi="Georgia"/>
        </w:rPr>
        <w:t xml:space="preserve"> respecto al </w:t>
      </w:r>
      <w:r w:rsidRPr="11947526" w:rsidR="008C1DD6">
        <w:rPr>
          <w:rFonts w:ascii="Georgia" w:hAnsi="Georgia"/>
          <w:b w:val="1"/>
          <w:bCs w:val="1"/>
        </w:rPr>
        <w:t xml:space="preserve">SEGURO DE TARJETAS 360° - PÓLIZA </w:t>
      </w:r>
      <w:r w:rsidRPr="11947526" w:rsidR="21C864BA">
        <w:rPr>
          <w:rFonts w:ascii="Georgia" w:hAnsi="Georgia"/>
          <w:b w:val="1"/>
          <w:bCs w:val="1"/>
        </w:rPr>
        <w:t>................................................</w:t>
      </w:r>
      <w:r w:rsidR="008C1DD6">
        <w:rPr/>
        <w:t xml:space="preserve">, </w:t>
      </w:r>
      <w:r w:rsidRPr="11947526" w:rsidR="008C1DD6">
        <w:rPr>
          <w:rFonts w:ascii="Georgia" w:hAnsi="Georgia"/>
        </w:rPr>
        <w:t>quedando a salvo el derecho de</w:t>
      </w:r>
      <w:r w:rsidRPr="11947526" w:rsidR="008C1DD6">
        <w:rPr>
          <w:rFonts w:ascii="Georgia" w:hAnsi="Georgia"/>
        </w:rPr>
        <w:t xml:space="preserve"> </w:t>
      </w:r>
      <w:r w:rsidRPr="11947526" w:rsidR="008C1DD6">
        <w:rPr>
          <w:rFonts w:ascii="Georgia" w:hAnsi="Georgia"/>
        </w:rPr>
        <w:t>l</w:t>
      </w:r>
      <w:r w:rsidRPr="11947526" w:rsidR="008C1DD6">
        <w:rPr>
          <w:rFonts w:ascii="Georgia" w:hAnsi="Georgia"/>
        </w:rPr>
        <w:t>a</w:t>
      </w:r>
      <w:r w:rsidRPr="11947526" w:rsidR="008C1DD6">
        <w:rPr>
          <w:rFonts w:ascii="Georgia" w:hAnsi="Georgia"/>
        </w:rPr>
        <w:t xml:space="preserve"> reclamante de recurrir ante las instancias que considere pertinentes</w:t>
      </w:r>
      <w:r w:rsidRPr="11947526" w:rsidR="008C1DD6">
        <w:rPr>
          <w:rFonts w:ascii="Georgia" w:hAnsi="Georgia"/>
          <w:lang w:val="es-MX"/>
        </w:rPr>
        <w:t>.</w:t>
      </w:r>
    </w:p>
    <w:p w:rsidRPr="00065F91"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065F91" w:rsidR="00C671F5" w:rsidP="005E398E" w:rsidRDefault="0091528B" w14:paraId="486C3F46" w14:textId="49CACEE7">
      <w:pPr>
        <w:suppressAutoHyphens/>
        <w:spacing w:after="0" w:line="240" w:lineRule="auto"/>
        <w:jc w:val="right"/>
        <w:outlineLvl w:val="0"/>
        <w:rPr>
          <w:rFonts w:ascii="Times New Roman" w:hAnsi="Times New Roman" w:eastAsia="Arial Unicode MS" w:cs="Times New Roman"/>
          <w:sz w:val="24"/>
          <w:szCs w:val="24"/>
          <w:lang w:val="es-PE" w:eastAsia="ar-SA"/>
        </w:rPr>
      </w:pPr>
      <w:r w:rsidRPr="00065F91">
        <w:rPr>
          <w:rFonts w:ascii="Times New Roman" w:hAnsi="Times New Roman" w:eastAsia="Arial Unicode MS" w:cs="Times New Roman"/>
          <w:sz w:val="24"/>
          <w:szCs w:val="24"/>
          <w:lang w:val="es-PE" w:eastAsia="ar-SA"/>
        </w:rPr>
        <w:t xml:space="preserve">Lima, </w:t>
      </w:r>
      <w:r w:rsidR="007068AE">
        <w:rPr>
          <w:rFonts w:ascii="Times New Roman" w:hAnsi="Times New Roman" w:eastAsia="Arial Unicode MS" w:cs="Times New Roman"/>
          <w:sz w:val="24"/>
          <w:szCs w:val="24"/>
          <w:lang w:val="es-PE" w:eastAsia="ar-SA"/>
        </w:rPr>
        <w:t>15</w:t>
      </w:r>
      <w:r w:rsidRPr="00065F91" w:rsidR="00DD21B2">
        <w:rPr>
          <w:rFonts w:ascii="Times New Roman" w:hAnsi="Times New Roman" w:eastAsia="Arial Unicode MS" w:cs="Times New Roman"/>
          <w:sz w:val="24"/>
          <w:szCs w:val="24"/>
          <w:lang w:val="es-PE" w:eastAsia="ar-SA"/>
        </w:rPr>
        <w:t xml:space="preserve"> </w:t>
      </w:r>
      <w:r w:rsidRPr="00065F91" w:rsidR="00707C99">
        <w:rPr>
          <w:rFonts w:ascii="Times New Roman" w:hAnsi="Times New Roman" w:eastAsia="Arial Unicode MS" w:cs="Times New Roman"/>
          <w:sz w:val="24"/>
          <w:szCs w:val="24"/>
          <w:lang w:val="es-PE" w:eastAsia="ar-SA"/>
        </w:rPr>
        <w:t>de</w:t>
      </w:r>
      <w:r w:rsidRPr="00065F91" w:rsidR="00864B0B">
        <w:rPr>
          <w:rFonts w:ascii="Times New Roman" w:hAnsi="Times New Roman" w:eastAsia="Arial Unicode MS" w:cs="Times New Roman"/>
          <w:sz w:val="24"/>
          <w:szCs w:val="24"/>
          <w:lang w:val="es-PE" w:eastAsia="ar-SA"/>
        </w:rPr>
        <w:t xml:space="preserve"> </w:t>
      </w:r>
      <w:r w:rsidR="00AD1B33">
        <w:rPr>
          <w:rFonts w:ascii="Times New Roman" w:hAnsi="Times New Roman" w:eastAsia="Arial Unicode MS" w:cs="Times New Roman"/>
          <w:sz w:val="24"/>
          <w:szCs w:val="24"/>
          <w:lang w:val="es-PE" w:eastAsia="ar-SA"/>
        </w:rPr>
        <w:t>noviembre</w:t>
      </w:r>
      <w:r w:rsidRPr="00065F91" w:rsidR="00F06498">
        <w:rPr>
          <w:rFonts w:ascii="Times New Roman" w:hAnsi="Times New Roman" w:eastAsia="Arial Unicode MS" w:cs="Times New Roman"/>
          <w:sz w:val="24"/>
          <w:szCs w:val="24"/>
          <w:lang w:val="es-PE" w:eastAsia="ar-SA"/>
        </w:rPr>
        <w:t xml:space="preserve"> de 202</w:t>
      </w:r>
      <w:r w:rsidRPr="00065F91" w:rsidR="00231C58">
        <w:rPr>
          <w:rFonts w:ascii="Times New Roman" w:hAnsi="Times New Roman" w:eastAsia="Arial Unicode MS" w:cs="Times New Roman"/>
          <w:sz w:val="24"/>
          <w:szCs w:val="24"/>
          <w:lang w:val="es-PE" w:eastAsia="ar-SA"/>
        </w:rPr>
        <w:t>1</w:t>
      </w:r>
      <w:r w:rsidRPr="00065F91" w:rsidR="00707C99">
        <w:rPr>
          <w:rFonts w:ascii="Times New Roman" w:hAnsi="Times New Roman" w:eastAsia="Times New Roman" w:cs="Times New Roman"/>
          <w:sz w:val="24"/>
          <w:szCs w:val="24"/>
          <w:lang w:val="es-PE" w:eastAsia="ar-SA"/>
        </w:rPr>
        <w:t xml:space="preserve"> </w:t>
      </w:r>
    </w:p>
    <w:p w:rsidRPr="00065F91"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65F91"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065F9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65F91" w:rsidR="009F3DD4" w:rsidP="007068AE" w:rsidRDefault="009F3DD4" w14:paraId="451211B4" w14:textId="3761F828">
      <w:pPr>
        <w:spacing w:after="0" w:line="360" w:lineRule="auto"/>
        <w:rPr>
          <w:rFonts w:ascii="Times New Roman" w:hAnsi="Times New Roman" w:cs="Times New Roman"/>
          <w:b/>
          <w:bCs/>
          <w:sz w:val="24"/>
          <w:szCs w:val="24"/>
          <w:lang w:val="es-PE"/>
        </w:rPr>
      </w:pPr>
    </w:p>
    <w:p w:rsidRPr="00065F91"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065F91">
        <w:rPr>
          <w:rFonts w:ascii="Times New Roman" w:hAnsi="Times New Roman" w:cs="Times New Roman"/>
          <w:b/>
          <w:bCs/>
          <w:sz w:val="24"/>
          <w:szCs w:val="24"/>
          <w:lang w:val="es-PE"/>
        </w:rPr>
        <w:t>María Eugenia Valdez Fernández Baca– Vocal</w:t>
      </w:r>
    </w:p>
    <w:p w:rsidRPr="00065F91"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065F91">
        <w:rPr>
          <w:rFonts w:ascii="Times New Roman" w:hAnsi="Times New Roman" w:cs="Times New Roman"/>
          <w:b/>
          <w:bCs/>
          <w:sz w:val="24"/>
          <w:szCs w:val="24"/>
          <w:lang w:val="es-PE"/>
        </w:rPr>
        <w:t>Marco Antonio Ortega Piana – Vocal</w:t>
      </w:r>
    </w:p>
    <w:p w:rsidRPr="00065F91"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065F91">
        <w:rPr>
          <w:rFonts w:ascii="Times New Roman" w:hAnsi="Times New Roman" w:cs="Times New Roman"/>
          <w:b/>
          <w:bCs/>
          <w:sz w:val="24"/>
          <w:szCs w:val="24"/>
          <w:lang w:val="es-PE"/>
        </w:rPr>
        <w:t xml:space="preserve">Gonzalo Abad del Busto </w:t>
      </w:r>
      <w:r w:rsidRPr="00065F91" w:rsidR="00231C58">
        <w:rPr>
          <w:rFonts w:ascii="Times New Roman" w:hAnsi="Times New Roman" w:cs="Times New Roman"/>
          <w:b/>
          <w:bCs/>
          <w:sz w:val="24"/>
          <w:szCs w:val="24"/>
          <w:lang w:val="es-PE"/>
        </w:rPr>
        <w:t xml:space="preserve">– </w:t>
      </w:r>
      <w:r w:rsidRPr="00065F91">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13"/>
      <w:footerReference w:type="defaul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5CB4" w:rsidP="00784355" w:rsidRDefault="00C05CB4" w14:paraId="1979906A" w14:textId="77777777">
      <w:pPr>
        <w:spacing w:after="0" w:line="240" w:lineRule="auto"/>
      </w:pPr>
      <w:r>
        <w:separator/>
      </w:r>
    </w:p>
  </w:endnote>
  <w:endnote w:type="continuationSeparator" w:id="0">
    <w:p w:rsidR="00C05CB4" w:rsidP="00784355" w:rsidRDefault="00C05CB4" w14:paraId="617211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hubbPublicoTextApp-Roman">
    <w:altName w:val="Calibri"/>
    <w:panose1 w:val="00000000000000000000"/>
    <w:charset w:val="00"/>
    <w:family w:val="swiss"/>
    <w:notTrueType/>
    <w:pitch w:val="default"/>
    <w:sig w:usb0="00000003" w:usb1="00000000" w:usb2="00000000" w:usb3="00000000" w:csb0="00000001" w:csb1="00000000"/>
  </w:font>
  <w:font w:name="ChubbPublicoTextApp-BoldItalic">
    <w:altName w:val="Calibri"/>
    <w:panose1 w:val="00000000000000000000"/>
    <w:charset w:val="00"/>
    <w:family w:val="auto"/>
    <w:notTrueType/>
    <w:pitch w:val="default"/>
    <w:sig w:usb0="00000003" w:usb1="00000000" w:usb2="00000000" w:usb3="00000000" w:csb0="00000001" w:csb1="00000000"/>
  </w:font>
  <w:font w:name="ChubbPublicoTextApp-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footnote w:type="separator" w:id="-1">
    <w:p w:rsidR="00C05CB4" w:rsidP="00784355" w:rsidRDefault="00C05CB4" w14:paraId="38BE4767" w14:textId="77777777">
      <w:pPr>
        <w:spacing w:after="0" w:line="240" w:lineRule="auto"/>
      </w:pPr>
      <w:r>
        <w:separator/>
      </w:r>
    </w:p>
  </w:footnote>
  <w:footnote w:type="continuationSeparator" w:id="0">
    <w:p w:rsidR="00C05CB4" w:rsidP="00784355" w:rsidRDefault="00C05CB4" w14:paraId="2471E2C7" w14:textId="77777777">
      <w:pPr>
        <w:spacing w:after="0" w:line="240" w:lineRule="auto"/>
      </w:pPr>
      <w:r>
        <w:continuationSeparator/>
      </w:r>
    </w:p>
  </w:footnote>
  <w:footnote w:id="1">
    <w:p w:rsidR="008C1DD6" w:rsidP="008C1DD6" w:rsidRDefault="008C1DD6" w14:paraId="3EE4F1F2" w14:textId="77777777">
      <w:pPr>
        <w:pStyle w:val="Textonotapie"/>
        <w:rPr>
          <w:lang w:val="es-MX"/>
        </w:rPr>
      </w:pPr>
      <w:r>
        <w:rPr>
          <w:rStyle w:val="Refdenotaalpie"/>
        </w:rPr>
        <w:footnoteRef/>
      </w:r>
      <w:r>
        <w:t xml:space="preserve"> </w:t>
      </w:r>
      <w:r>
        <w:rPr>
          <w:lang w:val="es-MX"/>
        </w:rPr>
        <w:t>En las Definiciones se estipula expresamente que:</w:t>
      </w:r>
    </w:p>
    <w:p w:rsidRPr="003105D0" w:rsidR="008C1DD6" w:rsidP="008C1DD6" w:rsidRDefault="008C1DD6" w14:paraId="702299BE" w14:textId="7DD32B9A">
      <w:pPr>
        <w:pStyle w:val="Textonotapie"/>
        <w:rPr>
          <w:lang w:val="es-MX"/>
        </w:rPr>
      </w:pPr>
      <w:r w:rsidRPr="003105D0">
        <w:rPr>
          <w:noProof/>
          <w:lang w:val="es-MX"/>
        </w:rPr>
        <w:drawing>
          <wp:inline distT="0" distB="0" distL="0" distR="0" wp14:anchorId="160452B0" wp14:editId="73B4E572">
            <wp:extent cx="5610225" cy="1809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180975"/>
                    </a:xfrm>
                    <a:prstGeom prst="rect">
                      <a:avLst/>
                    </a:prstGeom>
                    <a:noFill/>
                    <a:ln>
                      <a:noFill/>
                    </a:ln>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BB9"/>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1DD6"/>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11947526"/>
    <w:rsid w:val="18B78D33"/>
    <w:rsid w:val="1DB0D704"/>
    <w:rsid w:val="21C864BA"/>
    <w:rsid w:val="3E888B34"/>
    <w:rsid w:val="3F713745"/>
    <w:rsid w:val="59ACC1F7"/>
    <w:rsid w:val="600BA39B"/>
    <w:rsid w:val="63AE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C7AE431-E332-4078-A060-CEDC6D0A7D44}"/>
</file>

<file path=customXml/itemProps3.xml><?xml version="1.0" encoding="utf-8"?>
<ds:datastoreItem xmlns:ds="http://schemas.openxmlformats.org/officeDocument/2006/customXml" ds:itemID="{4D7F0826-4CC3-4CA1-9F09-ECFFE7050F6B}"/>
</file>

<file path=customXml/itemProps4.xml><?xml version="1.0" encoding="utf-8"?>
<ds:datastoreItem xmlns:ds="http://schemas.openxmlformats.org/officeDocument/2006/customXml" ds:itemID="{91DBEEE0-82BF-42E1-BFE0-4C59346BFE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102</cp:revision>
  <cp:lastPrinted>2021-11-16T16:05:00Z</cp:lastPrinted>
  <dcterms:created xsi:type="dcterms:W3CDTF">2020-12-18T20:17:00Z</dcterms:created>
  <dcterms:modified xsi:type="dcterms:W3CDTF">2026-02-04T20:47:33Z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