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39F8" w:rsidR="00EF0B7F" w:rsidP="00EF0B7F" w:rsidRDefault="00201C0D" w14:paraId="632C635A" w14:textId="3B4D77E7">
      <w:pPr>
        <w:pStyle w:val="Ttulo2"/>
        <w:jc w:val="center"/>
        <w:rPr>
          <w:rFonts w:ascii="Times New Roman" w:hAnsi="Times New Roman" w:cs="Times New Roman"/>
          <w:b/>
          <w:bCs/>
          <w:color w:val="auto"/>
          <w:sz w:val="24"/>
          <w:szCs w:val="24"/>
          <w:lang w:val="es-PE" w:eastAsia="ar-SA"/>
        </w:rPr>
      </w:pPr>
      <w:r w:rsidRPr="00AE39F8">
        <w:rPr>
          <w:rFonts w:ascii="Times New Roman" w:hAnsi="Times New Roman" w:cs="Times New Roman"/>
          <w:b/>
          <w:bCs/>
          <w:color w:val="auto"/>
          <w:sz w:val="24"/>
          <w:szCs w:val="24"/>
          <w:lang w:val="es-PE" w:eastAsia="ar-SA"/>
        </w:rPr>
        <w:t xml:space="preserve">RESOLUCIÓN DE RECURSO IMPUGNATIVO </w:t>
      </w:r>
      <w:r w:rsidRPr="00AE39F8" w:rsidR="00707C99">
        <w:rPr>
          <w:rFonts w:ascii="Times New Roman" w:hAnsi="Times New Roman" w:cs="Times New Roman"/>
          <w:b/>
          <w:bCs/>
          <w:color w:val="auto"/>
          <w:sz w:val="24"/>
          <w:szCs w:val="24"/>
          <w:lang w:val="es-PE" w:eastAsia="ar-SA"/>
        </w:rPr>
        <w:t xml:space="preserve">N° </w:t>
      </w:r>
      <w:r w:rsidRPr="00AE39F8" w:rsidR="00C671F5">
        <w:rPr>
          <w:rFonts w:ascii="Times New Roman" w:hAnsi="Times New Roman" w:cs="Times New Roman"/>
          <w:b/>
          <w:bCs/>
          <w:color w:val="auto"/>
          <w:sz w:val="24"/>
          <w:szCs w:val="24"/>
          <w:lang w:val="es-PE" w:eastAsia="ar-SA"/>
        </w:rPr>
        <w:t>0</w:t>
      </w:r>
      <w:r w:rsidRPr="00AE39F8" w:rsidR="00065F91">
        <w:rPr>
          <w:rFonts w:ascii="Times New Roman" w:hAnsi="Times New Roman" w:cs="Times New Roman"/>
          <w:b/>
          <w:bCs/>
          <w:color w:val="auto"/>
          <w:sz w:val="24"/>
          <w:szCs w:val="24"/>
          <w:lang w:val="es-PE" w:eastAsia="ar-SA"/>
        </w:rPr>
        <w:t>6</w:t>
      </w:r>
      <w:r w:rsidRPr="00AE39F8" w:rsidR="00AE39F8">
        <w:rPr>
          <w:rFonts w:ascii="Times New Roman" w:hAnsi="Times New Roman" w:cs="Times New Roman"/>
          <w:b/>
          <w:bCs/>
          <w:color w:val="auto"/>
          <w:sz w:val="24"/>
          <w:szCs w:val="24"/>
          <w:lang w:val="es-PE" w:eastAsia="ar-SA"/>
        </w:rPr>
        <w:t>3</w:t>
      </w:r>
      <w:r w:rsidRPr="00AE39F8" w:rsidR="00517CFF">
        <w:rPr>
          <w:rFonts w:ascii="Times New Roman" w:hAnsi="Times New Roman" w:cs="Times New Roman"/>
          <w:b/>
          <w:bCs/>
          <w:color w:val="auto"/>
          <w:sz w:val="24"/>
          <w:szCs w:val="24"/>
          <w:lang w:val="es-PE" w:eastAsia="ar-SA"/>
        </w:rPr>
        <w:t>/</w:t>
      </w:r>
      <w:r w:rsidRPr="00AE39F8" w:rsidR="00C671F5">
        <w:rPr>
          <w:rFonts w:ascii="Times New Roman" w:hAnsi="Times New Roman" w:cs="Times New Roman"/>
          <w:b/>
          <w:bCs/>
          <w:color w:val="auto"/>
          <w:sz w:val="24"/>
          <w:szCs w:val="24"/>
          <w:lang w:val="es-PE" w:eastAsia="ar-SA"/>
        </w:rPr>
        <w:t>2</w:t>
      </w:r>
      <w:r w:rsidRPr="00AE39F8" w:rsidR="00231C58">
        <w:rPr>
          <w:rFonts w:ascii="Times New Roman" w:hAnsi="Times New Roman" w:cs="Times New Roman"/>
          <w:b/>
          <w:bCs/>
          <w:color w:val="auto"/>
          <w:sz w:val="24"/>
          <w:szCs w:val="24"/>
          <w:lang w:val="es-PE" w:eastAsia="ar-SA"/>
        </w:rPr>
        <w:t>1</w:t>
      </w:r>
    </w:p>
    <w:p w:rsidRPr="00AE39F8" w:rsidR="00FB0C48" w:rsidP="00FB0C48" w:rsidRDefault="00FB0C48" w14:paraId="71F35ACE" w14:textId="77777777">
      <w:pPr>
        <w:jc w:val="both"/>
        <w:outlineLvl w:val="0"/>
        <w:rPr>
          <w:rFonts w:ascii="Times New Roman" w:hAnsi="Times New Roman" w:cs="Times New Roman"/>
          <w:b/>
          <w:bCs/>
          <w:sz w:val="24"/>
          <w:szCs w:val="24"/>
          <w:lang w:val="es-MX"/>
        </w:rPr>
      </w:pPr>
    </w:p>
    <w:p w:rsidRPr="00AE39F8" w:rsidR="00C37076" w:rsidP="00C37076" w:rsidRDefault="00C37076" w14:paraId="43F50BE3"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AE39F8">
        <w:rPr>
          <w:rFonts w:ascii="Times New Roman" w:hAnsi="Times New Roman" w:eastAsia="Times New Roman" w:cs="Times New Roman"/>
          <w:b/>
          <w:bCs/>
          <w:sz w:val="24"/>
          <w:szCs w:val="24"/>
          <w:lang w:val="es-MX" w:eastAsia="ar-SA"/>
        </w:rPr>
        <w:t>Vistos:</w:t>
      </w:r>
    </w:p>
    <w:p w:rsidRPr="00AE39F8" w:rsidR="00C37076" w:rsidP="00C37076" w:rsidRDefault="00C37076" w14:paraId="2AD5D79D"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AE39F8">
        <w:rPr>
          <w:rFonts w:ascii="Times New Roman" w:hAnsi="Times New Roman" w:eastAsia="Times New Roman" w:cs="Times New Roman"/>
          <w:b/>
          <w:bCs/>
          <w:sz w:val="24"/>
          <w:szCs w:val="24"/>
          <w:lang w:val="es-MX" w:eastAsia="ar-SA"/>
        </w:rPr>
        <w:t xml:space="preserve">   </w:t>
      </w:r>
    </w:p>
    <w:p w:rsidRPr="00AE39F8" w:rsidR="00C37076" w:rsidP="00C37076" w:rsidRDefault="00C37076" w14:paraId="68BD6BD6" w14:textId="5BF43DA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0017CF2F" w:rsidR="00C37076">
        <w:rPr>
          <w:rFonts w:ascii="Times New Roman" w:hAnsi="Times New Roman" w:eastAsia="Times New Roman" w:cs="Times New Roman"/>
          <w:sz w:val="24"/>
          <w:szCs w:val="24"/>
          <w:lang w:val="es-ES" w:eastAsia="ar-SA"/>
        </w:rPr>
        <w:t>El recurso de impugnación presentado con fecha 02 de noviembre de 2021 por</w:t>
      </w:r>
      <w:r w:rsidRPr="0017CF2F" w:rsidR="00C37076">
        <w:rPr>
          <w:rFonts w:ascii="Times New Roman" w:hAnsi="Times New Roman" w:cs="Times New Roman"/>
          <w:sz w:val="24"/>
          <w:szCs w:val="24"/>
          <w:lang w:val="es-ES"/>
        </w:rPr>
        <w:t xml:space="preserve"> </w:t>
      </w:r>
      <w:r w:rsidRPr="0017CF2F" w:rsidR="32B08457">
        <w:rPr>
          <w:rFonts w:ascii="Times New Roman" w:hAnsi="Times New Roman" w:cs="Times New Roman"/>
          <w:sz w:val="24"/>
          <w:szCs w:val="24"/>
          <w:lang w:val="es-ES"/>
        </w:rPr>
        <w:t>...............................</w:t>
      </w:r>
      <w:r w:rsidRPr="0017CF2F" w:rsidR="00C37076">
        <w:rPr>
          <w:rFonts w:ascii="Times New Roman" w:hAnsi="Times New Roman" w:eastAsia="Times New Roman" w:cs="Times New Roman"/>
          <w:sz w:val="24"/>
          <w:szCs w:val="24"/>
          <w:lang w:val="es-ES" w:eastAsia="ar-SA"/>
        </w:rPr>
        <w:t xml:space="preserve"> respecto de la Resolución Nro. 154/21, de fecha 25 de octubre de 2021, emitida por el Órgano Resolutivo Unipersonal (ORU) de esta Defensoría del Asegurado (DEFASEG), que declaró FUNDADA </w:t>
      </w:r>
      <w:r w:rsidRPr="0017CF2F" w:rsidR="00C37076">
        <w:rPr>
          <w:rFonts w:ascii="Times New Roman" w:hAnsi="Times New Roman" w:eastAsia="Arial Unicode MS" w:cs="Times New Roman"/>
          <w:sz w:val="24"/>
          <w:szCs w:val="24"/>
          <w:lang w:val="es-PE"/>
        </w:rPr>
        <w:t xml:space="preserve">la reclamación interpuesta por </w:t>
      </w:r>
      <w:bookmarkStart w:name="OLE_LINK2" w:id="0"/>
      <w:r w:rsidRPr="0017CF2F" w:rsidR="00C37076">
        <w:rPr>
          <w:rFonts w:ascii="Times New Roman" w:hAnsi="Times New Roman" w:eastAsia="Times New Roman" w:cs="Times New Roman"/>
          <w:sz w:val="24"/>
          <w:szCs w:val="24"/>
          <w:lang w:val="es-PE" w:eastAsia="es-ES"/>
        </w:rPr>
        <w:t xml:space="preserve">don </w:t>
      </w:r>
      <w:r w:rsidRPr="0017CF2F" w:rsidR="7BFC38A4">
        <w:rPr>
          <w:rFonts w:ascii="Times New Roman" w:hAnsi="Times New Roman" w:eastAsia="Times New Roman" w:cs="Times New Roman"/>
          <w:sz w:val="24"/>
          <w:szCs w:val="24"/>
          <w:lang w:val="es-PE" w:eastAsia="es-ES"/>
        </w:rPr>
        <w:t>........................................</w:t>
      </w:r>
      <w:r w:rsidRPr="0017CF2F" w:rsidR="00C37076">
        <w:rPr>
          <w:rFonts w:ascii="Times New Roman" w:hAnsi="Times New Roman" w:cs="Times New Roman"/>
          <w:sz w:val="24"/>
          <w:szCs w:val="24"/>
          <w:lang w:val="es-ES"/>
        </w:rPr>
        <w:t xml:space="preserve">, disponiéndose que la señalada aseguradora </w:t>
      </w:r>
      <w:bookmarkEnd w:id="0"/>
      <w:r w:rsidRPr="0017CF2F" w:rsidR="00C37076">
        <w:rPr>
          <w:rFonts w:ascii="Times New Roman" w:hAnsi="Times New Roman" w:cs="Times New Roman"/>
          <w:sz w:val="24"/>
          <w:szCs w:val="24"/>
          <w:lang w:val="es-PE"/>
        </w:rPr>
        <w:t xml:space="preserve">proceda con el pago del reembolso por las atenciones de emergencia, hasta el tope que establece el tarifario A y monto de consulta médica considerada en el Plan de Beneficios del Seguro de Salud No. </w:t>
      </w:r>
      <w:r w:rsidRPr="0017CF2F" w:rsidR="760D75CA">
        <w:rPr>
          <w:rFonts w:ascii="Times New Roman" w:hAnsi="Times New Roman" w:cs="Times New Roman"/>
          <w:sz w:val="24"/>
          <w:szCs w:val="24"/>
          <w:lang w:val="es-PE"/>
        </w:rPr>
        <w:t>........................................</w:t>
      </w:r>
      <w:r w:rsidRPr="0017CF2F" w:rsidR="00C37076">
        <w:rPr>
          <w:rFonts w:ascii="Times New Roman" w:hAnsi="Times New Roman" w:cs="Times New Roman"/>
          <w:sz w:val="24"/>
          <w:szCs w:val="24"/>
          <w:lang w:val="es-PE"/>
        </w:rPr>
        <w:t xml:space="preserve"> contratado a través del Colegio de Ingenieros</w:t>
      </w:r>
    </w:p>
    <w:p w:rsidRPr="00AE39F8" w:rsidR="00C37076" w:rsidP="00C37076" w:rsidRDefault="00C37076" w14:paraId="45DEEDB9"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AE39F8" w:rsidR="00C37076" w:rsidP="0017CF2F" w:rsidRDefault="00C37076" w14:paraId="1452AB26" w14:textId="22AD7210">
      <w:pPr>
        <w:suppressAutoHyphens/>
        <w:spacing w:after="0" w:line="240" w:lineRule="auto"/>
        <w:jc w:val="both"/>
        <w:rPr>
          <w:rFonts w:ascii="Times New Roman" w:hAnsi="Times New Roman" w:eastAsia="Times New Roman" w:cs="Times New Roman"/>
          <w:sz w:val="24"/>
          <w:szCs w:val="24"/>
          <w:lang w:val="es-MX" w:eastAsia="ar-SA"/>
        </w:rPr>
      </w:pPr>
      <w:r w:rsidRPr="0017CF2F" w:rsidR="00C37076">
        <w:rPr>
          <w:rFonts w:ascii="Times New Roman" w:hAnsi="Times New Roman" w:eastAsia="Times New Roman" w:cs="Times New Roman"/>
          <w:sz w:val="24"/>
          <w:szCs w:val="24"/>
          <w:lang w:val="es-MX" w:eastAsia="ar-SA"/>
        </w:rPr>
        <w:t xml:space="preserve">Que, a través del señalado recurso, </w:t>
      </w:r>
      <w:r w:rsidRPr="0017CF2F" w:rsidR="32B08457">
        <w:rPr>
          <w:rFonts w:ascii="Times New Roman" w:hAnsi="Times New Roman" w:eastAsia="Times New Roman" w:cs="Times New Roman"/>
          <w:sz w:val="24"/>
          <w:szCs w:val="24"/>
          <w:lang w:val="es-MX" w:eastAsia="ar-SA"/>
        </w:rPr>
        <w:t>...............................</w:t>
      </w:r>
      <w:r w:rsidRPr="0017CF2F" w:rsidR="00C37076">
        <w:rPr>
          <w:rFonts w:ascii="Times New Roman" w:hAnsi="Times New Roman" w:eastAsia="Times New Roman" w:cs="Times New Roman"/>
          <w:sz w:val="24"/>
          <w:szCs w:val="24"/>
          <w:lang w:val="es-MX" w:eastAsia="ar-SA"/>
        </w:rPr>
        <w:t xml:space="preserve"> cuestiona lo resuelto por el ORU, sustentándose resumidamente en lo siguiente: a) que la modalidad de atenciones por emergencia accidentales y no accidentales es aplicable únicamente cuando el asegurado se encuentre en una zona alejada de provincia en donde no exista proveedor de salud incluido en el Plan de Beneficios; b) que las condiciones generales y particulares y especiales de la póliza se encuentran sujetos al principio de literalidad; por lo que solicitan revocar la resolución final y declarar infundado el reclamo.</w:t>
      </w:r>
    </w:p>
    <w:p w:rsidRPr="00AE39F8" w:rsidR="00C37076" w:rsidP="00C37076" w:rsidRDefault="00C37076" w14:paraId="427C9B9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E39F8" w:rsidR="00C37076" w:rsidP="00C37076" w:rsidRDefault="00C37076" w14:paraId="4169879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E39F8">
        <w:rPr>
          <w:rFonts w:ascii="Times New Roman" w:hAnsi="Times New Roman" w:eastAsia="Times New Roman" w:cs="Times New Roman"/>
          <w:bCs/>
          <w:sz w:val="24"/>
          <w:szCs w:val="24"/>
          <w:lang w:val="es-MX" w:eastAsia="ar-SA"/>
        </w:rPr>
        <w:t>Que, habiéndosele corrido traslado de la señalada impugnación, el asegurado reitera su posición y manifiesta su disconformidad con las atenciones recibidas posteriormente de la aseguradora por lo que solicita que además de efectuar la devolución de gastos de emergencia sea sancionada por otros conceptos;</w:t>
      </w:r>
    </w:p>
    <w:p w:rsidRPr="00AE39F8" w:rsidR="00C37076" w:rsidP="00C37076" w:rsidRDefault="00C37076" w14:paraId="08843568"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E39F8" w:rsidR="00C37076" w:rsidP="00C37076" w:rsidRDefault="00C37076" w14:paraId="5301801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E39F8" w:rsidR="00C37076" w:rsidP="00C37076" w:rsidRDefault="00C37076" w14:paraId="7B9AE93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E39F8">
        <w:rPr>
          <w:rFonts w:ascii="Times New Roman" w:hAnsi="Times New Roman" w:eastAsia="Times New Roman" w:cs="Times New Roman"/>
          <w:b/>
          <w:bCs/>
          <w:sz w:val="24"/>
          <w:szCs w:val="24"/>
          <w:lang w:val="es-MX" w:eastAsia="ar-SA"/>
        </w:rPr>
        <w:t>Considerando:</w:t>
      </w:r>
    </w:p>
    <w:p w:rsidRPr="00AE39F8" w:rsidR="00C37076" w:rsidP="00C37076" w:rsidRDefault="00C37076" w14:paraId="00F29391" w14:textId="77777777">
      <w:pPr>
        <w:suppressAutoHyphens/>
        <w:spacing w:after="0" w:line="240" w:lineRule="auto"/>
        <w:jc w:val="both"/>
        <w:rPr>
          <w:rFonts w:ascii="Times New Roman" w:hAnsi="Times New Roman" w:eastAsia="Times New Roman" w:cs="Times New Roman"/>
          <w:sz w:val="24"/>
          <w:szCs w:val="24"/>
          <w:lang w:val="es-ES" w:eastAsia="ar-SA"/>
        </w:rPr>
      </w:pPr>
    </w:p>
    <w:p w:rsidRPr="00AE39F8" w:rsidR="00C37076" w:rsidP="00C37076" w:rsidRDefault="00C37076" w14:paraId="7513E363" w14:textId="77777777">
      <w:pPr>
        <w:spacing w:after="0" w:line="240" w:lineRule="auto"/>
        <w:jc w:val="both"/>
        <w:rPr>
          <w:rFonts w:ascii="Times New Roman" w:hAnsi="Times New Roman" w:cs="Times New Roman"/>
          <w:sz w:val="24"/>
          <w:szCs w:val="24"/>
          <w:lang w:val="es-PE"/>
        </w:rPr>
      </w:pPr>
      <w:r w:rsidRPr="00AE39F8">
        <w:rPr>
          <w:rFonts w:ascii="Times New Roman" w:hAnsi="Times New Roman" w:cs="Times New Roman"/>
          <w:b/>
          <w:sz w:val="24"/>
          <w:szCs w:val="24"/>
          <w:u w:val="single"/>
          <w:lang w:val="es-PE"/>
        </w:rPr>
        <w:t>Primero</w:t>
      </w:r>
      <w:r w:rsidRPr="00AE39F8">
        <w:rPr>
          <w:rFonts w:ascii="Times New Roman" w:hAnsi="Times New Roman" w:cs="Times New Roman"/>
          <w:b/>
          <w:sz w:val="24"/>
          <w:szCs w:val="24"/>
          <w:lang w:val="es-PE"/>
        </w:rPr>
        <w:t>:</w:t>
      </w:r>
      <w:r w:rsidRPr="00AE39F8">
        <w:rPr>
          <w:rFonts w:ascii="Times New Roman" w:hAnsi="Times New Roman" w:cs="Times New Roman"/>
          <w:sz w:val="24"/>
          <w:szCs w:val="24"/>
          <w:lang w:val="es-PE"/>
        </w:rPr>
        <w:t xml:space="preserve"> El Reglamento de la DEFASEG </w:t>
      </w:r>
      <w:r w:rsidRPr="00AE39F8">
        <w:rPr>
          <w:rFonts w:ascii="Times New Roman" w:hAnsi="Times New Roman" w:eastAsia="Arial Unicode MS" w:cs="Times New Roman"/>
          <w:sz w:val="24"/>
          <w:szCs w:val="24"/>
          <w:lang w:val="es-PE"/>
        </w:rPr>
        <w:t xml:space="preserve">(http://www.defaseg.com.pe/reglamento), en su artículo 10, </w:t>
      </w:r>
      <w:r w:rsidRPr="00AE39F8">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AE39F8">
        <w:rPr>
          <w:rFonts w:ascii="Times New Roman" w:hAnsi="Times New Roman" w:cs="Times New Roman"/>
          <w:sz w:val="24"/>
          <w:szCs w:val="24"/>
          <w:lang w:val="es-ES"/>
        </w:rPr>
        <w:t>usuario de seguro recurre en forma voluntaria a la Defensoría, siendo que la presentación de una reclamación n</w:t>
      </w:r>
      <w:r w:rsidRPr="00AE39F8">
        <w:rPr>
          <w:rFonts w:ascii="Times New Roman" w:hAnsi="Times New Roman" w:cs="Times New Roman"/>
          <w:sz w:val="24"/>
          <w:szCs w:val="24"/>
          <w:lang w:val="es-PE"/>
        </w:rPr>
        <w:t>o limita su derecho a recurrir posteriormente ante el órgano administrativo o jurisdiccional que considere pertinente.  De acuerdo a lo anterior, si el asegurado no se encuentra conforme con lo resuelto, esto último no limita la posibilidad de poder recurrir a las instancias correspondientes, a diferencia de la aseguradora que sí queda comprometida con lo resuelto por la DEFASEG.</w:t>
      </w:r>
    </w:p>
    <w:p w:rsidRPr="00AE39F8" w:rsidR="00C37076" w:rsidP="00C37076" w:rsidRDefault="00C37076" w14:paraId="17073246" w14:textId="77777777">
      <w:pPr>
        <w:spacing w:after="0" w:line="240" w:lineRule="auto"/>
        <w:jc w:val="both"/>
        <w:rPr>
          <w:rFonts w:ascii="Times New Roman" w:hAnsi="Times New Roman" w:cs="Times New Roman"/>
          <w:sz w:val="24"/>
          <w:szCs w:val="24"/>
          <w:lang w:val="es-PE"/>
        </w:rPr>
      </w:pPr>
    </w:p>
    <w:p w:rsidRPr="00AE39F8" w:rsidR="00C37076" w:rsidP="00C37076" w:rsidRDefault="00C37076" w14:paraId="0A205643" w14:textId="77777777">
      <w:pPr>
        <w:tabs>
          <w:tab w:val="left" w:pos="0"/>
          <w:tab w:val="left" w:pos="2160"/>
        </w:tabs>
        <w:spacing w:after="0" w:line="240" w:lineRule="auto"/>
        <w:jc w:val="both"/>
        <w:rPr>
          <w:rFonts w:ascii="Times New Roman" w:hAnsi="Times New Roman" w:cs="Times New Roman"/>
          <w:sz w:val="24"/>
          <w:szCs w:val="24"/>
          <w:lang w:val="es-ES"/>
        </w:rPr>
      </w:pPr>
      <w:r w:rsidRPr="00AE39F8">
        <w:rPr>
          <w:rFonts w:ascii="Times New Roman" w:hAnsi="Times New Roman" w:cs="Times New Roman"/>
          <w:b/>
          <w:sz w:val="24"/>
          <w:szCs w:val="24"/>
          <w:u w:val="single"/>
          <w:lang w:val="es-PE"/>
        </w:rPr>
        <w:t>Segundo</w:t>
      </w:r>
      <w:r w:rsidRPr="00AE39F8">
        <w:rPr>
          <w:rFonts w:ascii="Times New Roman" w:hAnsi="Times New Roman" w:cs="Times New Roman"/>
          <w:b/>
          <w:sz w:val="24"/>
          <w:szCs w:val="24"/>
          <w:lang w:val="es-PE"/>
        </w:rPr>
        <w:t>:</w:t>
      </w:r>
      <w:r w:rsidRPr="00AE39F8">
        <w:rPr>
          <w:rFonts w:ascii="Times New Roman" w:hAnsi="Times New Roman" w:cs="Times New Roman"/>
          <w:sz w:val="24"/>
          <w:szCs w:val="24"/>
          <w:lang w:val="es-PE"/>
        </w:rPr>
        <w:t xml:space="preserve"> Atendiendo a los fundamentos de la impugnación interpuesta, se advierte que no se</w:t>
      </w:r>
      <w:r w:rsidRPr="00AE39F8">
        <w:rPr>
          <w:rFonts w:ascii="Times New Roman" w:hAnsi="Times New Roman" w:cs="Times New Roman"/>
          <w:bCs/>
          <w:sz w:val="24"/>
          <w:szCs w:val="24"/>
          <w:lang w:val="es-PE"/>
        </w:rPr>
        <w:t xml:space="preserve"> expone ni acredita nuevo argumento que desautorice lo resuelto, de manera que el </w:t>
      </w:r>
      <w:r w:rsidRPr="00AE39F8">
        <w:rPr>
          <w:rFonts w:ascii="Times New Roman" w:hAnsi="Times New Roman" w:cs="Times New Roman"/>
          <w:sz w:val="24"/>
          <w:szCs w:val="24"/>
          <w:lang w:val="es-ES"/>
        </w:rPr>
        <w:t xml:space="preserve">recurso impugnativo interpuesto puede ser categorizado, por su contenido mismo, como una solicitud de revisión general, sustentada exclusivamente en el criterio de la aseguradora, sin aportar medio probatorio que permita apreciar que el ORU incurrió en un error o vicio al momento de resolver; y sin aclarar la diferencia que existe entre las dos coberturas de atenciones de </w:t>
      </w:r>
      <w:r w:rsidRPr="00AE39F8">
        <w:rPr>
          <w:rFonts w:ascii="Times New Roman" w:hAnsi="Times New Roman" w:cs="Times New Roman"/>
          <w:sz w:val="24"/>
          <w:szCs w:val="24"/>
          <w:lang w:val="es-ES"/>
        </w:rPr>
        <w:lastRenderedPageBreak/>
        <w:t xml:space="preserve">emergencia descritas en dos numerales una de las cuales sí contempla el reembolso sin limitarlo a zonas alejadas de provincias.  </w:t>
      </w:r>
    </w:p>
    <w:p w:rsidRPr="00AE39F8" w:rsidR="00C37076" w:rsidP="00C37076" w:rsidRDefault="00C37076" w14:paraId="159A0FF9" w14:textId="77777777">
      <w:pPr>
        <w:tabs>
          <w:tab w:val="left" w:pos="0"/>
          <w:tab w:val="left" w:pos="2160"/>
        </w:tabs>
        <w:spacing w:after="0" w:line="240" w:lineRule="auto"/>
        <w:jc w:val="both"/>
        <w:rPr>
          <w:rFonts w:ascii="Times New Roman" w:hAnsi="Times New Roman" w:cs="Times New Roman"/>
          <w:sz w:val="24"/>
          <w:szCs w:val="24"/>
          <w:lang w:val="es-ES"/>
        </w:rPr>
      </w:pPr>
    </w:p>
    <w:p w:rsidRPr="00AE39F8" w:rsidR="00C37076" w:rsidP="00C37076" w:rsidRDefault="00C37076" w14:paraId="52638FCF" w14:textId="73A2FD83">
      <w:pPr>
        <w:tabs>
          <w:tab w:val="left" w:pos="0"/>
          <w:tab w:val="left" w:pos="2160"/>
        </w:tabs>
        <w:spacing w:after="0" w:line="240" w:lineRule="auto"/>
        <w:jc w:val="both"/>
        <w:rPr>
          <w:rFonts w:ascii="Times New Roman" w:hAnsi="Times New Roman" w:cs="Times New Roman"/>
          <w:sz w:val="24"/>
          <w:szCs w:val="24"/>
          <w:lang w:val="es-ES"/>
        </w:rPr>
      </w:pPr>
      <w:r w:rsidRPr="0017CF2F" w:rsidR="00C37076">
        <w:rPr>
          <w:rFonts w:ascii="Times New Roman" w:hAnsi="Times New Roman" w:cs="Times New Roman"/>
          <w:sz w:val="24"/>
          <w:szCs w:val="24"/>
          <w:lang w:val="es-ES"/>
        </w:rPr>
        <w:t xml:space="preserve">En efecto, del contenido de la impugnación interpuesta, se aprecia que </w:t>
      </w:r>
      <w:r w:rsidRPr="0017CF2F" w:rsidR="32B08457">
        <w:rPr>
          <w:rFonts w:ascii="Times New Roman" w:hAnsi="Times New Roman" w:cs="Times New Roman"/>
          <w:sz w:val="24"/>
          <w:szCs w:val="24"/>
          <w:lang w:val="es-ES"/>
        </w:rPr>
        <w:t>...............................</w:t>
      </w:r>
      <w:r w:rsidRPr="0017CF2F" w:rsidR="00C37076">
        <w:rPr>
          <w:rFonts w:ascii="Times New Roman" w:hAnsi="Times New Roman" w:cs="Times New Roman"/>
          <w:sz w:val="24"/>
          <w:szCs w:val="24"/>
          <w:lang w:val="es-ES"/>
        </w:rPr>
        <w:t xml:space="preserve"> no contradice propiamente el sustento sobre el cual se declaró fundada la reclamación, limitándose a reiterar lo expuesto en sus descargos, y sin adjuntar el certificado de seguro suscrito por el asegurado pese a que este le fue requerido en forma previa a la emisión de la resolución impugnada. </w:t>
      </w:r>
      <w:r w:rsidRPr="0017CF2F" w:rsidR="00C37076">
        <w:rPr>
          <w:rFonts w:ascii="Times New Roman" w:hAnsi="Times New Roman" w:cs="Times New Roman"/>
          <w:sz w:val="24"/>
          <w:szCs w:val="24"/>
          <w:lang w:val="es-ES"/>
        </w:rPr>
        <w:t>Así como tampoco adjunta la póliza completa suscrita con el contratante.</w:t>
      </w:r>
      <w:r w:rsidRPr="0017CF2F" w:rsidR="00C37076">
        <w:rPr>
          <w:rFonts w:ascii="Times New Roman" w:hAnsi="Times New Roman" w:cs="Times New Roman"/>
          <w:sz w:val="24"/>
          <w:szCs w:val="24"/>
          <w:lang w:val="es-ES"/>
        </w:rPr>
        <w:t xml:space="preserve"> </w:t>
      </w:r>
    </w:p>
    <w:p w:rsidRPr="00AE39F8" w:rsidR="00C37076" w:rsidP="00C37076" w:rsidRDefault="00C37076" w14:paraId="5090D58F" w14:textId="77777777">
      <w:pPr>
        <w:tabs>
          <w:tab w:val="left" w:pos="0"/>
          <w:tab w:val="left" w:pos="2160"/>
        </w:tabs>
        <w:spacing w:after="0" w:line="240" w:lineRule="auto"/>
        <w:jc w:val="both"/>
        <w:rPr>
          <w:rFonts w:ascii="Times New Roman" w:hAnsi="Times New Roman" w:cs="Times New Roman"/>
          <w:sz w:val="24"/>
          <w:szCs w:val="24"/>
          <w:lang w:val="es-ES"/>
        </w:rPr>
      </w:pPr>
    </w:p>
    <w:p w:rsidRPr="00AE39F8" w:rsidR="00C37076" w:rsidP="00C37076" w:rsidRDefault="00C37076" w14:paraId="5F5DB53A" w14:textId="77777777">
      <w:pPr>
        <w:tabs>
          <w:tab w:val="left" w:pos="0"/>
          <w:tab w:val="left" w:pos="2160"/>
        </w:tabs>
        <w:spacing w:after="0" w:line="240" w:lineRule="auto"/>
        <w:jc w:val="both"/>
        <w:rPr>
          <w:rFonts w:ascii="Times New Roman" w:hAnsi="Times New Roman" w:cs="Times New Roman"/>
          <w:sz w:val="24"/>
          <w:szCs w:val="24"/>
          <w:lang w:val="es-ES"/>
        </w:rPr>
      </w:pPr>
      <w:r w:rsidRPr="00AE39F8">
        <w:rPr>
          <w:rFonts w:ascii="Times New Roman" w:hAnsi="Times New Roman" w:cs="Times New Roman"/>
          <w:sz w:val="24"/>
          <w:szCs w:val="24"/>
          <w:lang w:val="es-ES"/>
        </w:rPr>
        <w:t>Sobre este aspecto a continuación se produce parte pertinente de la resolución impugnada:</w:t>
      </w:r>
    </w:p>
    <w:p w:rsidRPr="00AE39F8" w:rsidR="00C37076" w:rsidP="00C37076" w:rsidRDefault="00C37076" w14:paraId="28FE4997" w14:textId="77777777">
      <w:pPr>
        <w:tabs>
          <w:tab w:val="left" w:pos="0"/>
          <w:tab w:val="left" w:pos="2160"/>
        </w:tabs>
        <w:spacing w:after="0" w:line="240" w:lineRule="auto"/>
        <w:jc w:val="both"/>
        <w:rPr>
          <w:rFonts w:ascii="Times New Roman" w:hAnsi="Times New Roman" w:cs="Times New Roman"/>
          <w:sz w:val="24"/>
          <w:szCs w:val="24"/>
          <w:lang w:val="es-ES"/>
        </w:rPr>
      </w:pPr>
    </w:p>
    <w:p w:rsidRPr="00AE39F8" w:rsidR="00C37076" w:rsidP="00C37076" w:rsidRDefault="00C37076" w14:paraId="3E59DF53" w14:textId="77777777">
      <w:pPr>
        <w:tabs>
          <w:tab w:val="left" w:pos="0"/>
          <w:tab w:val="left" w:pos="2160"/>
        </w:tabs>
        <w:spacing w:after="0" w:line="240" w:lineRule="auto"/>
        <w:ind w:left="426"/>
        <w:jc w:val="both"/>
        <w:rPr>
          <w:rFonts w:ascii="Times New Roman" w:hAnsi="Times New Roman" w:cs="Times New Roman"/>
          <w:i/>
          <w:iCs/>
          <w:sz w:val="24"/>
          <w:szCs w:val="24"/>
          <w:lang w:val="es-PE"/>
        </w:rPr>
      </w:pPr>
      <w:r w:rsidRPr="00AE39F8">
        <w:rPr>
          <w:rFonts w:ascii="Times New Roman" w:hAnsi="Times New Roman" w:cs="Times New Roman"/>
          <w:i/>
          <w:iCs/>
          <w:sz w:val="24"/>
          <w:szCs w:val="24"/>
          <w:lang w:val="es-PE"/>
        </w:rPr>
        <w:t xml:space="preserve">“Siendo esta una limitación a lo indicado en el Plan de Beneficios, se solicitó a la aseguradora presentar el certificado de seguro entregado al asegurado, a fin de conocer si dicha limitación fue puesta en conocimiento del asegurado; y, a efectos de tener mayor claridad sobre la inconsistencia entre ambos documentos (Plan de Beneficios y Condicionado). Al respecto, la compañía adjuntó con fecha 21 de octubre de 2021 un condicionado particular que adjuntaba el formato denominado certificado de seguro, sin firma, en el que se aprecia al final del mismo el Plan de Beneficios antes analizado, mas no así la limitación que se indica en el condicionado general presentado. </w:t>
      </w:r>
    </w:p>
    <w:p w:rsidRPr="00AE39F8" w:rsidR="00C37076" w:rsidP="00C37076" w:rsidRDefault="00C37076" w14:paraId="18D95935" w14:textId="77777777">
      <w:pPr>
        <w:tabs>
          <w:tab w:val="left" w:pos="0"/>
          <w:tab w:val="left" w:pos="2160"/>
        </w:tabs>
        <w:spacing w:after="0" w:line="240" w:lineRule="auto"/>
        <w:ind w:left="426"/>
        <w:jc w:val="both"/>
        <w:rPr>
          <w:rFonts w:ascii="Times New Roman" w:hAnsi="Times New Roman" w:cs="Times New Roman"/>
          <w:i/>
          <w:iCs/>
          <w:sz w:val="24"/>
          <w:szCs w:val="24"/>
          <w:lang w:val="es-PE"/>
        </w:rPr>
      </w:pPr>
    </w:p>
    <w:p w:rsidRPr="00AE39F8" w:rsidR="00C37076" w:rsidP="00C37076" w:rsidRDefault="00C37076" w14:paraId="654008DD" w14:textId="77777777">
      <w:pPr>
        <w:tabs>
          <w:tab w:val="left" w:pos="0"/>
          <w:tab w:val="left" w:pos="2160"/>
        </w:tabs>
        <w:spacing w:after="0" w:line="240" w:lineRule="auto"/>
        <w:ind w:left="426"/>
        <w:jc w:val="both"/>
        <w:rPr>
          <w:rFonts w:ascii="Times New Roman" w:hAnsi="Times New Roman" w:cs="Times New Roman"/>
          <w:i/>
          <w:iCs/>
          <w:sz w:val="24"/>
          <w:szCs w:val="24"/>
          <w:lang w:val="es-PE"/>
        </w:rPr>
      </w:pPr>
      <w:r w:rsidRPr="00AE39F8">
        <w:rPr>
          <w:rFonts w:ascii="Times New Roman" w:hAnsi="Times New Roman" w:cs="Times New Roman"/>
          <w:i/>
          <w:iCs/>
          <w:sz w:val="24"/>
          <w:szCs w:val="24"/>
          <w:lang w:val="es-PE"/>
        </w:rPr>
        <w:t xml:space="preserve">Lo que aprecia este Órgano Resolutivo Unipersonal, es que no se ha presentado la póliza completa en un solo formato, solo se presentó adjunto al descargo el Plan de Beneficios -que por los usos y costumbres del sistema de seguros, se entiende como anexo a las condiciones particulares donde se especifican los detalles del plan-; y posteriormente se presentó el condicionado general (sin adjuntar el condicionado particular); y, finalmente se presentaron las condiciones particulares con un formato del certificado de seguro sin firma que no lleva la limitación contenida en el condicionado general, más sí el plan de beneficios que permite bajo el numeral 1 del acápite atenciones de emergencia, antes analizado, el reembolso, sin la limitación referida a provincias que se especifica en el numeral 4, conforme a lo antes señalado. </w:t>
      </w:r>
    </w:p>
    <w:p w:rsidRPr="00AE39F8" w:rsidR="00C37076" w:rsidP="00C37076" w:rsidRDefault="00C37076" w14:paraId="64A0F27B" w14:textId="77777777">
      <w:pPr>
        <w:tabs>
          <w:tab w:val="left" w:pos="0"/>
          <w:tab w:val="left" w:pos="2160"/>
        </w:tabs>
        <w:spacing w:after="0" w:line="240" w:lineRule="auto"/>
        <w:ind w:left="426"/>
        <w:jc w:val="both"/>
        <w:rPr>
          <w:rFonts w:ascii="Times New Roman" w:hAnsi="Times New Roman" w:cs="Times New Roman"/>
          <w:i/>
          <w:iCs/>
          <w:sz w:val="24"/>
          <w:szCs w:val="24"/>
          <w:lang w:val="es-PE"/>
        </w:rPr>
      </w:pPr>
    </w:p>
    <w:p w:rsidRPr="00AE39F8" w:rsidR="00C37076" w:rsidP="00C37076" w:rsidRDefault="00C37076" w14:paraId="0D833D9E" w14:textId="77777777">
      <w:pPr>
        <w:tabs>
          <w:tab w:val="left" w:pos="0"/>
          <w:tab w:val="left" w:pos="2160"/>
        </w:tabs>
        <w:spacing w:after="0" w:line="240" w:lineRule="auto"/>
        <w:ind w:left="426"/>
        <w:jc w:val="both"/>
        <w:rPr>
          <w:rFonts w:ascii="Times New Roman" w:hAnsi="Times New Roman" w:cs="Times New Roman"/>
          <w:i/>
          <w:iCs/>
          <w:sz w:val="24"/>
          <w:szCs w:val="24"/>
          <w:lang w:val="es-PE"/>
        </w:rPr>
      </w:pPr>
      <w:r w:rsidRPr="00AE39F8">
        <w:rPr>
          <w:rFonts w:ascii="Times New Roman" w:hAnsi="Times New Roman" w:cs="Times New Roman"/>
          <w:i/>
          <w:iCs/>
          <w:sz w:val="24"/>
          <w:szCs w:val="24"/>
          <w:lang w:val="es-PE"/>
        </w:rPr>
        <w:t>No corresponde a esta Defensoría suplicar las deficiencias probatorias de la aseguradora, por lo que siendo que el Plan de Beneficios se anexa a las condiciones particulares y formato del certificado de seguro que presenta con fecha 21.10.21, se considera que forma parte de las condiciones particulares, que priman sobre el condicionado general en aplicación de la sexta regla de interpretación del contrato de seguro establecido en la Ley 29946, y al sí admitir el reembolso en atenciones de emergencia conforme a lo señalado en el numeral 1 del mismo; corresponde que el reembolso se otorgue de acuerdo a las condiciones de la póliza, esto es conforme a la tarifa A que se indica en el numeral 1 y teniendo en cuenta el tope de consulta médica que se indica el numeral 1. Mas aun cuando el artículo 137 de la Ley 29946 establece que “No son oponibles al asegurado los contenidos contractuales que no le hayan sido informados en el certificado mencionado en el artículo anterior, cuyo contenido mínimo se sujeta a las disposiciones de la Superintendencia.”; y, en las condiciones particulares (página 2 del documento enviado con fecha 21.10.21) , en el acápite materia del seguro se señala la posibilidad del reembolso conforme a lo siguiente: (…)”</w:t>
      </w:r>
    </w:p>
    <w:p w:rsidRPr="00AE39F8" w:rsidR="00C37076" w:rsidP="00C37076" w:rsidRDefault="00C37076" w14:paraId="7EDF7D35" w14:textId="77777777">
      <w:pPr>
        <w:tabs>
          <w:tab w:val="left" w:pos="0"/>
          <w:tab w:val="left" w:pos="2160"/>
        </w:tabs>
        <w:spacing w:after="0" w:line="240" w:lineRule="auto"/>
        <w:jc w:val="both"/>
        <w:rPr>
          <w:rFonts w:ascii="Times New Roman" w:hAnsi="Times New Roman" w:cs="Times New Roman"/>
          <w:sz w:val="24"/>
          <w:szCs w:val="24"/>
          <w:lang w:val="es-ES"/>
        </w:rPr>
      </w:pPr>
    </w:p>
    <w:p w:rsidRPr="00AE39F8" w:rsidR="00C37076" w:rsidP="00C37076" w:rsidRDefault="00C37076" w14:paraId="5ED35DE7" w14:textId="77777777">
      <w:pPr>
        <w:tabs>
          <w:tab w:val="left" w:pos="0"/>
          <w:tab w:val="left" w:pos="2160"/>
        </w:tabs>
        <w:spacing w:after="0" w:line="240" w:lineRule="auto"/>
        <w:jc w:val="both"/>
        <w:rPr>
          <w:rFonts w:ascii="Times New Roman" w:hAnsi="Times New Roman" w:cs="Times New Roman"/>
          <w:sz w:val="24"/>
          <w:szCs w:val="24"/>
          <w:lang w:val="es-ES"/>
        </w:rPr>
      </w:pPr>
      <w:r w:rsidRPr="00AE39F8">
        <w:rPr>
          <w:rFonts w:ascii="Times New Roman" w:hAnsi="Times New Roman" w:cs="Times New Roman"/>
          <w:sz w:val="24"/>
          <w:szCs w:val="24"/>
          <w:lang w:val="es-ES"/>
        </w:rPr>
        <w:lastRenderedPageBreak/>
        <w:t>En lo que respecta al pedido adicional del asegurado, esta Defensoría no es competente para pronunciarse sobre aspectos vinculados a idoneidad de servicios.</w:t>
      </w:r>
    </w:p>
    <w:p w:rsidRPr="00AE39F8" w:rsidR="00C37076" w:rsidP="00C37076" w:rsidRDefault="00C37076" w14:paraId="6DC6464D" w14:textId="77777777">
      <w:pPr>
        <w:tabs>
          <w:tab w:val="left" w:pos="0"/>
          <w:tab w:val="left" w:pos="2160"/>
        </w:tabs>
        <w:spacing w:after="0" w:line="240" w:lineRule="auto"/>
        <w:jc w:val="both"/>
        <w:rPr>
          <w:rFonts w:ascii="Times New Roman" w:hAnsi="Times New Roman" w:cs="Times New Roman"/>
          <w:sz w:val="24"/>
          <w:szCs w:val="24"/>
          <w:lang w:val="es-PE"/>
        </w:rPr>
      </w:pPr>
    </w:p>
    <w:p w:rsidRPr="00AE39F8" w:rsidR="00C37076" w:rsidP="00C37076" w:rsidRDefault="00C37076" w14:paraId="6A83DA93" w14:textId="77777777">
      <w:pPr>
        <w:tabs>
          <w:tab w:val="left" w:pos="2160"/>
        </w:tabs>
        <w:spacing w:after="0" w:line="240" w:lineRule="auto"/>
        <w:jc w:val="both"/>
        <w:rPr>
          <w:rFonts w:ascii="Times New Roman" w:hAnsi="Times New Roman" w:cs="Times New Roman"/>
          <w:sz w:val="24"/>
          <w:szCs w:val="24"/>
          <w:lang w:val="es-ES"/>
        </w:rPr>
      </w:pPr>
      <w:r w:rsidRPr="00AE39F8">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para revocar la resolución recurrida; por lo tanto,</w:t>
      </w:r>
    </w:p>
    <w:p w:rsidRPr="00AE39F8" w:rsidR="00C37076" w:rsidP="00C37076" w:rsidRDefault="00C37076" w14:paraId="5F653B1A" w14:textId="77777777">
      <w:pPr>
        <w:spacing w:after="0" w:line="240" w:lineRule="auto"/>
        <w:jc w:val="both"/>
        <w:rPr>
          <w:rFonts w:ascii="Times New Roman" w:hAnsi="Times New Roman" w:eastAsia="Times New Roman" w:cs="Times New Roman"/>
          <w:bCs/>
          <w:sz w:val="24"/>
          <w:szCs w:val="24"/>
          <w:lang w:val="es-ES" w:eastAsia="ar-SA"/>
        </w:rPr>
      </w:pPr>
    </w:p>
    <w:p w:rsidRPr="00AE39F8" w:rsidR="00C37076" w:rsidP="00C37076" w:rsidRDefault="00C37076" w14:paraId="49993E65" w14:textId="77777777">
      <w:pPr>
        <w:spacing w:after="0" w:line="240" w:lineRule="auto"/>
        <w:jc w:val="both"/>
        <w:rPr>
          <w:rFonts w:ascii="Times New Roman" w:hAnsi="Times New Roman" w:cs="Times New Roman"/>
          <w:b/>
          <w:sz w:val="24"/>
          <w:szCs w:val="24"/>
          <w:lang w:val="es-PE"/>
        </w:rPr>
      </w:pPr>
      <w:r w:rsidRPr="00AE39F8">
        <w:rPr>
          <w:rFonts w:ascii="Times New Roman" w:hAnsi="Times New Roman" w:cs="Times New Roman"/>
          <w:b/>
          <w:sz w:val="24"/>
          <w:szCs w:val="24"/>
          <w:lang w:val="es-PE"/>
        </w:rPr>
        <w:t>Atendiendo a lo expresado, conforme a su reglamento, este colegiado resuelve:</w:t>
      </w:r>
    </w:p>
    <w:p w:rsidRPr="00AE39F8" w:rsidR="00C37076" w:rsidP="00C37076" w:rsidRDefault="00C37076" w14:paraId="16FB7C64" w14:textId="77777777">
      <w:pPr>
        <w:spacing w:after="0" w:line="240" w:lineRule="auto"/>
        <w:jc w:val="both"/>
        <w:rPr>
          <w:rFonts w:ascii="Times New Roman" w:hAnsi="Times New Roman" w:eastAsia="Arial Unicode MS" w:cs="Times New Roman"/>
          <w:b/>
          <w:sz w:val="24"/>
          <w:szCs w:val="24"/>
          <w:lang w:val="es-PE"/>
        </w:rPr>
      </w:pPr>
    </w:p>
    <w:p w:rsidRPr="00AE39F8" w:rsidR="00C37076" w:rsidP="00C37076" w:rsidRDefault="00C37076" w14:paraId="48DFB7AF" w14:textId="6A66EF8B">
      <w:pPr>
        <w:spacing w:after="0" w:line="240" w:lineRule="auto"/>
        <w:jc w:val="both"/>
        <w:rPr>
          <w:rFonts w:ascii="Times New Roman" w:hAnsi="Times New Roman" w:eastAsia="Arial Unicode MS" w:cs="Times New Roman"/>
          <w:sz w:val="24"/>
          <w:szCs w:val="24"/>
          <w:lang w:val="es-PE"/>
        </w:rPr>
      </w:pPr>
      <w:r w:rsidRPr="0017CF2F" w:rsidR="00C37076">
        <w:rPr>
          <w:rFonts w:ascii="Times New Roman" w:hAnsi="Times New Roman" w:eastAsia="Arial Unicode MS" w:cs="Times New Roman"/>
          <w:b w:val="1"/>
          <w:bCs w:val="1"/>
          <w:sz w:val="24"/>
          <w:szCs w:val="24"/>
          <w:lang w:val="es-PE"/>
        </w:rPr>
        <w:t xml:space="preserve">Declarar INFUNDADO el recurso impugnativo </w:t>
      </w:r>
      <w:r w:rsidRPr="0017CF2F" w:rsidR="00C37076">
        <w:rPr>
          <w:rFonts w:ascii="Times New Roman" w:hAnsi="Times New Roman" w:eastAsia="Arial Unicode MS" w:cs="Times New Roman"/>
          <w:sz w:val="24"/>
          <w:szCs w:val="24"/>
          <w:lang w:val="es-PE"/>
        </w:rPr>
        <w:t xml:space="preserve">interpuesto </w:t>
      </w:r>
      <w:r w:rsidRPr="0017CF2F" w:rsidR="32B08457">
        <w:rPr>
          <w:rFonts w:ascii="Times New Roman" w:hAnsi="Times New Roman" w:eastAsia="Times New Roman" w:cs="Times New Roman"/>
          <w:sz w:val="24"/>
          <w:szCs w:val="24"/>
          <w:lang w:val="es-PE" w:eastAsia="es-ES"/>
        </w:rPr>
        <w:t>...............................</w:t>
      </w:r>
      <w:r w:rsidRPr="0017CF2F" w:rsidR="00C37076">
        <w:rPr>
          <w:rFonts w:ascii="Times New Roman" w:hAnsi="Times New Roman" w:eastAsia="Times New Roman" w:cs="Times New Roman"/>
          <w:sz w:val="24"/>
          <w:szCs w:val="24"/>
          <w:lang w:val="es-PE" w:eastAsia="es-ES"/>
        </w:rPr>
        <w:t xml:space="preserve"> </w:t>
      </w:r>
      <w:r w:rsidRPr="0017CF2F" w:rsidR="00C37076">
        <w:rPr>
          <w:rFonts w:ascii="Times New Roman" w:hAnsi="Times New Roman" w:cs="Times New Roman"/>
          <w:sz w:val="24"/>
          <w:szCs w:val="24"/>
          <w:lang w:val="es-ES"/>
        </w:rPr>
        <w:t>y, por consiguiente, ratificar</w:t>
      </w:r>
      <w:r w:rsidRPr="0017CF2F" w:rsidR="00C37076">
        <w:rPr>
          <w:rFonts w:ascii="Times New Roman" w:hAnsi="Times New Roman" w:eastAsia="Times New Roman" w:cs="Times New Roman"/>
          <w:sz w:val="24"/>
          <w:szCs w:val="24"/>
          <w:lang w:val="es-ES" w:eastAsia="ar-SA"/>
        </w:rPr>
        <w:t xml:space="preserve"> la Resolución Nro. 154/21, de fecha 25 de octubre de 2021.</w:t>
      </w:r>
    </w:p>
    <w:p w:rsidRPr="00AE39F8" w:rsidR="00C37076" w:rsidP="00C37076" w:rsidRDefault="00C37076" w14:paraId="4996869F" w14:textId="77777777">
      <w:pPr>
        <w:spacing w:after="0" w:line="240" w:lineRule="auto"/>
        <w:jc w:val="both"/>
        <w:rPr>
          <w:rFonts w:ascii="Times New Roman" w:hAnsi="Times New Roman" w:eastAsia="Times New Roman" w:cs="Times New Roman"/>
          <w:sz w:val="24"/>
          <w:szCs w:val="24"/>
          <w:lang w:val="es-PE" w:eastAsia="ar-SA"/>
        </w:rPr>
      </w:pPr>
    </w:p>
    <w:p w:rsidRPr="00AE39F8"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AE39F8" w:rsidR="00C671F5" w:rsidP="005E398E" w:rsidRDefault="0091528B" w14:paraId="486C3F46" w14:textId="386E3C20">
      <w:pPr>
        <w:suppressAutoHyphens/>
        <w:spacing w:after="0" w:line="240" w:lineRule="auto"/>
        <w:jc w:val="right"/>
        <w:outlineLvl w:val="0"/>
        <w:rPr>
          <w:rFonts w:ascii="Times New Roman" w:hAnsi="Times New Roman" w:eastAsia="Arial Unicode MS" w:cs="Times New Roman"/>
          <w:sz w:val="24"/>
          <w:szCs w:val="24"/>
          <w:lang w:val="es-PE" w:eastAsia="ar-SA"/>
        </w:rPr>
      </w:pPr>
      <w:r w:rsidRPr="00AE39F8">
        <w:rPr>
          <w:rFonts w:ascii="Times New Roman" w:hAnsi="Times New Roman" w:eastAsia="Arial Unicode MS" w:cs="Times New Roman"/>
          <w:sz w:val="24"/>
          <w:szCs w:val="24"/>
          <w:lang w:val="es-PE" w:eastAsia="ar-SA"/>
        </w:rPr>
        <w:t xml:space="preserve">Lima, </w:t>
      </w:r>
      <w:r w:rsidRPr="00AE39F8" w:rsidR="00C37076">
        <w:rPr>
          <w:rFonts w:ascii="Times New Roman" w:hAnsi="Times New Roman" w:eastAsia="Arial Unicode MS" w:cs="Times New Roman"/>
          <w:sz w:val="24"/>
          <w:szCs w:val="24"/>
          <w:lang w:val="es-PE" w:eastAsia="ar-SA"/>
        </w:rPr>
        <w:t>22</w:t>
      </w:r>
      <w:r w:rsidRPr="00AE39F8" w:rsidR="00DD21B2">
        <w:rPr>
          <w:rFonts w:ascii="Times New Roman" w:hAnsi="Times New Roman" w:eastAsia="Arial Unicode MS" w:cs="Times New Roman"/>
          <w:sz w:val="24"/>
          <w:szCs w:val="24"/>
          <w:lang w:val="es-PE" w:eastAsia="ar-SA"/>
        </w:rPr>
        <w:t xml:space="preserve"> </w:t>
      </w:r>
      <w:r w:rsidRPr="00AE39F8" w:rsidR="00707C99">
        <w:rPr>
          <w:rFonts w:ascii="Times New Roman" w:hAnsi="Times New Roman" w:eastAsia="Arial Unicode MS" w:cs="Times New Roman"/>
          <w:sz w:val="24"/>
          <w:szCs w:val="24"/>
          <w:lang w:val="es-PE" w:eastAsia="ar-SA"/>
        </w:rPr>
        <w:t>de</w:t>
      </w:r>
      <w:r w:rsidRPr="00AE39F8" w:rsidR="00864B0B">
        <w:rPr>
          <w:rFonts w:ascii="Times New Roman" w:hAnsi="Times New Roman" w:eastAsia="Arial Unicode MS" w:cs="Times New Roman"/>
          <w:sz w:val="24"/>
          <w:szCs w:val="24"/>
          <w:lang w:val="es-PE" w:eastAsia="ar-SA"/>
        </w:rPr>
        <w:t xml:space="preserve"> </w:t>
      </w:r>
      <w:r w:rsidRPr="00AE39F8" w:rsidR="00AD1B33">
        <w:rPr>
          <w:rFonts w:ascii="Times New Roman" w:hAnsi="Times New Roman" w:eastAsia="Arial Unicode MS" w:cs="Times New Roman"/>
          <w:sz w:val="24"/>
          <w:szCs w:val="24"/>
          <w:lang w:val="es-PE" w:eastAsia="ar-SA"/>
        </w:rPr>
        <w:t>noviembre</w:t>
      </w:r>
      <w:r w:rsidRPr="00AE39F8" w:rsidR="00F06498">
        <w:rPr>
          <w:rFonts w:ascii="Times New Roman" w:hAnsi="Times New Roman" w:eastAsia="Arial Unicode MS" w:cs="Times New Roman"/>
          <w:sz w:val="24"/>
          <w:szCs w:val="24"/>
          <w:lang w:val="es-PE" w:eastAsia="ar-SA"/>
        </w:rPr>
        <w:t xml:space="preserve"> de 202</w:t>
      </w:r>
      <w:r w:rsidRPr="00AE39F8" w:rsidR="00231C58">
        <w:rPr>
          <w:rFonts w:ascii="Times New Roman" w:hAnsi="Times New Roman" w:eastAsia="Arial Unicode MS" w:cs="Times New Roman"/>
          <w:sz w:val="24"/>
          <w:szCs w:val="24"/>
          <w:lang w:val="es-PE" w:eastAsia="ar-SA"/>
        </w:rPr>
        <w:t>1</w:t>
      </w:r>
      <w:r w:rsidRPr="00AE39F8" w:rsidR="00707C99">
        <w:rPr>
          <w:rFonts w:ascii="Times New Roman" w:hAnsi="Times New Roman" w:eastAsia="Times New Roman" w:cs="Times New Roman"/>
          <w:sz w:val="24"/>
          <w:szCs w:val="24"/>
          <w:lang w:val="es-PE" w:eastAsia="ar-SA"/>
        </w:rPr>
        <w:t xml:space="preserve"> </w:t>
      </w:r>
    </w:p>
    <w:p w:rsidRPr="00AE39F8"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E39F8"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AE39F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E39F8" w:rsidR="009F3DD4" w:rsidP="007068AE" w:rsidRDefault="009F3DD4" w14:paraId="451211B4" w14:textId="3761F828">
      <w:pPr>
        <w:spacing w:after="0" w:line="360" w:lineRule="auto"/>
        <w:rPr>
          <w:rFonts w:ascii="Times New Roman" w:hAnsi="Times New Roman" w:cs="Times New Roman"/>
          <w:b/>
          <w:bCs/>
          <w:sz w:val="24"/>
          <w:szCs w:val="24"/>
          <w:lang w:val="es-PE"/>
        </w:rPr>
      </w:pPr>
    </w:p>
    <w:p w:rsidRPr="000700BB" w:rsidR="00AC2CED" w:rsidP="00AC2CED" w:rsidRDefault="00AC2CED" w14:paraId="7E118007" w14:textId="77777777">
      <w:pPr>
        <w:spacing w:after="0" w:line="360" w:lineRule="auto"/>
        <w:jc w:val="center"/>
        <w:rPr>
          <w:rFonts w:ascii="Times New Roman" w:hAnsi="Times New Roman" w:cs="Times New Roman"/>
          <w:b/>
          <w:bCs/>
          <w:sz w:val="24"/>
          <w:szCs w:val="24"/>
          <w:lang w:val="es-PE"/>
        </w:rPr>
      </w:pPr>
      <w:r w:rsidRPr="000700BB">
        <w:rPr>
          <w:rFonts w:ascii="Times New Roman" w:hAnsi="Times New Roman" w:cs="Times New Roman"/>
          <w:b/>
          <w:bCs/>
          <w:sz w:val="24"/>
          <w:szCs w:val="24"/>
          <w:lang w:val="es-PE"/>
        </w:rPr>
        <w:t>Rolando Eyzaguirre Maccan – Presidente</w:t>
      </w:r>
    </w:p>
    <w:p w:rsidRPr="00AE39F8"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AE39F8">
        <w:rPr>
          <w:rFonts w:ascii="Times New Roman" w:hAnsi="Times New Roman" w:cs="Times New Roman"/>
          <w:b/>
          <w:bCs/>
          <w:sz w:val="24"/>
          <w:szCs w:val="24"/>
          <w:lang w:val="es-PE"/>
        </w:rPr>
        <w:t>Marco Antonio Ortega Piana – Vocal</w:t>
      </w:r>
    </w:p>
    <w:p w:rsidRPr="00AE39F8"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AE39F8">
        <w:rPr>
          <w:rFonts w:ascii="Times New Roman" w:hAnsi="Times New Roman" w:cs="Times New Roman"/>
          <w:b/>
          <w:bCs/>
          <w:sz w:val="24"/>
          <w:szCs w:val="24"/>
          <w:lang w:val="es-PE"/>
        </w:rPr>
        <w:t xml:space="preserve">Gonzalo Abad del Busto </w:t>
      </w:r>
      <w:r w:rsidRPr="00AE39F8" w:rsidR="00231C58">
        <w:rPr>
          <w:rFonts w:ascii="Times New Roman" w:hAnsi="Times New Roman" w:cs="Times New Roman"/>
          <w:b/>
          <w:bCs/>
          <w:sz w:val="24"/>
          <w:szCs w:val="24"/>
          <w:lang w:val="es-PE"/>
        </w:rPr>
        <w:t xml:space="preserve">– </w:t>
      </w:r>
      <w:r w:rsidRPr="00AE39F8">
        <w:rPr>
          <w:rFonts w:ascii="Times New Roman" w:hAnsi="Times New Roman" w:cs="Times New Roman"/>
          <w:b/>
          <w:bCs/>
          <w:sz w:val="24"/>
          <w:szCs w:val="24"/>
          <w:lang w:val="es-PE"/>
        </w:rPr>
        <w:t>Vocal</w:t>
      </w:r>
    </w:p>
    <w:p w:rsidRPr="00AE39F8"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0DDA" w:rsidP="00784355" w:rsidRDefault="00D60DDA" w14:paraId="7466868D" w14:textId="77777777">
      <w:pPr>
        <w:spacing w:after="0" w:line="240" w:lineRule="auto"/>
      </w:pPr>
      <w:r>
        <w:separator/>
      </w:r>
    </w:p>
  </w:endnote>
  <w:endnote w:type="continuationSeparator" w:id="0">
    <w:p w:rsidR="00D60DDA" w:rsidP="00784355" w:rsidRDefault="00D60DDA" w14:paraId="13ABBED1" w14:textId="77777777">
      <w:pPr>
        <w:spacing w:after="0" w:line="240" w:lineRule="auto"/>
      </w:pPr>
      <w:r>
        <w:continuationSeparator/>
      </w:r>
    </w:p>
  </w:endnote>
  <w:endnote w:type="continuationNotice" w:id="1">
    <w:p w:rsidR="00D60DDA" w:rsidRDefault="00D60DDA" w14:paraId="049F817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0DDA" w:rsidP="00784355" w:rsidRDefault="00D60DDA" w14:paraId="27FE7EE4" w14:textId="77777777">
      <w:pPr>
        <w:spacing w:after="0" w:line="240" w:lineRule="auto"/>
      </w:pPr>
      <w:r>
        <w:separator/>
      </w:r>
    </w:p>
  </w:footnote>
  <w:footnote w:type="continuationSeparator" w:id="0">
    <w:p w:rsidR="00D60DDA" w:rsidP="00784355" w:rsidRDefault="00D60DDA" w14:paraId="4108DB09" w14:textId="77777777">
      <w:pPr>
        <w:spacing w:after="0" w:line="240" w:lineRule="auto"/>
      </w:pPr>
      <w:r>
        <w:continuationSeparator/>
      </w:r>
    </w:p>
  </w:footnote>
  <w:footnote w:type="continuationNotice" w:id="1">
    <w:p w:rsidR="00D60DDA" w:rsidRDefault="00D60DDA" w14:paraId="09743D9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7CF2F"/>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39FC"/>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A1A"/>
    <w:rsid w:val="00825BB9"/>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1DD6"/>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2CED"/>
    <w:rsid w:val="00AC5A9E"/>
    <w:rsid w:val="00AD1B33"/>
    <w:rsid w:val="00AD1FEC"/>
    <w:rsid w:val="00AD2DF1"/>
    <w:rsid w:val="00AE39F8"/>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A1BEA"/>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3707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0DDA"/>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0FF7607"/>
    <w:rsid w:val="32B08457"/>
    <w:rsid w:val="760D75CA"/>
    <w:rsid w:val="7BFC3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E843FC5-75B5-4075-AA8A-E92ABA7A1516}"/>
</file>

<file path=customXml/itemProps3.xml><?xml version="1.0" encoding="utf-8"?>
<ds:datastoreItem xmlns:ds="http://schemas.openxmlformats.org/officeDocument/2006/customXml" ds:itemID="{D6602B88-9D65-4DA6-A3D1-A046F0C70A1A}"/>
</file>

<file path=customXml/itemProps4.xml><?xml version="1.0" encoding="utf-8"?>
<ds:datastoreItem xmlns:ds="http://schemas.openxmlformats.org/officeDocument/2006/customXml" ds:itemID="{1935B445-B4A8-4D32-B7DB-08D3F676A4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107</cp:revision>
  <cp:lastPrinted>2021-11-22T14:53:00Z</cp:lastPrinted>
  <dcterms:created xsi:type="dcterms:W3CDTF">2020-12-18T20:17:00Z</dcterms:created>
  <dcterms:modified xsi:type="dcterms:W3CDTF">2026-02-04T20:49:31Z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