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B0FBC" w:rsidR="00A40C12" w:rsidP="00A40C12" w:rsidRDefault="00201C0D" w14:paraId="24829FCB" w14:textId="46BD66FE">
      <w:pPr>
        <w:pStyle w:val="Ttulo2"/>
        <w:jc w:val="center"/>
        <w:rPr>
          <w:rFonts w:ascii="Times New Roman" w:hAnsi="Times New Roman" w:cs="Times New Roman"/>
          <w:b/>
          <w:bCs/>
          <w:color w:val="auto"/>
          <w:sz w:val="24"/>
          <w:szCs w:val="24"/>
          <w:lang w:val="es-PE" w:eastAsia="ar-SA"/>
        </w:rPr>
      </w:pPr>
      <w:r w:rsidRPr="007B0FBC">
        <w:rPr>
          <w:rFonts w:ascii="Times New Roman" w:hAnsi="Times New Roman" w:cs="Times New Roman"/>
          <w:b/>
          <w:bCs/>
          <w:color w:val="auto"/>
          <w:sz w:val="24"/>
          <w:szCs w:val="24"/>
          <w:lang w:val="es-PE" w:eastAsia="ar-SA"/>
        </w:rPr>
        <w:t xml:space="preserve">RESOLUCIÓN DE RECURSO IMPUGNATIVO </w:t>
      </w:r>
      <w:proofErr w:type="spellStart"/>
      <w:r w:rsidRPr="007B0FBC" w:rsidR="00707C99">
        <w:rPr>
          <w:rFonts w:ascii="Times New Roman" w:hAnsi="Times New Roman" w:cs="Times New Roman"/>
          <w:b/>
          <w:bCs/>
          <w:color w:val="auto"/>
          <w:sz w:val="24"/>
          <w:szCs w:val="24"/>
          <w:lang w:val="es-PE" w:eastAsia="ar-SA"/>
        </w:rPr>
        <w:t>N°</w:t>
      </w:r>
      <w:proofErr w:type="spellEnd"/>
      <w:r w:rsidRPr="007B0FBC" w:rsidR="00707C99">
        <w:rPr>
          <w:rFonts w:ascii="Times New Roman" w:hAnsi="Times New Roman" w:cs="Times New Roman"/>
          <w:b/>
          <w:bCs/>
          <w:color w:val="auto"/>
          <w:sz w:val="24"/>
          <w:szCs w:val="24"/>
          <w:lang w:val="es-PE" w:eastAsia="ar-SA"/>
        </w:rPr>
        <w:t xml:space="preserve"> </w:t>
      </w:r>
      <w:r w:rsidRPr="007B0FBC" w:rsidR="00C671F5">
        <w:rPr>
          <w:rFonts w:ascii="Times New Roman" w:hAnsi="Times New Roman" w:cs="Times New Roman"/>
          <w:b/>
          <w:bCs/>
          <w:color w:val="auto"/>
          <w:sz w:val="24"/>
          <w:szCs w:val="24"/>
          <w:lang w:val="es-PE" w:eastAsia="ar-SA"/>
        </w:rPr>
        <w:t>0</w:t>
      </w:r>
      <w:r w:rsidRPr="007B0FBC" w:rsidR="00065F91">
        <w:rPr>
          <w:rFonts w:ascii="Times New Roman" w:hAnsi="Times New Roman" w:cs="Times New Roman"/>
          <w:b/>
          <w:bCs/>
          <w:color w:val="auto"/>
          <w:sz w:val="24"/>
          <w:szCs w:val="24"/>
          <w:lang w:val="es-PE" w:eastAsia="ar-SA"/>
        </w:rPr>
        <w:t>6</w:t>
      </w:r>
      <w:r w:rsidRPr="007B0FBC" w:rsidR="002B632C">
        <w:rPr>
          <w:rFonts w:ascii="Times New Roman" w:hAnsi="Times New Roman" w:cs="Times New Roman"/>
          <w:b/>
          <w:bCs/>
          <w:color w:val="auto"/>
          <w:sz w:val="24"/>
          <w:szCs w:val="24"/>
          <w:lang w:val="es-PE" w:eastAsia="ar-SA"/>
        </w:rPr>
        <w:t>5</w:t>
      </w:r>
      <w:r w:rsidRPr="007B0FBC" w:rsidR="00517CFF">
        <w:rPr>
          <w:rFonts w:ascii="Times New Roman" w:hAnsi="Times New Roman" w:cs="Times New Roman"/>
          <w:b/>
          <w:bCs/>
          <w:color w:val="auto"/>
          <w:sz w:val="24"/>
          <w:szCs w:val="24"/>
          <w:lang w:val="es-PE" w:eastAsia="ar-SA"/>
        </w:rPr>
        <w:t>/</w:t>
      </w:r>
      <w:r w:rsidRPr="007B0FBC" w:rsidR="00C671F5">
        <w:rPr>
          <w:rFonts w:ascii="Times New Roman" w:hAnsi="Times New Roman" w:cs="Times New Roman"/>
          <w:b/>
          <w:bCs/>
          <w:color w:val="auto"/>
          <w:sz w:val="24"/>
          <w:szCs w:val="24"/>
          <w:lang w:val="es-PE" w:eastAsia="ar-SA"/>
        </w:rPr>
        <w:t>2</w:t>
      </w:r>
      <w:r w:rsidRPr="007B0FBC" w:rsidR="00231C58">
        <w:rPr>
          <w:rFonts w:ascii="Times New Roman" w:hAnsi="Times New Roman" w:cs="Times New Roman"/>
          <w:b/>
          <w:bCs/>
          <w:color w:val="auto"/>
          <w:sz w:val="24"/>
          <w:szCs w:val="24"/>
          <w:lang w:val="es-PE" w:eastAsia="ar-SA"/>
        </w:rPr>
        <w:t>1</w:t>
      </w:r>
    </w:p>
    <w:p w:rsidRPr="007B0FBC" w:rsidR="00A40C12" w:rsidP="00A40C12" w:rsidRDefault="00A40C12" w14:paraId="6FE34F51" w14:textId="77777777">
      <w:pPr>
        <w:rPr>
          <w:rFonts w:ascii="Times New Roman" w:hAnsi="Times New Roman" w:cs="Times New Roman"/>
          <w:sz w:val="24"/>
          <w:szCs w:val="24"/>
          <w:lang w:val="es-PE" w:eastAsia="ar-SA"/>
        </w:rPr>
      </w:pPr>
    </w:p>
    <w:p w:rsidRPr="007B0FBC" w:rsidR="007B0FBC" w:rsidP="007B0FBC" w:rsidRDefault="007B0FBC" w14:paraId="3A08251E" w14:textId="77777777">
      <w:pPr>
        <w:jc w:val="both"/>
        <w:outlineLvl w:val="0"/>
        <w:rPr>
          <w:rFonts w:ascii="Times New Roman" w:hAnsi="Times New Roman" w:cs="Times New Roman"/>
          <w:b/>
          <w:bCs/>
          <w:sz w:val="24"/>
          <w:szCs w:val="24"/>
          <w:lang w:val="es-MX"/>
        </w:rPr>
      </w:pPr>
      <w:r w:rsidRPr="007B0FBC">
        <w:rPr>
          <w:rFonts w:ascii="Times New Roman" w:hAnsi="Times New Roman" w:cs="Times New Roman"/>
          <w:b/>
          <w:bCs/>
          <w:sz w:val="24"/>
          <w:szCs w:val="24"/>
          <w:lang w:val="es-MX"/>
        </w:rPr>
        <w:t>VISTOS:</w:t>
      </w:r>
    </w:p>
    <w:p w:rsidRPr="007B0FBC" w:rsidR="007B0FBC" w:rsidP="007B0FBC" w:rsidRDefault="007B0FBC" w14:paraId="32982532" w14:textId="3F2758EE">
      <w:pPr>
        <w:jc w:val="both"/>
        <w:rPr>
          <w:rFonts w:ascii="Times New Roman" w:hAnsi="Times New Roman" w:cs="Times New Roman"/>
          <w:sz w:val="24"/>
          <w:szCs w:val="24"/>
          <w:lang w:val="es-ES"/>
        </w:rPr>
      </w:pPr>
      <w:r w:rsidRPr="6C852812" w:rsidR="007B0FBC">
        <w:rPr>
          <w:rFonts w:ascii="Times New Roman" w:hAnsi="Times New Roman" w:cs="Times New Roman"/>
          <w:sz w:val="24"/>
          <w:szCs w:val="24"/>
          <w:lang w:val="es-PE"/>
        </w:rPr>
        <w:t xml:space="preserve">El </w:t>
      </w:r>
      <w:r w:rsidRPr="6C852812" w:rsidR="007B0FBC">
        <w:rPr>
          <w:rFonts w:ascii="Times New Roman" w:hAnsi="Times New Roman" w:cs="Times New Roman"/>
          <w:sz w:val="24"/>
          <w:szCs w:val="24"/>
          <w:lang w:val="es-PE"/>
        </w:rPr>
        <w:t xml:space="preserve">recurso de impugnación presentado por </w:t>
      </w:r>
      <w:r w:rsidRPr="6C852812" w:rsidR="23301D38">
        <w:rPr>
          <w:rFonts w:ascii="Times New Roman" w:hAnsi="Times New Roman" w:cs="Times New Roman"/>
          <w:sz w:val="24"/>
          <w:szCs w:val="24"/>
          <w:lang w:val="es-PE"/>
        </w:rPr>
        <w:t>.........................................</w:t>
      </w:r>
      <w:r w:rsidRPr="6C852812" w:rsidR="007B0FBC">
        <w:rPr>
          <w:rFonts w:ascii="Times New Roman" w:hAnsi="Times New Roman" w:cs="Times New Roman"/>
          <w:sz w:val="24"/>
          <w:szCs w:val="24"/>
          <w:lang w:val="es-PE"/>
        </w:rPr>
        <w:t xml:space="preserve"> respecto de la Resolución Nro. 158/21, expedida por esta Defensoría del Asegurado (DEFASEG), conforme a la cual se declaró FUNDADA la reclamación interpuesta por </w:t>
      </w:r>
      <w:r w:rsidRPr="6C852812" w:rsidR="52AC8ED3">
        <w:rPr>
          <w:rFonts w:ascii="Times New Roman" w:hAnsi="Times New Roman" w:cs="Times New Roman"/>
          <w:sz w:val="24"/>
          <w:szCs w:val="24"/>
          <w:lang w:val="es-PE"/>
        </w:rPr>
        <w:t>.........................................</w:t>
      </w:r>
      <w:r w:rsidRPr="6C852812" w:rsidR="007B0FBC">
        <w:rPr>
          <w:rFonts w:ascii="Times New Roman" w:hAnsi="Times New Roman" w:cs="Times New Roman"/>
          <w:sz w:val="24"/>
          <w:szCs w:val="24"/>
          <w:lang w:val="es-PE"/>
        </w:rPr>
        <w:t xml:space="preserve"> respecto del</w:t>
      </w:r>
      <w:r w:rsidRPr="6C852812" w:rsidR="007B0FBC">
        <w:rPr>
          <w:rFonts w:ascii="Times New Roman" w:hAnsi="Times New Roman" w:cs="Times New Roman"/>
          <w:sz w:val="24"/>
          <w:szCs w:val="24"/>
          <w:lang w:val="es-PE"/>
        </w:rPr>
        <w:t xml:space="preserve"> Seguro Protección de Tarjeta;</w:t>
      </w:r>
    </w:p>
    <w:p w:rsidRPr="007B0FBC" w:rsidR="007B0FBC" w:rsidP="007B0FBC" w:rsidRDefault="007B0FBC" w14:paraId="1BB1DAC8" w14:textId="77777777">
      <w:pPr>
        <w:pStyle w:val="Textoindependiente"/>
      </w:pPr>
      <w:r w:rsidRPr="007B0FBC">
        <w:t xml:space="preserve">Que, el indicado recurso se sustenta resumidamente en lo siguiente: (1) Manifiestan que la resolución se sustenta en que si bien el certificado de seguro presentado detalla las coberturas contradas, y en ella la cobertura de uso indebido se limita al uso en establecimientos comerciales, el certificado de seguro presentado no lleva la firma del asegurado, de lo cual discrepan pues con fecha 03.11.21 cumplieron con adjuntar el certificado de seguros suscrito por la reclamante, lo que no se ha tenido en consideración; (2) que el seguro de protección de tarjetas solo tiene cobertura si se efectúa compras en centros comerciales, mas no para retiro de dinero en efectivo en el cajero automático producto del hurto, el cual es materia del reclamo; por lo tanto siendo que la reclamante sí conocía de dicha limitación conforme al certificado que obra en el expediente, no puede desconocerse lo pactado y la resolución 158/2021 debe ser revocada y declarada infundado el reclamo. </w:t>
      </w:r>
    </w:p>
    <w:p w:rsidRPr="007B0FBC" w:rsidR="007B0FBC" w:rsidP="007B0FBC" w:rsidRDefault="007B0FBC" w14:paraId="1122F8CF" w14:textId="77777777">
      <w:pPr>
        <w:pStyle w:val="Textoindependiente"/>
      </w:pPr>
    </w:p>
    <w:p w:rsidRPr="007B0FBC" w:rsidR="007B0FBC" w:rsidP="007B0FBC" w:rsidRDefault="007B0FBC" w14:paraId="05AFE1FD" w14:textId="77777777">
      <w:pPr>
        <w:pStyle w:val="Textoindependiente"/>
      </w:pPr>
      <w:r w:rsidRPr="007B0FBC">
        <w:t xml:space="preserve">Que, la reclamante absolvió el traslado del recurso interpuesto, reiterando se </w:t>
      </w:r>
      <w:proofErr w:type="spellStart"/>
      <w:r w:rsidRPr="007B0FBC">
        <w:t>de</w:t>
      </w:r>
      <w:proofErr w:type="spellEnd"/>
      <w:r w:rsidRPr="007B0FBC">
        <w:t xml:space="preserve"> cobertura al reclamo presentado.</w:t>
      </w:r>
    </w:p>
    <w:p w:rsidRPr="007B0FBC" w:rsidR="007B0FBC" w:rsidP="007B0FBC" w:rsidRDefault="007B0FBC" w14:paraId="477D50A5" w14:textId="77777777">
      <w:pPr>
        <w:pStyle w:val="Textoindependiente"/>
      </w:pPr>
      <w:r w:rsidRPr="007B0FBC">
        <w:t xml:space="preserve"> </w:t>
      </w:r>
    </w:p>
    <w:p w:rsidRPr="007B0FBC" w:rsidR="007B0FBC" w:rsidP="007B0FBC" w:rsidRDefault="007B0FBC" w14:paraId="2D8BAA73" w14:textId="77777777">
      <w:pPr>
        <w:pStyle w:val="Textoindependiente"/>
        <w:tabs>
          <w:tab w:val="left" w:pos="930"/>
        </w:tabs>
      </w:pPr>
      <w:r w:rsidRPr="007B0FBC">
        <w:t>Que, atendiendo a lo expuesto, esta Defensoría resuelve finalmente lo siguiente:</w:t>
      </w:r>
    </w:p>
    <w:p w:rsidR="007B0FBC" w:rsidP="007B0FBC" w:rsidRDefault="007B0FBC" w14:paraId="18B9C5D9" w14:textId="77777777">
      <w:pPr>
        <w:jc w:val="both"/>
        <w:rPr>
          <w:rFonts w:ascii="Times New Roman" w:hAnsi="Times New Roman" w:cs="Times New Roman"/>
          <w:b/>
          <w:sz w:val="24"/>
          <w:szCs w:val="24"/>
          <w:u w:val="single"/>
          <w:lang w:val="es-PE"/>
        </w:rPr>
      </w:pPr>
    </w:p>
    <w:p w:rsidRPr="007B0FBC" w:rsidR="007B0FBC" w:rsidP="007B0FBC" w:rsidRDefault="007B0FBC" w14:paraId="21159D2D" w14:textId="2EEB6CCD">
      <w:pPr>
        <w:jc w:val="both"/>
        <w:rPr>
          <w:rFonts w:ascii="Times New Roman" w:hAnsi="Times New Roman" w:cs="Times New Roman"/>
          <w:sz w:val="24"/>
          <w:szCs w:val="24"/>
          <w:lang w:val="es-PE"/>
        </w:rPr>
      </w:pPr>
      <w:r w:rsidRPr="007B0FBC">
        <w:rPr>
          <w:rFonts w:ascii="Times New Roman" w:hAnsi="Times New Roman" w:cs="Times New Roman"/>
          <w:b/>
          <w:sz w:val="24"/>
          <w:szCs w:val="24"/>
          <w:u w:val="single"/>
          <w:lang w:val="es-PE"/>
        </w:rPr>
        <w:t>PRIMERO</w:t>
      </w:r>
      <w:r w:rsidRPr="007B0FBC">
        <w:rPr>
          <w:rFonts w:ascii="Times New Roman" w:hAnsi="Times New Roman" w:cs="Times New Roman"/>
          <w:b/>
          <w:sz w:val="24"/>
          <w:szCs w:val="24"/>
          <w:lang w:val="es-PE"/>
        </w:rPr>
        <w:t>:</w:t>
      </w:r>
      <w:r w:rsidRPr="007B0FBC">
        <w:rPr>
          <w:rFonts w:ascii="Times New Roman" w:hAnsi="Times New Roman" w:cs="Times New Roman"/>
          <w:sz w:val="24"/>
          <w:szCs w:val="24"/>
          <w:lang w:val="es-PE"/>
        </w:rPr>
        <w:t xml:space="preserve"> El artículo 10 (Procedimiento) del Reglamento de la DEFASEG </w:t>
      </w:r>
      <w:r w:rsidRPr="007B0FBC">
        <w:rPr>
          <w:rFonts w:ascii="Times New Roman" w:hAnsi="Times New Roman" w:eastAsia="Arial Unicode MS" w:cs="Times New Roman"/>
          <w:sz w:val="24"/>
          <w:szCs w:val="24"/>
          <w:lang w:val="es-PE"/>
        </w:rPr>
        <w:t>(http://www.defaseg.com.pe/reglamento)</w:t>
      </w:r>
      <w:r w:rsidRPr="007B0FBC">
        <w:rPr>
          <w:rFonts w:ascii="Times New Roman" w:hAnsi="Times New Roman" w:cs="Times New Roman"/>
          <w:sz w:val="24"/>
          <w:szCs w:val="24"/>
          <w:lang w:val="es-PE"/>
        </w:rPr>
        <w:t xml:space="preserve"> establece que cualquiera de las partes que no se encuentre de acuerdo con la decisión adoptada sobre la materia reclamada, podrá impugnarla, interponiendo el correspondiente recurso de impugnación.  </w:t>
      </w:r>
    </w:p>
    <w:p w:rsidRPr="007B0FBC" w:rsidR="007B0FBC" w:rsidP="007B0FBC" w:rsidRDefault="007B0FBC" w14:paraId="69255CD1" w14:textId="77777777">
      <w:pPr>
        <w:jc w:val="both"/>
        <w:rPr>
          <w:rFonts w:ascii="Times New Roman" w:hAnsi="Times New Roman" w:cs="Times New Roman"/>
          <w:sz w:val="24"/>
          <w:szCs w:val="24"/>
          <w:lang w:val="es-PE"/>
        </w:rPr>
      </w:pPr>
      <w:r w:rsidRPr="007B0FBC">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7B0FBC" w:rsidR="007B0FBC" w:rsidP="007B0FBC" w:rsidRDefault="007B0FBC" w14:paraId="54A75486" w14:textId="77777777">
      <w:pPr>
        <w:jc w:val="both"/>
        <w:rPr>
          <w:rFonts w:ascii="Times New Roman" w:hAnsi="Times New Roman" w:cs="Times New Roman"/>
          <w:bCs/>
          <w:sz w:val="24"/>
          <w:szCs w:val="24"/>
          <w:lang w:val="es-ES"/>
        </w:rPr>
      </w:pPr>
      <w:r w:rsidRPr="007B0FBC">
        <w:rPr>
          <w:rFonts w:ascii="Times New Roman" w:hAnsi="Times New Roman" w:cs="Times New Roman"/>
          <w:b/>
          <w:bCs/>
          <w:sz w:val="24"/>
          <w:szCs w:val="24"/>
          <w:u w:val="single"/>
          <w:lang w:val="es-PE"/>
        </w:rPr>
        <w:t>SEGUNDO</w:t>
      </w:r>
      <w:r w:rsidRPr="007B0FBC">
        <w:rPr>
          <w:rFonts w:ascii="Times New Roman" w:hAnsi="Times New Roman" w:cs="Times New Roman"/>
          <w:b/>
          <w:bCs/>
          <w:sz w:val="24"/>
          <w:szCs w:val="24"/>
          <w:lang w:val="es-PE"/>
        </w:rPr>
        <w:t>:</w:t>
      </w:r>
      <w:r w:rsidRPr="007B0FBC">
        <w:rPr>
          <w:rFonts w:ascii="Times New Roman" w:hAnsi="Times New Roman" w:cs="Times New Roman"/>
          <w:bCs/>
          <w:sz w:val="24"/>
          <w:szCs w:val="24"/>
          <w:lang w:val="es-PE"/>
        </w:rPr>
        <w:t xml:space="preserve"> Que el recurso de impugnación presentado por la asegurada se sustenta en que sí se habría presentado el certificado de seguro suscrito por la reclamante.</w:t>
      </w:r>
    </w:p>
    <w:p w:rsidRPr="007B0FBC" w:rsidR="007B0FBC" w:rsidP="007B0FBC" w:rsidRDefault="007B0FBC" w14:paraId="05E16937" w14:textId="77777777">
      <w:pPr>
        <w:jc w:val="both"/>
        <w:rPr>
          <w:rFonts w:ascii="Times New Roman" w:hAnsi="Times New Roman" w:cs="Times New Roman"/>
          <w:bCs/>
          <w:sz w:val="24"/>
          <w:szCs w:val="24"/>
          <w:lang w:val="es-PE"/>
        </w:rPr>
      </w:pPr>
      <w:r w:rsidRPr="007B0FBC">
        <w:rPr>
          <w:rFonts w:ascii="Times New Roman" w:hAnsi="Times New Roman" w:cs="Times New Roman"/>
          <w:bCs/>
          <w:sz w:val="24"/>
          <w:szCs w:val="24"/>
          <w:lang w:val="es-PE"/>
        </w:rPr>
        <w:t xml:space="preserve">Al respecto, se verifica que, la aseguradora presentó un certificado de seguro en un archivo </w:t>
      </w:r>
      <w:proofErr w:type="spellStart"/>
      <w:r w:rsidRPr="007B0FBC">
        <w:rPr>
          <w:rFonts w:ascii="Times New Roman" w:hAnsi="Times New Roman" w:cs="Times New Roman"/>
          <w:bCs/>
          <w:sz w:val="24"/>
          <w:szCs w:val="24"/>
          <w:lang w:val="es-PE"/>
        </w:rPr>
        <w:t>pdf</w:t>
      </w:r>
      <w:proofErr w:type="spellEnd"/>
      <w:r w:rsidRPr="007B0FBC">
        <w:rPr>
          <w:rFonts w:ascii="Times New Roman" w:hAnsi="Times New Roman" w:cs="Times New Roman"/>
          <w:bCs/>
          <w:sz w:val="24"/>
          <w:szCs w:val="24"/>
          <w:lang w:val="es-PE"/>
        </w:rPr>
        <w:t xml:space="preserve"> compuesto de 4 hojas, sin embargo, el mismo documento indicaba a pie de página que constaba de 16 páginas y solo se adjuntaba 4, y en ninguna de dichas hojas figuraban las coberturas contradas, siendo por tanto el documento presentado con la firma del asegurado, uno incompleto que no permitía verificar las condiciones efectivamente contratadas a junio de 2019.</w:t>
      </w:r>
    </w:p>
    <w:p w:rsidRPr="007B0FBC" w:rsidR="007B0FBC" w:rsidP="6C852812" w:rsidRDefault="007B0FBC" w14:paraId="11AC5C7F" w14:textId="0E16E947">
      <w:pPr>
        <w:jc w:val="both"/>
        <w:rPr>
          <w:rFonts w:ascii="Times New Roman" w:hAnsi="Times New Roman" w:cs="Times New Roman"/>
          <w:sz w:val="24"/>
          <w:szCs w:val="24"/>
          <w:lang w:val="es-PE"/>
        </w:rPr>
      </w:pPr>
      <w:r w:rsidRPr="6C852812" w:rsidR="007B0FBC">
        <w:rPr>
          <w:rFonts w:ascii="Times New Roman" w:hAnsi="Times New Roman" w:cs="Times New Roman"/>
          <w:sz w:val="24"/>
          <w:szCs w:val="24"/>
          <w:lang w:val="es-PE"/>
        </w:rPr>
        <w:t xml:space="preserve">Por el </w:t>
      </w:r>
      <w:r w:rsidRPr="6C852812" w:rsidR="007B0FBC">
        <w:rPr>
          <w:rFonts w:ascii="Times New Roman" w:hAnsi="Times New Roman" w:cs="Times New Roman"/>
          <w:sz w:val="24"/>
          <w:szCs w:val="24"/>
          <w:lang w:val="es-PE"/>
        </w:rPr>
        <w:t>contrario</w:t>
      </w:r>
      <w:r w:rsidRPr="6C852812" w:rsidR="007B0FBC">
        <w:rPr>
          <w:rFonts w:ascii="Times New Roman" w:hAnsi="Times New Roman" w:cs="Times New Roman"/>
          <w:sz w:val="24"/>
          <w:szCs w:val="24"/>
          <w:lang w:val="es-PE"/>
        </w:rPr>
        <w:t xml:space="preserve"> adjunto a sus descargos la aseguradora había adjuntado además de dicho certificado incompleto uno denominado “certificado-seguro-protección-</w:t>
      </w:r>
      <w:r w:rsidRPr="6C852812" w:rsidR="26DCD932">
        <w:rPr>
          <w:rFonts w:ascii="Times New Roman" w:hAnsi="Times New Roman" w:cs="Times New Roman"/>
          <w:sz w:val="24"/>
          <w:szCs w:val="24"/>
          <w:lang w:val="es-PE"/>
        </w:rPr>
        <w:t>.........................................</w:t>
      </w:r>
      <w:r w:rsidRPr="6C852812" w:rsidR="007B0FBC">
        <w:rPr>
          <w:rFonts w:ascii="Times New Roman" w:hAnsi="Times New Roman" w:cs="Times New Roman"/>
          <w:sz w:val="24"/>
          <w:szCs w:val="24"/>
          <w:lang w:val="es-PE"/>
        </w:rPr>
        <w:t xml:space="preserve">” que constituía un certificado modelo </w:t>
      </w:r>
      <w:r w:rsidRPr="6C852812" w:rsidR="007B0FBC">
        <w:rPr>
          <w:rFonts w:ascii="Times New Roman" w:hAnsi="Times New Roman" w:cs="Times New Roman"/>
          <w:sz w:val="24"/>
          <w:szCs w:val="24"/>
          <w:u w:val="single"/>
          <w:lang w:val="es-PE"/>
        </w:rPr>
        <w:t>sin firma</w:t>
      </w:r>
      <w:r w:rsidRPr="6C852812" w:rsidR="007B0FBC">
        <w:rPr>
          <w:rFonts w:ascii="Times New Roman" w:hAnsi="Times New Roman" w:cs="Times New Roman"/>
          <w:sz w:val="24"/>
          <w:szCs w:val="24"/>
          <w:lang w:val="es-PE"/>
        </w:rPr>
        <w:t xml:space="preserve"> compuesto de 16 páginas, que además indicaba a pie de página </w:t>
      </w:r>
      <w:r w:rsidRPr="6C852812" w:rsidR="007B0FBC">
        <w:rPr>
          <w:rFonts w:ascii="Times New Roman" w:hAnsi="Times New Roman" w:cs="Times New Roman"/>
          <w:sz w:val="24"/>
          <w:szCs w:val="24"/>
          <w:lang w:val="es-PE"/>
        </w:rPr>
        <w:t>V8-</w:t>
      </w:r>
      <w:r w:rsidRPr="6C852812" w:rsidR="007B0FBC">
        <w:rPr>
          <w:rFonts w:ascii="Times New Roman" w:hAnsi="Times New Roman" w:cs="Times New Roman"/>
          <w:sz w:val="24"/>
          <w:szCs w:val="24"/>
          <w:lang w:val="es-PE"/>
        </w:rPr>
        <w:t>Enero</w:t>
      </w:r>
      <w:r w:rsidRPr="6C852812" w:rsidR="007B0FBC">
        <w:rPr>
          <w:rFonts w:ascii="Times New Roman" w:hAnsi="Times New Roman" w:cs="Times New Roman"/>
          <w:sz w:val="24"/>
          <w:szCs w:val="24"/>
          <w:lang w:val="es-PE"/>
        </w:rPr>
        <w:t xml:space="preserve"> </w:t>
      </w:r>
      <w:r w:rsidRPr="6C852812" w:rsidR="007B0FBC">
        <w:rPr>
          <w:rFonts w:ascii="Times New Roman" w:hAnsi="Times New Roman" w:cs="Times New Roman"/>
          <w:sz w:val="24"/>
          <w:szCs w:val="24"/>
          <w:lang w:val="es-PE"/>
        </w:rPr>
        <w:t>2020,  (</w:t>
      </w:r>
      <w:r w:rsidRPr="6C852812" w:rsidR="007B0FBC">
        <w:rPr>
          <w:rFonts w:ascii="Times New Roman" w:hAnsi="Times New Roman" w:cs="Times New Roman"/>
          <w:sz w:val="24"/>
          <w:szCs w:val="24"/>
          <w:lang w:val="es-PE"/>
        </w:rPr>
        <w:t>versión posterior a la contratación por parte de la reclamante), en la que dicha cobertura figuraba con el siguiente tenor:</w:t>
      </w:r>
    </w:p>
    <w:p w:rsidRPr="007B0FBC" w:rsidR="007B0FBC" w:rsidP="007B0FBC" w:rsidRDefault="007B0FBC" w14:paraId="7214A807" w14:textId="68F0C0A0">
      <w:pPr>
        <w:jc w:val="both"/>
        <w:rPr>
          <w:rFonts w:ascii="Times New Roman" w:hAnsi="Times New Roman" w:cs="Times New Roman"/>
          <w:bCs/>
          <w:sz w:val="24"/>
          <w:szCs w:val="24"/>
          <w:lang w:val="es-PE"/>
        </w:rPr>
      </w:pPr>
      <w:r w:rsidRPr="007B0FBC">
        <w:rPr>
          <w:rFonts w:ascii="Times New Roman" w:hAnsi="Times New Roman" w:cs="Times New Roman"/>
          <w:noProof/>
          <w:sz w:val="24"/>
          <w:szCs w:val="24"/>
        </w:rPr>
        <w:drawing>
          <wp:inline distT="0" distB="0" distL="0" distR="0" wp14:anchorId="3972CD64" wp14:editId="0C321926">
            <wp:extent cx="4038600" cy="10287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0" cy="1028700"/>
                    </a:xfrm>
                    <a:prstGeom prst="rect">
                      <a:avLst/>
                    </a:prstGeom>
                    <a:noFill/>
                    <a:ln>
                      <a:noFill/>
                    </a:ln>
                  </pic:spPr>
                </pic:pic>
              </a:graphicData>
            </a:graphic>
          </wp:inline>
        </w:drawing>
      </w:r>
    </w:p>
    <w:p w:rsidRPr="007B0FBC" w:rsidR="007B0FBC" w:rsidP="007B0FBC" w:rsidRDefault="007B0FBC" w14:paraId="2F4BB523" w14:textId="1BDFC167">
      <w:pPr>
        <w:jc w:val="both"/>
        <w:rPr>
          <w:rFonts w:ascii="Times New Roman" w:hAnsi="Times New Roman" w:cs="Times New Roman"/>
          <w:bCs/>
          <w:sz w:val="24"/>
          <w:szCs w:val="24"/>
          <w:lang w:val="es-PE"/>
        </w:rPr>
      </w:pPr>
      <w:r w:rsidRPr="007B0FBC">
        <w:rPr>
          <w:rFonts w:ascii="Times New Roman" w:hAnsi="Times New Roman" w:cs="Times New Roman"/>
          <w:bCs/>
          <w:sz w:val="24"/>
          <w:szCs w:val="24"/>
          <w:lang w:val="es-PE"/>
        </w:rPr>
        <w:t xml:space="preserve">Fue por ello que en el acta de la audiencia se requirió expresamente a la aseguradora presentar el certificado de seguro </w:t>
      </w:r>
      <w:proofErr w:type="gramStart"/>
      <w:r w:rsidRPr="007B0FBC">
        <w:rPr>
          <w:rFonts w:ascii="Times New Roman" w:hAnsi="Times New Roman" w:cs="Times New Roman"/>
          <w:bCs/>
          <w:sz w:val="24"/>
          <w:szCs w:val="24"/>
          <w:lang w:val="es-PE"/>
        </w:rPr>
        <w:t>completo</w:t>
      </w:r>
      <w:proofErr w:type="gramEnd"/>
      <w:r w:rsidRPr="007B0FBC">
        <w:rPr>
          <w:rFonts w:ascii="Times New Roman" w:hAnsi="Times New Roman" w:cs="Times New Roman"/>
          <w:bCs/>
          <w:sz w:val="24"/>
          <w:szCs w:val="24"/>
          <w:lang w:val="es-PE"/>
        </w:rPr>
        <w:t xml:space="preserve"> así como la póliza vigente al momento de la contratación del seguro. </w:t>
      </w:r>
    </w:p>
    <w:p w:rsidRPr="007B0FBC" w:rsidR="007B0FBC" w:rsidP="007B0FBC" w:rsidRDefault="007B0FBC" w14:paraId="2D914539" w14:textId="18B03D33">
      <w:pPr>
        <w:jc w:val="both"/>
        <w:rPr>
          <w:rFonts w:ascii="Times New Roman" w:hAnsi="Times New Roman" w:cs="Times New Roman"/>
          <w:bCs/>
          <w:sz w:val="24"/>
          <w:szCs w:val="24"/>
          <w:lang w:val="es-PE"/>
        </w:rPr>
      </w:pPr>
      <w:r w:rsidRPr="007B0FBC">
        <w:rPr>
          <w:rFonts w:ascii="Times New Roman" w:hAnsi="Times New Roman" w:cs="Times New Roman"/>
          <w:bCs/>
          <w:sz w:val="24"/>
          <w:szCs w:val="24"/>
          <w:lang w:val="es-PE"/>
        </w:rPr>
        <w:t xml:space="preserve">En respuesta al requerimiento, con fecha 3 de noviembre de 2021 la aseguradora presentó nuevamente el archivo </w:t>
      </w:r>
      <w:proofErr w:type="spellStart"/>
      <w:r w:rsidRPr="007B0FBC">
        <w:rPr>
          <w:rFonts w:ascii="Times New Roman" w:hAnsi="Times New Roman" w:cs="Times New Roman"/>
          <w:bCs/>
          <w:sz w:val="24"/>
          <w:szCs w:val="24"/>
          <w:lang w:val="es-PE"/>
        </w:rPr>
        <w:t>pdf</w:t>
      </w:r>
      <w:proofErr w:type="spellEnd"/>
      <w:r w:rsidRPr="007B0FBC">
        <w:rPr>
          <w:rFonts w:ascii="Times New Roman" w:hAnsi="Times New Roman" w:cs="Times New Roman"/>
          <w:bCs/>
          <w:sz w:val="24"/>
          <w:szCs w:val="24"/>
          <w:lang w:val="es-PE"/>
        </w:rPr>
        <w:t xml:space="preserve"> denominado “Certificado Seguro – Santander Espinoza” incompleto (compuesto únicamente de 4 hojas y donde no figuraban las coberturas) y el archivo </w:t>
      </w:r>
      <w:proofErr w:type="spellStart"/>
      <w:r w:rsidRPr="007B0FBC">
        <w:rPr>
          <w:rFonts w:ascii="Times New Roman" w:hAnsi="Times New Roman" w:cs="Times New Roman"/>
          <w:bCs/>
          <w:sz w:val="24"/>
          <w:szCs w:val="24"/>
          <w:lang w:val="es-PE"/>
        </w:rPr>
        <w:t>pdf</w:t>
      </w:r>
      <w:proofErr w:type="spellEnd"/>
      <w:r w:rsidRPr="007B0FBC">
        <w:rPr>
          <w:rFonts w:ascii="Times New Roman" w:hAnsi="Times New Roman" w:cs="Times New Roman"/>
          <w:bCs/>
          <w:sz w:val="24"/>
          <w:szCs w:val="24"/>
          <w:lang w:val="es-PE"/>
        </w:rPr>
        <w:t xml:space="preserve"> denominado “Póliza Matriz”, el cual no constituía la póliza suscrita entre la entidad contratante y la compañía de seguros sino un modelo de certificado de seguro en blanco. </w:t>
      </w:r>
    </w:p>
    <w:p w:rsidRPr="007B0FBC" w:rsidR="007B0FBC" w:rsidP="6C852812" w:rsidRDefault="007B0FBC" w14:paraId="1EB14533" w14:textId="7DF67427">
      <w:pPr>
        <w:jc w:val="both"/>
        <w:rPr>
          <w:rFonts w:ascii="Times New Roman" w:hAnsi="Times New Roman" w:cs="Times New Roman"/>
          <w:sz w:val="24"/>
          <w:szCs w:val="24"/>
          <w:lang w:val="en-US"/>
        </w:rPr>
      </w:pPr>
      <w:r w:rsidRPr="6C852812" w:rsidR="007B0FBC">
        <w:rPr>
          <w:rFonts w:ascii="Times New Roman" w:hAnsi="Times New Roman" w:cs="Times New Roman"/>
          <w:sz w:val="24"/>
          <w:szCs w:val="24"/>
          <w:lang w:val="en-US"/>
        </w:rPr>
        <w:t>No obstante, revisado dicho modelo (que indica a pie de página IC991- V6-</w:t>
      </w:r>
      <w:r w:rsidRPr="6C852812" w:rsidR="007B0FBC">
        <w:rPr>
          <w:rFonts w:ascii="Times New Roman" w:hAnsi="Times New Roman" w:cs="Times New Roman"/>
          <w:sz w:val="24"/>
          <w:szCs w:val="24"/>
          <w:lang w:val="en-US"/>
        </w:rPr>
        <w:t>Noviembre</w:t>
      </w:r>
      <w:r w:rsidRPr="6C852812" w:rsidR="007B0FBC">
        <w:rPr>
          <w:rFonts w:ascii="Times New Roman" w:hAnsi="Times New Roman" w:cs="Times New Roman"/>
          <w:sz w:val="24"/>
          <w:szCs w:val="24"/>
          <w:lang w:val="en-US"/>
        </w:rPr>
        <w:t xml:space="preserve"> 2018, esto es anterior a la contratación por parte de la reclamante</w:t>
      </w:r>
      <w:r w:rsidRPr="6C852812" w:rsidR="007B0FBC">
        <w:rPr>
          <w:rFonts w:ascii="Times New Roman" w:hAnsi="Times New Roman" w:cs="Times New Roman"/>
          <w:sz w:val="24"/>
          <w:szCs w:val="24"/>
          <w:lang w:val="en-US"/>
        </w:rPr>
        <w:t>) ,</w:t>
      </w:r>
      <w:r w:rsidRPr="6C852812" w:rsidR="007B0FBC">
        <w:rPr>
          <w:rFonts w:ascii="Times New Roman" w:hAnsi="Times New Roman" w:cs="Times New Roman"/>
          <w:sz w:val="24"/>
          <w:szCs w:val="24"/>
          <w:lang w:val="en-US"/>
        </w:rPr>
        <w:t xml:space="preserve"> se aprecia que la primera cobertura presenta el siguiente tenor, es decir sí contemplaba la cobertura respecto de cajeros automáticos y no solo limitada a establecimientos comerciales:</w:t>
      </w:r>
    </w:p>
    <w:p w:rsidRPr="007B0FBC" w:rsidR="007B0FBC" w:rsidP="007B0FBC" w:rsidRDefault="007B0FBC" w14:paraId="6E58923A" w14:textId="3E4CA3C9">
      <w:pPr>
        <w:jc w:val="both"/>
        <w:rPr>
          <w:rFonts w:ascii="Times New Roman" w:hAnsi="Times New Roman" w:cs="Times New Roman"/>
          <w:bCs/>
          <w:sz w:val="24"/>
          <w:szCs w:val="24"/>
        </w:rPr>
      </w:pPr>
      <w:r w:rsidRPr="007B0FBC">
        <w:rPr>
          <w:rFonts w:ascii="Times New Roman" w:hAnsi="Times New Roman" w:cs="Times New Roman"/>
          <w:noProof/>
          <w:sz w:val="24"/>
          <w:szCs w:val="24"/>
        </w:rPr>
        <w:drawing>
          <wp:inline distT="0" distB="0" distL="0" distR="0" wp14:anchorId="043E5145" wp14:editId="3AD10912">
            <wp:extent cx="4667250" cy="12858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0" cy="1285875"/>
                    </a:xfrm>
                    <a:prstGeom prst="rect">
                      <a:avLst/>
                    </a:prstGeom>
                    <a:noFill/>
                    <a:ln>
                      <a:noFill/>
                    </a:ln>
                  </pic:spPr>
                </pic:pic>
              </a:graphicData>
            </a:graphic>
          </wp:inline>
        </w:drawing>
      </w:r>
    </w:p>
    <w:p w:rsidRPr="007B0FBC" w:rsidR="007B0FBC" w:rsidP="007B0FBC" w:rsidRDefault="007B0FBC" w14:paraId="56EEA578" w14:textId="77777777">
      <w:pPr>
        <w:jc w:val="both"/>
        <w:rPr>
          <w:rFonts w:ascii="Times New Roman" w:hAnsi="Times New Roman" w:cs="Times New Roman"/>
          <w:bCs/>
          <w:sz w:val="24"/>
          <w:szCs w:val="24"/>
          <w:lang w:val="es-PE"/>
        </w:rPr>
      </w:pPr>
      <w:r w:rsidRPr="007B0FBC">
        <w:rPr>
          <w:rFonts w:ascii="Times New Roman" w:hAnsi="Times New Roman" w:cs="Times New Roman"/>
          <w:bCs/>
          <w:sz w:val="24"/>
          <w:szCs w:val="24"/>
          <w:lang w:val="es-PE"/>
        </w:rPr>
        <w:t>Asimismo, verificada la versión del certificado incompleto suscrito por la reclamante, se aprecia que la misma indica a pie de página IC991-v6-</w:t>
      </w:r>
      <w:proofErr w:type="gramStart"/>
      <w:r w:rsidRPr="007B0FBC">
        <w:rPr>
          <w:rFonts w:ascii="Times New Roman" w:hAnsi="Times New Roman" w:cs="Times New Roman"/>
          <w:bCs/>
          <w:sz w:val="24"/>
          <w:szCs w:val="24"/>
          <w:lang w:val="es-PE"/>
        </w:rPr>
        <w:t>Noviembre</w:t>
      </w:r>
      <w:proofErr w:type="gramEnd"/>
      <w:r w:rsidRPr="007B0FBC">
        <w:rPr>
          <w:rFonts w:ascii="Times New Roman" w:hAnsi="Times New Roman" w:cs="Times New Roman"/>
          <w:bCs/>
          <w:sz w:val="24"/>
          <w:szCs w:val="24"/>
          <w:lang w:val="es-PE"/>
        </w:rPr>
        <w:t xml:space="preserve"> 2018, esto es, sería la misma que corresponde al archivo póliza matriz presentado por la aseguradora. </w:t>
      </w:r>
    </w:p>
    <w:p w:rsidRPr="007B0FBC" w:rsidR="007B0FBC" w:rsidP="007B0FBC" w:rsidRDefault="007B0FBC" w14:paraId="14B7E6A8" w14:textId="171ACA48">
      <w:pPr>
        <w:jc w:val="both"/>
        <w:rPr>
          <w:rFonts w:ascii="Times New Roman" w:hAnsi="Times New Roman" w:cs="Times New Roman"/>
          <w:bCs/>
          <w:sz w:val="24"/>
          <w:szCs w:val="24"/>
          <w:lang w:val="es-PE"/>
        </w:rPr>
      </w:pPr>
      <w:r w:rsidRPr="007B0FBC">
        <w:rPr>
          <w:rFonts w:ascii="Times New Roman" w:hAnsi="Times New Roman" w:cs="Times New Roman"/>
          <w:bCs/>
          <w:sz w:val="24"/>
          <w:szCs w:val="24"/>
          <w:lang w:val="es-PE"/>
        </w:rPr>
        <w:t xml:space="preserve">La aseguradora al interponer el recurso impugnatorio no solo no ha presentado el certificado de seguro firmado completo donde figuren las coberturas efectivamente contratadas por la reclamante vigentes a junio 2019, sino que tampoco ha presentado la póliza matriz suscrita con la entidad financiera ni los endosos que de ser el caso se hubieran emitido, a fin de constatar las coberturas que se encontraban vigentes a la fecha de contratación del seguro y del siniestro. </w:t>
      </w:r>
    </w:p>
    <w:p w:rsidRPr="007B0FBC" w:rsidR="007B0FBC" w:rsidP="007B0FBC" w:rsidRDefault="007B0FBC" w14:paraId="397F8C78" w14:textId="768C9C8B">
      <w:pPr>
        <w:jc w:val="both"/>
        <w:rPr>
          <w:rFonts w:ascii="Times New Roman" w:hAnsi="Times New Roman" w:cs="Times New Roman"/>
          <w:bCs/>
          <w:sz w:val="24"/>
          <w:szCs w:val="24"/>
          <w:lang w:val="es-PE"/>
        </w:rPr>
      </w:pPr>
      <w:r w:rsidRPr="007B0FBC">
        <w:rPr>
          <w:rFonts w:ascii="Times New Roman" w:hAnsi="Times New Roman" w:cs="Times New Roman"/>
          <w:bCs/>
          <w:sz w:val="24"/>
          <w:szCs w:val="24"/>
          <w:lang w:val="es-PE"/>
        </w:rPr>
        <w:t>Por el contrario, del archivo denominado póliza matriz, que presentó con fecha 03 de noviembre de 2021 y que en realidad constituía un modelo de certificado de seguro sin firma, se verificaría que la versión vigente a noviembre 2018 (que constituye la misma versión que habría firmado la reclamante) sí contemplaba la cobertura respecto de cajeros automáticos.</w:t>
      </w:r>
    </w:p>
    <w:p w:rsidRPr="007B0FBC" w:rsidR="007B0FBC" w:rsidP="007B0FBC" w:rsidRDefault="007B0FBC" w14:paraId="4C13C522" w14:textId="31DA3B0B">
      <w:pPr>
        <w:jc w:val="both"/>
        <w:rPr>
          <w:rFonts w:ascii="Times New Roman" w:hAnsi="Times New Roman" w:cs="Times New Roman"/>
          <w:bCs/>
          <w:sz w:val="24"/>
          <w:szCs w:val="24"/>
          <w:lang w:val="es-PE"/>
        </w:rPr>
      </w:pPr>
      <w:r w:rsidRPr="007B0FBC">
        <w:rPr>
          <w:rFonts w:ascii="Times New Roman" w:hAnsi="Times New Roman" w:cs="Times New Roman"/>
          <w:bCs/>
          <w:sz w:val="24"/>
          <w:szCs w:val="24"/>
          <w:lang w:val="es-PE"/>
        </w:rPr>
        <w:t xml:space="preserve">En este, sentido este colegiado ratifica las consideraciones de la resolución emitida, copiadas a continuación, precisando que cuando se indica que no es suficiente presentar un certificado de seguro  sin firma del asegurado, debe entenderse que no es suficiente presentar un certificado de seguro firmado por el asegurado pero incompleto (donde no figuran las coberturas contratadas), así como tampoco es suficiente presentar un certificado de seguro completo pero sin la firma del asegurado (menos </w:t>
      </w:r>
      <w:proofErr w:type="spellStart"/>
      <w:r w:rsidRPr="007B0FBC">
        <w:rPr>
          <w:rFonts w:ascii="Times New Roman" w:hAnsi="Times New Roman" w:cs="Times New Roman"/>
          <w:bCs/>
          <w:sz w:val="24"/>
          <w:szCs w:val="24"/>
          <w:lang w:val="es-PE"/>
        </w:rPr>
        <w:t>aún</w:t>
      </w:r>
      <w:proofErr w:type="spellEnd"/>
      <w:r w:rsidRPr="007B0FBC">
        <w:rPr>
          <w:rFonts w:ascii="Times New Roman" w:hAnsi="Times New Roman" w:cs="Times New Roman"/>
          <w:bCs/>
          <w:sz w:val="24"/>
          <w:szCs w:val="24"/>
          <w:lang w:val="es-PE"/>
        </w:rPr>
        <w:t xml:space="preserve"> cuando es evidente que corresponde a una versión posterior a la contratación por parte de la reclamante, y cuando se ha constatado que el producto registrado ante la SBS sí contemplaba la cobertura respecto de cajeros automáticos y existía  una versión del certificado de seguro presentado por la propia aseguradora que también la recogía): </w:t>
      </w:r>
    </w:p>
    <w:p w:rsidRPr="007B0FBC" w:rsidR="007B0FBC" w:rsidP="6C852812" w:rsidRDefault="007B0FBC" w14:paraId="6BF42405" w14:textId="4E883C46">
      <w:pPr>
        <w:jc w:val="both"/>
        <w:rPr>
          <w:rFonts w:ascii="Times New Roman" w:hAnsi="Times New Roman" w:cs="Times New Roman"/>
          <w:sz w:val="24"/>
          <w:szCs w:val="24"/>
        </w:rPr>
      </w:pPr>
      <w:r w:rsidRPr="6C852812" w:rsidR="04C7283C">
        <w:rPr>
          <w:rFonts w:ascii="Times New Roman" w:hAnsi="Times New Roman" w:cs="Times New Roman"/>
          <w:sz w:val="24"/>
          <w:szCs w:val="24"/>
        </w:rPr>
        <w:t>......................................................................................................................................................</w:t>
      </w:r>
    </w:p>
    <w:p w:rsidRPr="007B0FBC" w:rsidR="007B0FBC" w:rsidP="007B0FBC" w:rsidRDefault="007B0FBC" w14:paraId="1016BB4C" w14:textId="77777777">
      <w:pPr>
        <w:jc w:val="both"/>
        <w:rPr>
          <w:rFonts w:ascii="Times New Roman" w:hAnsi="Times New Roman" w:cs="Times New Roman"/>
          <w:bCs/>
          <w:sz w:val="24"/>
          <w:szCs w:val="24"/>
        </w:rPr>
      </w:pPr>
    </w:p>
    <w:p w:rsidRPr="007875D5" w:rsidR="007B0FBC" w:rsidP="007B0FBC" w:rsidRDefault="007B0FBC" w14:paraId="744215C0" w14:textId="14F7212F">
      <w:pPr>
        <w:jc w:val="both"/>
        <w:rPr>
          <w:rFonts w:ascii="Times New Roman" w:hAnsi="Times New Roman" w:cs="Times New Roman"/>
          <w:bCs/>
          <w:sz w:val="24"/>
          <w:szCs w:val="24"/>
          <w:lang w:val="es-PE"/>
        </w:rPr>
      </w:pPr>
      <w:r w:rsidRPr="007B0FBC">
        <w:rPr>
          <w:rFonts w:ascii="Times New Roman" w:hAnsi="Times New Roman" w:cs="Times New Roman"/>
          <w:bCs/>
          <w:sz w:val="24"/>
          <w:szCs w:val="24"/>
          <w:lang w:val="es-PE"/>
        </w:rPr>
        <w:t>En atención a las consideraciones precedentes, ratificando el análisis y conclusión contenidos en la resolución recurrida, este colegiado aprecia que no existe mérito para revocar la resolución recurrida; por lo tanto,</w:t>
      </w:r>
    </w:p>
    <w:p w:rsidRPr="007875D5" w:rsidR="007B0FBC" w:rsidP="007B0FBC" w:rsidRDefault="007B0FBC" w14:paraId="655C1A49" w14:textId="3BF21BF1">
      <w:pPr>
        <w:jc w:val="both"/>
        <w:rPr>
          <w:rFonts w:ascii="Times New Roman" w:hAnsi="Times New Roman" w:cs="Times New Roman"/>
          <w:b/>
          <w:sz w:val="24"/>
          <w:szCs w:val="24"/>
          <w:lang w:val="es-PE"/>
        </w:rPr>
      </w:pPr>
      <w:r w:rsidRPr="007B0FBC">
        <w:rPr>
          <w:rFonts w:ascii="Times New Roman" w:hAnsi="Times New Roman" w:cs="Times New Roman"/>
          <w:b/>
          <w:sz w:val="24"/>
          <w:szCs w:val="24"/>
          <w:lang w:val="es-PE"/>
        </w:rPr>
        <w:t>RESUELVE:</w:t>
      </w:r>
    </w:p>
    <w:p w:rsidRPr="007B0FBC" w:rsidR="007B0FBC" w:rsidP="007B0FBC" w:rsidRDefault="007B0FBC" w14:paraId="196961C0" w14:textId="77777777">
      <w:pPr>
        <w:jc w:val="both"/>
        <w:rPr>
          <w:rFonts w:ascii="Times New Roman" w:hAnsi="Times New Roman" w:cs="Times New Roman"/>
          <w:bCs/>
          <w:sz w:val="24"/>
          <w:szCs w:val="24"/>
          <w:lang w:val="es-PE"/>
        </w:rPr>
      </w:pPr>
      <w:r w:rsidRPr="007B0FBC">
        <w:rPr>
          <w:rFonts w:ascii="Times New Roman" w:hAnsi="Times New Roman" w:eastAsia="Arial Unicode MS" w:cs="Times New Roman"/>
          <w:bCs/>
          <w:sz w:val="24"/>
          <w:szCs w:val="24"/>
          <w:lang w:val="es-PE"/>
        </w:rPr>
        <w:t xml:space="preserve">Declarar </w:t>
      </w:r>
      <w:r w:rsidRPr="007B0FBC">
        <w:rPr>
          <w:rFonts w:ascii="Times New Roman" w:hAnsi="Times New Roman" w:eastAsia="Arial Unicode MS" w:cs="Times New Roman"/>
          <w:b/>
          <w:sz w:val="24"/>
          <w:szCs w:val="24"/>
          <w:lang w:val="es-PE"/>
        </w:rPr>
        <w:t>INFUNDADO</w:t>
      </w:r>
      <w:r w:rsidRPr="007B0FBC">
        <w:rPr>
          <w:rFonts w:ascii="Times New Roman" w:hAnsi="Times New Roman" w:eastAsia="Arial Unicode MS" w:cs="Times New Roman"/>
          <w:bCs/>
          <w:sz w:val="24"/>
          <w:szCs w:val="24"/>
          <w:lang w:val="es-PE"/>
        </w:rPr>
        <w:t xml:space="preserve"> el recurso de impugnación interpuesto y, por consiguiente, </w:t>
      </w:r>
      <w:r w:rsidRPr="007B0FBC">
        <w:rPr>
          <w:rFonts w:ascii="Times New Roman" w:hAnsi="Times New Roman" w:eastAsia="Arial Unicode MS" w:cs="Times New Roman"/>
          <w:b/>
          <w:sz w:val="24"/>
          <w:szCs w:val="24"/>
          <w:lang w:val="es-PE"/>
        </w:rPr>
        <w:t>CONFIRMAR</w:t>
      </w:r>
      <w:r w:rsidRPr="007B0FBC">
        <w:rPr>
          <w:rFonts w:ascii="Times New Roman" w:hAnsi="Times New Roman" w:eastAsia="Arial Unicode MS" w:cs="Times New Roman"/>
          <w:bCs/>
          <w:sz w:val="24"/>
          <w:szCs w:val="24"/>
          <w:lang w:val="es-PE"/>
        </w:rPr>
        <w:t xml:space="preserve"> la Resolución Nro. 158/21 de fecha 12 de noviembre de 2021</w:t>
      </w:r>
      <w:r w:rsidRPr="007B0FBC">
        <w:rPr>
          <w:rFonts w:ascii="Times New Roman" w:hAnsi="Times New Roman" w:cs="Times New Roman"/>
          <w:bCs/>
          <w:sz w:val="24"/>
          <w:szCs w:val="24"/>
          <w:lang w:val="es-PE"/>
        </w:rPr>
        <w:t>.</w:t>
      </w:r>
    </w:p>
    <w:p w:rsidRPr="007B0FBC" w:rsidR="007B0FBC" w:rsidP="007B0FBC" w:rsidRDefault="007B0FBC" w14:paraId="7AD7C68F" w14:textId="77777777">
      <w:pPr>
        <w:jc w:val="both"/>
        <w:rPr>
          <w:rFonts w:ascii="Times New Roman" w:hAnsi="Times New Roman" w:cs="Times New Roman"/>
          <w:sz w:val="24"/>
          <w:szCs w:val="24"/>
          <w:lang w:val="es-PE"/>
        </w:rPr>
      </w:pPr>
    </w:p>
    <w:p w:rsidRPr="007B0FBC"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7B0FBC" w:rsidR="00C671F5" w:rsidP="005E398E" w:rsidRDefault="0091528B" w14:paraId="486C3F46" w14:textId="197BF899">
      <w:pPr>
        <w:suppressAutoHyphens/>
        <w:spacing w:after="0" w:line="240" w:lineRule="auto"/>
        <w:jc w:val="right"/>
        <w:outlineLvl w:val="0"/>
        <w:rPr>
          <w:rFonts w:ascii="Times New Roman" w:hAnsi="Times New Roman" w:eastAsia="Arial Unicode MS" w:cs="Times New Roman"/>
          <w:sz w:val="24"/>
          <w:szCs w:val="24"/>
          <w:lang w:val="es-PE" w:eastAsia="ar-SA"/>
        </w:rPr>
      </w:pPr>
      <w:r w:rsidRPr="007B0FBC">
        <w:rPr>
          <w:rFonts w:ascii="Times New Roman" w:hAnsi="Times New Roman" w:eastAsia="Arial Unicode MS" w:cs="Times New Roman"/>
          <w:sz w:val="24"/>
          <w:szCs w:val="24"/>
          <w:lang w:val="es-PE" w:eastAsia="ar-SA"/>
        </w:rPr>
        <w:t xml:space="preserve">Lima, </w:t>
      </w:r>
      <w:r w:rsidRPr="007B0FBC" w:rsidR="002B632C">
        <w:rPr>
          <w:rFonts w:ascii="Times New Roman" w:hAnsi="Times New Roman" w:eastAsia="Arial Unicode MS" w:cs="Times New Roman"/>
          <w:sz w:val="24"/>
          <w:szCs w:val="24"/>
          <w:lang w:val="es-PE" w:eastAsia="ar-SA"/>
        </w:rPr>
        <w:t>06</w:t>
      </w:r>
      <w:r w:rsidRPr="007B0FBC" w:rsidR="00DD21B2">
        <w:rPr>
          <w:rFonts w:ascii="Times New Roman" w:hAnsi="Times New Roman" w:eastAsia="Arial Unicode MS" w:cs="Times New Roman"/>
          <w:sz w:val="24"/>
          <w:szCs w:val="24"/>
          <w:lang w:val="es-PE" w:eastAsia="ar-SA"/>
        </w:rPr>
        <w:t xml:space="preserve"> </w:t>
      </w:r>
      <w:r w:rsidRPr="007B0FBC" w:rsidR="00707C99">
        <w:rPr>
          <w:rFonts w:ascii="Times New Roman" w:hAnsi="Times New Roman" w:eastAsia="Arial Unicode MS" w:cs="Times New Roman"/>
          <w:sz w:val="24"/>
          <w:szCs w:val="24"/>
          <w:lang w:val="es-PE" w:eastAsia="ar-SA"/>
        </w:rPr>
        <w:t>de</w:t>
      </w:r>
      <w:r w:rsidRPr="007B0FBC" w:rsidR="00864B0B">
        <w:rPr>
          <w:rFonts w:ascii="Times New Roman" w:hAnsi="Times New Roman" w:eastAsia="Arial Unicode MS" w:cs="Times New Roman"/>
          <w:sz w:val="24"/>
          <w:szCs w:val="24"/>
          <w:lang w:val="es-PE" w:eastAsia="ar-SA"/>
        </w:rPr>
        <w:t xml:space="preserve"> </w:t>
      </w:r>
      <w:r w:rsidRPr="007B0FBC" w:rsidR="002B632C">
        <w:rPr>
          <w:rFonts w:ascii="Times New Roman" w:hAnsi="Times New Roman" w:eastAsia="Arial Unicode MS" w:cs="Times New Roman"/>
          <w:sz w:val="24"/>
          <w:szCs w:val="24"/>
          <w:lang w:val="es-PE" w:eastAsia="ar-SA"/>
        </w:rPr>
        <w:t>diciembre</w:t>
      </w:r>
      <w:r w:rsidRPr="007B0FBC" w:rsidR="00F06498">
        <w:rPr>
          <w:rFonts w:ascii="Times New Roman" w:hAnsi="Times New Roman" w:eastAsia="Arial Unicode MS" w:cs="Times New Roman"/>
          <w:sz w:val="24"/>
          <w:szCs w:val="24"/>
          <w:lang w:val="es-PE" w:eastAsia="ar-SA"/>
        </w:rPr>
        <w:t xml:space="preserve"> de 202</w:t>
      </w:r>
      <w:r w:rsidRPr="007B0FBC" w:rsidR="00231C58">
        <w:rPr>
          <w:rFonts w:ascii="Times New Roman" w:hAnsi="Times New Roman" w:eastAsia="Arial Unicode MS" w:cs="Times New Roman"/>
          <w:sz w:val="24"/>
          <w:szCs w:val="24"/>
          <w:lang w:val="es-PE" w:eastAsia="ar-SA"/>
        </w:rPr>
        <w:t>1</w:t>
      </w:r>
      <w:r w:rsidRPr="007B0FBC" w:rsidR="00707C99">
        <w:rPr>
          <w:rFonts w:ascii="Times New Roman" w:hAnsi="Times New Roman" w:eastAsia="Times New Roman" w:cs="Times New Roman"/>
          <w:sz w:val="24"/>
          <w:szCs w:val="24"/>
          <w:lang w:val="es-PE" w:eastAsia="ar-SA"/>
        </w:rPr>
        <w:t xml:space="preserve"> </w:t>
      </w:r>
    </w:p>
    <w:p w:rsidRPr="007B0FBC"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7B0FBC"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7B0FB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7B0FBC" w:rsidR="009F3DD4" w:rsidP="007068AE" w:rsidRDefault="009F3DD4" w14:paraId="451211B4" w14:textId="3761F828">
      <w:pPr>
        <w:spacing w:after="0" w:line="360" w:lineRule="auto"/>
        <w:rPr>
          <w:rFonts w:ascii="Times New Roman" w:hAnsi="Times New Roman" w:cs="Times New Roman"/>
          <w:b/>
          <w:bCs/>
          <w:sz w:val="24"/>
          <w:szCs w:val="24"/>
          <w:lang w:val="es-PE"/>
        </w:rPr>
      </w:pPr>
    </w:p>
    <w:p w:rsidRPr="007B0FBC" w:rsidR="00A54D6A" w:rsidP="00A54D6A" w:rsidRDefault="00A54D6A" w14:paraId="426B34DE" w14:textId="77777777">
      <w:pPr>
        <w:spacing w:after="0" w:line="360" w:lineRule="auto"/>
        <w:jc w:val="center"/>
        <w:rPr>
          <w:rFonts w:ascii="Times New Roman" w:hAnsi="Times New Roman" w:cs="Times New Roman"/>
          <w:b/>
          <w:bCs/>
          <w:sz w:val="24"/>
          <w:szCs w:val="24"/>
          <w:lang w:val="es-PE"/>
        </w:rPr>
      </w:pPr>
      <w:r w:rsidRPr="007B0FBC">
        <w:rPr>
          <w:rFonts w:ascii="Times New Roman" w:hAnsi="Times New Roman" w:cs="Times New Roman"/>
          <w:b/>
          <w:bCs/>
          <w:sz w:val="24"/>
          <w:szCs w:val="24"/>
          <w:lang w:val="es-PE"/>
        </w:rPr>
        <w:t xml:space="preserve">Rolando Eyzaguirre </w:t>
      </w:r>
      <w:proofErr w:type="spellStart"/>
      <w:r w:rsidRPr="007B0FBC">
        <w:rPr>
          <w:rFonts w:ascii="Times New Roman" w:hAnsi="Times New Roman" w:cs="Times New Roman"/>
          <w:b/>
          <w:bCs/>
          <w:sz w:val="24"/>
          <w:szCs w:val="24"/>
          <w:lang w:val="es-PE"/>
        </w:rPr>
        <w:t>Maccan</w:t>
      </w:r>
      <w:proofErr w:type="spellEnd"/>
      <w:r w:rsidRPr="007B0FBC">
        <w:rPr>
          <w:rFonts w:ascii="Times New Roman" w:hAnsi="Times New Roman" w:cs="Times New Roman"/>
          <w:b/>
          <w:bCs/>
          <w:sz w:val="24"/>
          <w:szCs w:val="24"/>
          <w:lang w:val="es-PE"/>
        </w:rPr>
        <w:t xml:space="preserve"> – </w:t>
      </w:r>
      <w:proofErr w:type="gramStart"/>
      <w:r w:rsidRPr="007B0FBC">
        <w:rPr>
          <w:rFonts w:ascii="Times New Roman" w:hAnsi="Times New Roman" w:cs="Times New Roman"/>
          <w:b/>
          <w:bCs/>
          <w:sz w:val="24"/>
          <w:szCs w:val="24"/>
          <w:lang w:val="es-PE"/>
        </w:rPr>
        <w:t>Presidente</w:t>
      </w:r>
      <w:proofErr w:type="gramEnd"/>
    </w:p>
    <w:p w:rsidRPr="007B0FBC"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7B0FBC">
        <w:rPr>
          <w:rFonts w:ascii="Times New Roman" w:hAnsi="Times New Roman" w:cs="Times New Roman"/>
          <w:b/>
          <w:bCs/>
          <w:sz w:val="24"/>
          <w:szCs w:val="24"/>
          <w:lang w:val="es-PE"/>
        </w:rPr>
        <w:t>Marco Antonio Ortega Piana – Vocal</w:t>
      </w:r>
    </w:p>
    <w:p w:rsidRPr="007B0FBC"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7B0FBC">
        <w:rPr>
          <w:rFonts w:ascii="Times New Roman" w:hAnsi="Times New Roman" w:cs="Times New Roman"/>
          <w:b/>
          <w:bCs/>
          <w:sz w:val="24"/>
          <w:szCs w:val="24"/>
          <w:lang w:val="es-PE"/>
        </w:rPr>
        <w:t xml:space="preserve">Gonzalo Abad del Busto </w:t>
      </w:r>
      <w:r w:rsidRPr="007B0FBC" w:rsidR="00231C58">
        <w:rPr>
          <w:rFonts w:ascii="Times New Roman" w:hAnsi="Times New Roman" w:cs="Times New Roman"/>
          <w:b/>
          <w:bCs/>
          <w:sz w:val="24"/>
          <w:szCs w:val="24"/>
          <w:lang w:val="es-PE"/>
        </w:rPr>
        <w:t xml:space="preserve">– </w:t>
      </w:r>
      <w:r w:rsidRPr="007B0FBC">
        <w:rPr>
          <w:rFonts w:ascii="Times New Roman" w:hAnsi="Times New Roman" w:cs="Times New Roman"/>
          <w:b/>
          <w:bCs/>
          <w:sz w:val="24"/>
          <w:szCs w:val="24"/>
          <w:lang w:val="es-PE"/>
        </w:rPr>
        <w:t>Vocal</w:t>
      </w:r>
    </w:p>
    <w:p w:rsidRPr="00ED2911" w:rsidR="00C671F5" w:rsidP="004A374A" w:rsidRDefault="00C671F5" w14:paraId="33E0FAB8" w14:textId="77777777">
      <w:pPr>
        <w:suppressAutoHyphens/>
        <w:spacing w:after="0" w:line="240" w:lineRule="auto"/>
        <w:outlineLvl w:val="0"/>
        <w:rPr>
          <w:rFonts w:ascii="Times New Roman" w:hAnsi="Times New Roman" w:eastAsia="Arial Unicode MS" w:cs="Times New Roman"/>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12"/>
      <w:footerReference w:type="defaul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12D7" w:rsidP="00784355" w:rsidRDefault="00C812D7" w14:paraId="6B7A450A" w14:textId="77777777">
      <w:pPr>
        <w:spacing w:after="0" w:line="240" w:lineRule="auto"/>
      </w:pPr>
      <w:r>
        <w:separator/>
      </w:r>
    </w:p>
  </w:endnote>
  <w:endnote w:type="continuationSeparator" w:id="0">
    <w:p w:rsidR="00C812D7" w:rsidP="00784355" w:rsidRDefault="00C812D7" w14:paraId="386D3C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12D7" w:rsidP="00784355" w:rsidRDefault="00C812D7" w14:paraId="04F73A44" w14:textId="77777777">
      <w:pPr>
        <w:spacing w:after="0" w:line="240" w:lineRule="auto"/>
      </w:pPr>
      <w:r>
        <w:separator/>
      </w:r>
    </w:p>
  </w:footnote>
  <w:footnote w:type="continuationSeparator" w:id="0">
    <w:p w:rsidR="00C812D7" w:rsidP="00784355" w:rsidRDefault="00C812D7" w14:paraId="0AC08D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0EB29E9"/>
    <w:multiLevelType w:val="hybridMultilevel"/>
    <w:tmpl w:val="BCEA00BA"/>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5"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DD5286F"/>
    <w:multiLevelType w:val="hybridMultilevel"/>
    <w:tmpl w:val="1D440D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6"/>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5"/>
  </w:num>
  <w:num w:numId="9">
    <w:abstractNumId w:val="11"/>
  </w:num>
  <w:num w:numId="10">
    <w:abstractNumId w:val="10"/>
  </w:num>
  <w:num w:numId="11">
    <w:abstractNumId w:val="2"/>
  </w:num>
  <w:num w:numId="12">
    <w:abstractNumId w:val="12"/>
  </w:num>
  <w:num w:numId="13">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3BC4"/>
    <w:rsid w:val="000345DA"/>
    <w:rsid w:val="00037922"/>
    <w:rsid w:val="00044519"/>
    <w:rsid w:val="0004480C"/>
    <w:rsid w:val="0004492D"/>
    <w:rsid w:val="00053D16"/>
    <w:rsid w:val="00056D9F"/>
    <w:rsid w:val="00062040"/>
    <w:rsid w:val="00063183"/>
    <w:rsid w:val="0006548C"/>
    <w:rsid w:val="00065F91"/>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1C82"/>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632C"/>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77F22"/>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26E08"/>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8AE"/>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875D5"/>
    <w:rsid w:val="007906AF"/>
    <w:rsid w:val="00794424"/>
    <w:rsid w:val="007950DD"/>
    <w:rsid w:val="007965C0"/>
    <w:rsid w:val="007A09BB"/>
    <w:rsid w:val="007A4108"/>
    <w:rsid w:val="007A4EA9"/>
    <w:rsid w:val="007A7F95"/>
    <w:rsid w:val="007B0FBC"/>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5BB9"/>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056A"/>
    <w:rsid w:val="008C1DD6"/>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0C12"/>
    <w:rsid w:val="00A427D6"/>
    <w:rsid w:val="00A46E96"/>
    <w:rsid w:val="00A51F2A"/>
    <w:rsid w:val="00A54D6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B33"/>
    <w:rsid w:val="00AD1FEC"/>
    <w:rsid w:val="00AD2DF1"/>
    <w:rsid w:val="00AE4125"/>
    <w:rsid w:val="00AF16B6"/>
    <w:rsid w:val="00AF5E87"/>
    <w:rsid w:val="00B00552"/>
    <w:rsid w:val="00B02BEE"/>
    <w:rsid w:val="00B115C4"/>
    <w:rsid w:val="00B11C1C"/>
    <w:rsid w:val="00B135AC"/>
    <w:rsid w:val="00B17BD8"/>
    <w:rsid w:val="00B30B53"/>
    <w:rsid w:val="00B313E9"/>
    <w:rsid w:val="00B32325"/>
    <w:rsid w:val="00B340A4"/>
    <w:rsid w:val="00B40968"/>
    <w:rsid w:val="00B45C2D"/>
    <w:rsid w:val="00B50C90"/>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05CB4"/>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12D7"/>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2FEE"/>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77303"/>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02900D7C"/>
    <w:rsid w:val="04C7283C"/>
    <w:rsid w:val="0AA4AAAE"/>
    <w:rsid w:val="13BCDE65"/>
    <w:rsid w:val="23301D38"/>
    <w:rsid w:val="26DCD932"/>
    <w:rsid w:val="48794FB5"/>
    <w:rsid w:val="52AC8ED3"/>
    <w:rsid w:val="54DF0656"/>
    <w:rsid w:val="6C852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uiPriority w:val="22"/>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 w:type="paragraph" w:styleId="Textonotapie">
    <w:name w:val="footnote text"/>
    <w:basedOn w:val="Normal"/>
    <w:link w:val="TextonotapieCar"/>
    <w:uiPriority w:val="99"/>
    <w:rsid w:val="008C1DD6"/>
    <w:pPr>
      <w:suppressAutoHyphens/>
      <w:spacing w:after="0" w:line="240" w:lineRule="auto"/>
    </w:pPr>
    <w:rPr>
      <w:rFonts w:ascii="Times New Roman" w:hAnsi="Times New Roman" w:eastAsia="Times New Roman" w:cs="Times New Roman"/>
      <w:sz w:val="24"/>
      <w:szCs w:val="24"/>
      <w:lang w:val="es-ES" w:eastAsia="ar-SA"/>
    </w:rPr>
  </w:style>
  <w:style w:type="character" w:styleId="TextonotapieCar" w:customStyle="1">
    <w:name w:val="Texto nota pie Car"/>
    <w:basedOn w:val="Fuentedeprrafopredeter"/>
    <w:link w:val="Textonotapie"/>
    <w:uiPriority w:val="99"/>
    <w:rsid w:val="008C1DD6"/>
    <w:rPr>
      <w:rFonts w:ascii="Times New Roman" w:hAnsi="Times New Roman" w:eastAsia="Times New Roman" w:cs="Times New Roman"/>
      <w:sz w:val="24"/>
      <w:szCs w:val="24"/>
      <w:lang w:val="es-ES" w:eastAsia="ar-SA"/>
    </w:rPr>
  </w:style>
  <w:style w:type="character" w:styleId="Refdenotaalpie">
    <w:name w:val="footnote reference"/>
    <w:uiPriority w:val="99"/>
    <w:unhideWhenUsed/>
    <w:rsid w:val="008C1D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82382150">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684283126">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5ED3B62-FB81-4C3E-B5E9-98D5DF03B645}"/>
</file>

<file path=customXml/itemProps3.xml><?xml version="1.0" encoding="utf-8"?>
<ds:datastoreItem xmlns:ds="http://schemas.openxmlformats.org/officeDocument/2006/customXml" ds:itemID="{3512CEAC-9921-4696-9222-D453610DFF91}"/>
</file>

<file path=customXml/itemProps4.xml><?xml version="1.0" encoding="utf-8"?>
<ds:datastoreItem xmlns:ds="http://schemas.openxmlformats.org/officeDocument/2006/customXml" ds:itemID="{10028BFA-6B61-473D-A890-E2171A5991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111</cp:revision>
  <cp:lastPrinted>2021-12-07T01:31:00Z</cp:lastPrinted>
  <dcterms:created xsi:type="dcterms:W3CDTF">2020-12-18T20:17:00Z</dcterms:created>
  <dcterms:modified xsi:type="dcterms:W3CDTF">2026-02-04T20:59:07Z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