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B6350" w:rsidR="00A40C12" w:rsidP="00A40C12" w:rsidRDefault="00201C0D" w14:paraId="24829FCB" w14:textId="2F7D1133">
      <w:pPr>
        <w:pStyle w:val="Ttulo2"/>
        <w:jc w:val="center"/>
        <w:rPr>
          <w:rFonts w:ascii="Times New Roman" w:hAnsi="Times New Roman" w:cs="Times New Roman"/>
          <w:b/>
          <w:bCs/>
          <w:color w:val="auto"/>
          <w:sz w:val="24"/>
          <w:szCs w:val="24"/>
          <w:lang w:val="es-PE" w:eastAsia="ar-SA"/>
        </w:rPr>
      </w:pPr>
      <w:r w:rsidRPr="000B6350">
        <w:rPr>
          <w:rFonts w:ascii="Times New Roman" w:hAnsi="Times New Roman" w:cs="Times New Roman"/>
          <w:b/>
          <w:bCs/>
          <w:color w:val="auto"/>
          <w:sz w:val="24"/>
          <w:szCs w:val="24"/>
          <w:lang w:val="es-PE" w:eastAsia="ar-SA"/>
        </w:rPr>
        <w:t xml:space="preserve">RESOLUCIÓN DE RECURSO IMPUGNATIVO </w:t>
      </w:r>
      <w:r w:rsidRPr="000B6350" w:rsidR="00707C99">
        <w:rPr>
          <w:rFonts w:ascii="Times New Roman" w:hAnsi="Times New Roman" w:cs="Times New Roman"/>
          <w:b/>
          <w:bCs/>
          <w:color w:val="auto"/>
          <w:sz w:val="24"/>
          <w:szCs w:val="24"/>
          <w:lang w:val="es-PE" w:eastAsia="ar-SA"/>
        </w:rPr>
        <w:t xml:space="preserve">N° </w:t>
      </w:r>
      <w:r w:rsidRPr="000B6350" w:rsidR="00C671F5">
        <w:rPr>
          <w:rFonts w:ascii="Times New Roman" w:hAnsi="Times New Roman" w:cs="Times New Roman"/>
          <w:b/>
          <w:bCs/>
          <w:color w:val="auto"/>
          <w:sz w:val="24"/>
          <w:szCs w:val="24"/>
          <w:lang w:val="es-PE" w:eastAsia="ar-SA"/>
        </w:rPr>
        <w:t>0</w:t>
      </w:r>
      <w:r w:rsidRPr="000B6350" w:rsidR="00065F91">
        <w:rPr>
          <w:rFonts w:ascii="Times New Roman" w:hAnsi="Times New Roman" w:cs="Times New Roman"/>
          <w:b/>
          <w:bCs/>
          <w:color w:val="auto"/>
          <w:sz w:val="24"/>
          <w:szCs w:val="24"/>
          <w:lang w:val="es-PE" w:eastAsia="ar-SA"/>
        </w:rPr>
        <w:t>6</w:t>
      </w:r>
      <w:r w:rsidR="007C64F8">
        <w:rPr>
          <w:rFonts w:ascii="Times New Roman" w:hAnsi="Times New Roman" w:cs="Times New Roman"/>
          <w:b/>
          <w:bCs/>
          <w:color w:val="auto"/>
          <w:sz w:val="24"/>
          <w:szCs w:val="24"/>
          <w:lang w:val="es-PE" w:eastAsia="ar-SA"/>
        </w:rPr>
        <w:t>6</w:t>
      </w:r>
      <w:r w:rsidRPr="000B6350" w:rsidR="00517CFF">
        <w:rPr>
          <w:rFonts w:ascii="Times New Roman" w:hAnsi="Times New Roman" w:cs="Times New Roman"/>
          <w:b/>
          <w:bCs/>
          <w:color w:val="auto"/>
          <w:sz w:val="24"/>
          <w:szCs w:val="24"/>
          <w:lang w:val="es-PE" w:eastAsia="ar-SA"/>
        </w:rPr>
        <w:t>/</w:t>
      </w:r>
      <w:r w:rsidRPr="000B6350" w:rsidR="00C671F5">
        <w:rPr>
          <w:rFonts w:ascii="Times New Roman" w:hAnsi="Times New Roman" w:cs="Times New Roman"/>
          <w:b/>
          <w:bCs/>
          <w:color w:val="auto"/>
          <w:sz w:val="24"/>
          <w:szCs w:val="24"/>
          <w:lang w:val="es-PE" w:eastAsia="ar-SA"/>
        </w:rPr>
        <w:t>2</w:t>
      </w:r>
      <w:r w:rsidRPr="000B6350" w:rsidR="00231C58">
        <w:rPr>
          <w:rFonts w:ascii="Times New Roman" w:hAnsi="Times New Roman" w:cs="Times New Roman"/>
          <w:b/>
          <w:bCs/>
          <w:color w:val="auto"/>
          <w:sz w:val="24"/>
          <w:szCs w:val="24"/>
          <w:lang w:val="es-PE" w:eastAsia="ar-SA"/>
        </w:rPr>
        <w:t>1</w:t>
      </w:r>
    </w:p>
    <w:p w:rsidR="000B6350" w:rsidP="000B6350" w:rsidRDefault="000B6350" w14:paraId="393EEDB7" w14:textId="77777777">
      <w:pPr>
        <w:jc w:val="both"/>
        <w:outlineLvl w:val="0"/>
        <w:rPr>
          <w:rFonts w:ascii="Times New Roman" w:hAnsi="Times New Roman" w:cs="Times New Roman"/>
          <w:sz w:val="24"/>
          <w:szCs w:val="24"/>
          <w:lang w:val="es-PE" w:eastAsia="ar-SA"/>
        </w:rPr>
      </w:pPr>
    </w:p>
    <w:p w:rsidRPr="000B6350" w:rsidR="000B6350" w:rsidP="000B6350" w:rsidRDefault="000B6350" w14:paraId="27C18786" w14:textId="74429444">
      <w:pPr>
        <w:jc w:val="both"/>
        <w:outlineLvl w:val="0"/>
        <w:rPr>
          <w:rFonts w:ascii="Times New Roman" w:hAnsi="Times New Roman" w:cs="Times New Roman"/>
          <w:b/>
          <w:sz w:val="24"/>
          <w:szCs w:val="24"/>
          <w:lang w:val="es-MX"/>
        </w:rPr>
      </w:pPr>
      <w:r w:rsidRPr="000B6350">
        <w:rPr>
          <w:rFonts w:ascii="Times New Roman" w:hAnsi="Times New Roman" w:cs="Times New Roman"/>
          <w:b/>
          <w:sz w:val="24"/>
          <w:szCs w:val="24"/>
          <w:lang w:val="es-MX"/>
        </w:rPr>
        <w:t>VISTOS:</w:t>
      </w:r>
    </w:p>
    <w:p w:rsidRPr="000B6350" w:rsidR="000B6350" w:rsidP="6587892C" w:rsidRDefault="000B6350" w14:paraId="25FE638C" w14:textId="34E8085E">
      <w:pPr>
        <w:jc w:val="both"/>
        <w:rPr>
          <w:rFonts w:ascii="Times New Roman" w:hAnsi="Times New Roman" w:cs="Times New Roman"/>
          <w:sz w:val="24"/>
          <w:szCs w:val="24"/>
          <w:lang w:val="es-PE"/>
        </w:rPr>
      </w:pPr>
      <w:r w:rsidRPr="6587892C" w:rsidR="000B6350">
        <w:rPr>
          <w:rFonts w:ascii="Times New Roman" w:hAnsi="Times New Roman" w:cs="Times New Roman"/>
          <w:sz w:val="24"/>
          <w:szCs w:val="24"/>
          <w:lang w:val="es-PE"/>
        </w:rPr>
        <w:t xml:space="preserve">El recurso de impugnación presentado el 29 de noviembre de 2021 por </w:t>
      </w:r>
      <w:r w:rsidRPr="6587892C" w:rsidR="115CB7CE">
        <w:rPr>
          <w:rFonts w:ascii="Times New Roman" w:hAnsi="Times New Roman" w:cs="Times New Roman"/>
          <w:sz w:val="24"/>
          <w:szCs w:val="24"/>
          <w:lang w:val="es-PE"/>
        </w:rPr>
        <w:t>..........................................</w:t>
      </w:r>
      <w:r w:rsidRPr="6587892C" w:rsidR="000B6350">
        <w:rPr>
          <w:rFonts w:ascii="Times New Roman" w:hAnsi="Times New Roman" w:cs="Times New Roman"/>
          <w:sz w:val="24"/>
          <w:szCs w:val="24"/>
          <w:lang w:val="es-PE"/>
        </w:rPr>
        <w:t xml:space="preserve"> respecto de la Resolución Nro. 162/21 de fecha 22 de noviembre de 2021, expedida por esta Defensoría del Asegurado (DEFASEG), conforme a la cual se declaró </w:t>
      </w:r>
      <w:r w:rsidRPr="6587892C" w:rsidR="000B6350">
        <w:rPr>
          <w:rFonts w:ascii="Times New Roman" w:hAnsi="Times New Roman" w:cs="Times New Roman"/>
          <w:b w:val="1"/>
          <w:bCs w:val="1"/>
          <w:sz w:val="24"/>
          <w:szCs w:val="24"/>
          <w:lang w:val="es-PE"/>
        </w:rPr>
        <w:t xml:space="preserve">FUNDADA </w:t>
      </w:r>
      <w:r w:rsidRPr="6587892C" w:rsidR="000B6350">
        <w:rPr>
          <w:rFonts w:ascii="Times New Roman" w:hAnsi="Times New Roman" w:cs="Times New Roman"/>
          <w:sz w:val="24"/>
          <w:szCs w:val="24"/>
          <w:lang w:val="es-PE"/>
        </w:rPr>
        <w:t xml:space="preserve">la reclamación interpuesta por don </w:t>
      </w:r>
      <w:r w:rsidRPr="6587892C" w:rsidR="4B0DA5D9">
        <w:rPr>
          <w:rFonts w:ascii="Times New Roman" w:hAnsi="Times New Roman" w:cs="Times New Roman"/>
          <w:sz w:val="24"/>
          <w:szCs w:val="24"/>
          <w:lang w:val="es-PE"/>
        </w:rPr>
        <w:t>..........................................</w:t>
      </w:r>
      <w:r w:rsidRPr="6587892C" w:rsidR="000B6350">
        <w:rPr>
          <w:rFonts w:ascii="Times New Roman" w:hAnsi="Times New Roman" w:cs="Times New Roman"/>
          <w:sz w:val="24"/>
          <w:szCs w:val="24"/>
          <w:lang w:val="es-PE"/>
        </w:rPr>
        <w:t xml:space="preserve"> </w:t>
      </w:r>
      <w:r w:rsidRPr="6587892C" w:rsidR="750549B6">
        <w:rPr>
          <w:rFonts w:ascii="Times New Roman" w:hAnsi="Times New Roman" w:cs="Times New Roman"/>
          <w:sz w:val="24"/>
          <w:szCs w:val="24"/>
          <w:lang w:val="es-PE"/>
        </w:rPr>
        <w:t>..........................................</w:t>
      </w:r>
      <w:r w:rsidRPr="6587892C" w:rsidR="000B6350">
        <w:rPr>
          <w:rFonts w:ascii="Times New Roman" w:hAnsi="Times New Roman" w:cs="Times New Roman"/>
          <w:sz w:val="24"/>
          <w:szCs w:val="24"/>
          <w:lang w:val="es-PE"/>
        </w:rPr>
        <w:t xml:space="preserve"> respecto de la Póliza de Seguro Protección de Tarjeta. </w:t>
      </w:r>
    </w:p>
    <w:p w:rsidRPr="000B6350" w:rsidR="000B6350" w:rsidP="000B6350" w:rsidRDefault="000B6350" w14:paraId="7AC83A33" w14:textId="77777777">
      <w:pPr>
        <w:pStyle w:val="Textoindependiente"/>
      </w:pPr>
      <w:r w:rsidRPr="000B6350">
        <w:t xml:space="preserve">Que, el indicado recurso se sustenta resumidamente en lo siguiente: a) no se ha producido un uso indebido de la tarjeta, toda vez que este solo puede entenderse cuando hay un previo robo o hurto de la misma, tal como se define en la primera cobertura del seguro, así como en la página web del Banco; b) no podría haber un uso indebido si es que el asegurado siempre tuvo en su posesión la tarjeta de crédito, pues la única forma de conocer el código de seguridad que se encuentra en el reverso es con la tarjeta; c) el reclamante presenta como única prueba del siniestro su inconformidad y un pantallazo sobre los gastos incurridos que manifiesta no conocer; no puede probarse el siniestro con la sola palabra del supuesto afectado, caso contrario, cualquiera podría alegar que cada compra efectuada en internet es producto de un fraude y ni el Banco ni la compañía tendrían como verificar los hechos; d) el denunciante nunca presentó los medios de prueba necesarios y pertinentes que permitieran acreditar que sufrió un siniestro y que el mismo se encuentre dentro de los términos de la póliza, la causa del siniestro fue el robo del celular y otros documentos personales, pero no de la tarjeta, y fue luego de ello que recibe un aviso en el cual le informan que han podido acceder a sus cuentas, las que procede a bloquear; sin embargo, ello no significa el cierre de la cuenta bancaria; e) no es viable extender la cobertura ya que el reclamante no cumple con acreditar que fue víctima de un robo o hurto de las tarjetas, siendo que el siniestro se produjo utilizando la información de la app del celular robado que obtuvieron los delincuentes.  </w:t>
      </w:r>
    </w:p>
    <w:p w:rsidR="000B6350" w:rsidP="000B6350" w:rsidRDefault="000B6350" w14:paraId="271BA6FB" w14:textId="77777777">
      <w:pPr>
        <w:pStyle w:val="Default"/>
        <w:jc w:val="both"/>
        <w:rPr>
          <w:rFonts w:ascii="Times New Roman" w:hAnsi="Times New Roman" w:cs="Times New Roman"/>
          <w:bCs/>
        </w:rPr>
      </w:pPr>
    </w:p>
    <w:p w:rsidRPr="000B6350" w:rsidR="000B6350" w:rsidP="000B6350" w:rsidRDefault="000B6350" w14:paraId="00308AE5" w14:textId="5676D023">
      <w:pPr>
        <w:pStyle w:val="Default"/>
        <w:jc w:val="both"/>
        <w:rPr>
          <w:rFonts w:ascii="Times New Roman" w:hAnsi="Times New Roman" w:cs="Times New Roman"/>
          <w:bCs/>
        </w:rPr>
      </w:pPr>
      <w:r w:rsidRPr="000B6350">
        <w:rPr>
          <w:rFonts w:ascii="Times New Roman" w:hAnsi="Times New Roman" w:cs="Times New Roman"/>
          <w:bCs/>
        </w:rPr>
        <w:t>Que, habiéndose corrido traslado de la respectiva impugnación a la parte reclamante, esta la absolvió señalando resumidamente lo siguiente:  a) la empresa admite que la cláusula Nº 4 no menciona robo de plástico (tarjeta física), y se pregunta cómo se puede dar un uso indebido de la tarjeta de crédito y/o débito si es que el asegurado siempre la tuvo en su poder. No obstante, el propio banco promociona como beneficio de su tarjeta el que no es necesario llevarla para pagar con sus tarjetas de crédito y/o débito, ya que para ello solo se requiere utilizar el celular; b) por otro lado, la aseguradora sostiene que la definición de uso indebido entendido como robo o hurto debe aplicarse a todas las cláusulas, pero ello no figura en la definición de compra fraudulenta vía internet, donde solo se requiere que sea sin autorización y conocimiento del titular; por lo que no puede añadirse un requisito más cuando el propio banco indica que no se requiere la tarjeta física; c) si no le hubieran robado el celular no se hubiera podido realizar las transacciones sin su autorización y consentimiento, ya que lo que el banco ofrece es que justamente el celular funcione como una tarjeta de plástico; c) de negarse dicha posibilidad se estaría contradiciendo el artículo 21 del Reglamento de Gestión de Conducta de Mercado del Sistema de Seguros que señala que las condiciones deben figurar en la póliza, entre otros artículos que señalan que la información debe ser clara y suficiente.</w:t>
      </w:r>
    </w:p>
    <w:p w:rsidRPr="000B6350" w:rsidR="000B6350" w:rsidP="000B6350" w:rsidRDefault="000B6350" w14:paraId="614D1E93" w14:textId="77777777">
      <w:pPr>
        <w:pStyle w:val="Default"/>
        <w:jc w:val="both"/>
        <w:rPr>
          <w:rFonts w:ascii="Times New Roman" w:hAnsi="Times New Roman" w:cs="Times New Roman"/>
          <w:bCs/>
        </w:rPr>
      </w:pPr>
    </w:p>
    <w:p w:rsidRPr="000B6350" w:rsidR="000B6350" w:rsidP="000B6350" w:rsidRDefault="000B6350" w14:paraId="669ACDC2" w14:textId="77777777">
      <w:pPr>
        <w:pStyle w:val="Textoindependiente"/>
        <w:tabs>
          <w:tab w:val="left" w:pos="930"/>
        </w:tabs>
      </w:pPr>
      <w:r w:rsidRPr="000B6350">
        <w:t>Atendiendo a lo expuesto, esta Defensoría resuelve finalmente lo siguiente:</w:t>
      </w:r>
    </w:p>
    <w:p w:rsidRPr="000B6350" w:rsidR="000B6350" w:rsidP="000B6350" w:rsidRDefault="000B6350" w14:paraId="5BD48A54" w14:textId="77777777">
      <w:pPr>
        <w:pStyle w:val="Default"/>
        <w:jc w:val="both"/>
        <w:rPr>
          <w:rFonts w:ascii="Times New Roman" w:hAnsi="Times New Roman" w:cs="Times New Roman"/>
          <w:bCs/>
          <w:lang w:val="es-MX"/>
        </w:rPr>
      </w:pPr>
    </w:p>
    <w:p w:rsidRPr="000B6350" w:rsidR="000B6350" w:rsidP="000B6350" w:rsidRDefault="000B6350" w14:paraId="03CBA637" w14:textId="77777777">
      <w:pPr>
        <w:jc w:val="both"/>
        <w:rPr>
          <w:rFonts w:ascii="Times New Roman" w:hAnsi="Times New Roman" w:cs="Times New Roman"/>
          <w:bCs/>
          <w:sz w:val="24"/>
          <w:szCs w:val="24"/>
          <w:lang w:val="es-PE"/>
        </w:rPr>
      </w:pPr>
      <w:r w:rsidRPr="000B6350">
        <w:rPr>
          <w:rFonts w:ascii="Times New Roman" w:hAnsi="Times New Roman" w:cs="Times New Roman"/>
          <w:b/>
          <w:sz w:val="24"/>
          <w:szCs w:val="24"/>
          <w:u w:val="single"/>
          <w:lang w:val="es-PE"/>
        </w:rPr>
        <w:t>PRIMERO</w:t>
      </w:r>
      <w:r w:rsidRPr="000B6350">
        <w:rPr>
          <w:rFonts w:ascii="Times New Roman" w:hAnsi="Times New Roman" w:cs="Times New Roman"/>
          <w:b/>
          <w:sz w:val="24"/>
          <w:szCs w:val="24"/>
          <w:lang w:val="es-PE"/>
        </w:rPr>
        <w:t>:</w:t>
      </w:r>
      <w:r w:rsidRPr="000B6350">
        <w:rPr>
          <w:rFonts w:ascii="Times New Roman" w:hAnsi="Times New Roman" w:cs="Times New Roman"/>
          <w:bCs/>
          <w:sz w:val="24"/>
          <w:szCs w:val="24"/>
          <w:lang w:val="es-PE"/>
        </w:rPr>
        <w:t xml:space="preserve"> El artículo 10 (Procedimiento) del Reglamento de la DEFASEG </w:t>
      </w:r>
      <w:r w:rsidRPr="000B6350">
        <w:rPr>
          <w:rFonts w:ascii="Times New Roman" w:hAnsi="Times New Roman" w:eastAsia="Arial Unicode MS" w:cs="Times New Roman"/>
          <w:bCs/>
          <w:sz w:val="24"/>
          <w:szCs w:val="24"/>
          <w:lang w:val="es-PE"/>
        </w:rPr>
        <w:t>(http://www.defaseg.com.pe/reglamento)</w:t>
      </w:r>
      <w:r w:rsidRPr="000B6350">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0B6350" w:rsidR="000B6350" w:rsidP="000B6350" w:rsidRDefault="000B6350" w14:paraId="3B804259" w14:textId="77777777">
      <w:pPr>
        <w:jc w:val="both"/>
        <w:rPr>
          <w:rFonts w:ascii="Times New Roman" w:hAnsi="Times New Roman" w:cs="Times New Roman"/>
          <w:bCs/>
          <w:sz w:val="24"/>
          <w:szCs w:val="24"/>
          <w:lang w:val="es-PE"/>
        </w:rPr>
      </w:pPr>
      <w:r w:rsidRPr="000B6350">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rsidRPr="000B6350" w:rsidR="000B6350" w:rsidP="000B6350" w:rsidRDefault="000B6350" w14:paraId="7EC858C5" w14:textId="77777777">
      <w:pPr>
        <w:jc w:val="both"/>
        <w:rPr>
          <w:rFonts w:ascii="Times New Roman" w:hAnsi="Times New Roman" w:cs="Times New Roman"/>
          <w:sz w:val="24"/>
          <w:szCs w:val="24"/>
          <w:lang w:val="es-ES"/>
        </w:rPr>
      </w:pPr>
      <w:r w:rsidRPr="000B6350">
        <w:rPr>
          <w:rFonts w:ascii="Times New Roman" w:hAnsi="Times New Roman" w:cs="Times New Roman"/>
          <w:b/>
          <w:sz w:val="24"/>
          <w:szCs w:val="24"/>
          <w:u w:val="single"/>
          <w:lang w:val="es-PE"/>
        </w:rPr>
        <w:t>SEGUNDO:</w:t>
      </w:r>
      <w:r w:rsidRPr="000B6350">
        <w:rPr>
          <w:rFonts w:ascii="Times New Roman" w:hAnsi="Times New Roman" w:cs="Times New Roman"/>
          <w:bCs/>
          <w:sz w:val="24"/>
          <w:szCs w:val="24"/>
          <w:lang w:val="es-PE"/>
        </w:rPr>
        <w:t xml:space="preserve">  En el rechazo y en los descargos formulados por </w:t>
      </w:r>
      <w:r w:rsidRPr="000B6350">
        <w:rPr>
          <w:rFonts w:ascii="Times New Roman" w:hAnsi="Times New Roman" w:cs="Times New Roman"/>
          <w:sz w:val="24"/>
          <w:szCs w:val="24"/>
          <w:lang w:val="es-PE"/>
        </w:rPr>
        <w:t>la aseguradora esta no cuestiona la existencia misma del robo del celular a través del cual se habría accedido a la información confidencial y realizado la transacción fraudulenta, sino que considera que para que se materialice la cobertura Nº 4 debe existir un previo robo o hurto de la tarjeta física, lo que en este caso no ocurrió.</w:t>
      </w:r>
    </w:p>
    <w:p w:rsidRPr="000B6350" w:rsidR="000B6350" w:rsidP="000B6350" w:rsidRDefault="000B6350" w14:paraId="21A1E1F9" w14:textId="5B590506">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rPr>
        <w:t>Sin embargo, esta Defensoría ya se pronunciado en el sentido que la definición de la cobertura Nº 1 no puede extenderse a la cobertura Nº 4, toda vez que se trata de supuestos distintos, siendo que la cobertura de compra fraudulenta no requiere el previo robo o hurto de la tarjeta como sostiene la aseguradora, lo cual se aprecia en la página 4 del certificado de seguro que la propia aseguradora presenta suscrita por el reclamante:</w:t>
      </w:r>
    </w:p>
    <w:p w:rsidRPr="000B6350" w:rsidR="000B6350" w:rsidP="000B6350" w:rsidRDefault="000B6350" w14:paraId="5A66CD5F" w14:textId="1427AEE6">
      <w:pPr>
        <w:jc w:val="both"/>
        <w:rPr>
          <w:rFonts w:ascii="Times New Roman" w:hAnsi="Times New Roman" w:cs="Times New Roman"/>
          <w:sz w:val="24"/>
          <w:szCs w:val="24"/>
        </w:rPr>
      </w:pPr>
      <w:r w:rsidRPr="6587892C" w:rsidR="000B6350">
        <w:rPr>
          <w:rFonts w:ascii="Times New Roman" w:hAnsi="Times New Roman" w:cs="Times New Roman"/>
          <w:noProof/>
          <w:sz w:val="24"/>
          <w:szCs w:val="24"/>
          <w:lang w:val="es-PE"/>
        </w:rPr>
        <w:t xml:space="preserve">  </w:t>
      </w:r>
      <w:r w:rsidRPr="6587892C" w:rsidR="4EBB7BB2">
        <w:rPr>
          <w:rFonts w:ascii="Times New Roman" w:hAnsi="Times New Roman" w:cs="Times New Roman"/>
          <w:noProof/>
          <w:sz w:val="24"/>
          <w:szCs w:val="24"/>
          <w:lang w:val="es-PE"/>
        </w:rPr>
        <w:t>..................................................................................................................................................</w:t>
      </w:r>
    </w:p>
    <w:p w:rsidRPr="000B6350" w:rsidR="000B6350" w:rsidP="000B6350" w:rsidRDefault="000B6350" w14:paraId="34E18D07" w14:textId="77777777">
      <w:pPr>
        <w:jc w:val="both"/>
        <w:rPr>
          <w:rFonts w:ascii="Times New Roman" w:hAnsi="Times New Roman" w:cs="Times New Roman"/>
          <w:sz w:val="24"/>
          <w:szCs w:val="24"/>
        </w:rPr>
      </w:pPr>
    </w:p>
    <w:p w:rsidRPr="000B6350" w:rsidR="000B6350" w:rsidP="000B6350" w:rsidRDefault="000B6350" w14:paraId="4BEC2560" w14:textId="77777777">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rPr>
        <w:lastRenderedPageBreak/>
        <w:t xml:space="preserve">Ahora bien, la aseguradora sostiene que como la página web del banco contiene un glosario con dicha definición general, la misma debe aplicarse de modo general a todos los supuestos de cobertura previstos en la póliza. Argumento que este Colegiado no comparte, para lo cual resulta aplicable el artículo que la propia compañía de seguros transcribe en sus </w:t>
      </w:r>
      <w:proofErr w:type="gramStart"/>
      <w:r w:rsidRPr="000B6350">
        <w:rPr>
          <w:rFonts w:ascii="Times New Roman" w:hAnsi="Times New Roman" w:cs="Times New Roman"/>
          <w:sz w:val="24"/>
          <w:szCs w:val="24"/>
          <w:lang w:val="es-PE"/>
        </w:rPr>
        <w:t>escritos  y</w:t>
      </w:r>
      <w:proofErr w:type="gramEnd"/>
      <w:r w:rsidRPr="000B6350">
        <w:rPr>
          <w:rFonts w:ascii="Times New Roman" w:hAnsi="Times New Roman" w:cs="Times New Roman"/>
          <w:sz w:val="24"/>
          <w:szCs w:val="24"/>
          <w:lang w:val="es-PE"/>
        </w:rPr>
        <w:t xml:space="preserve"> que establece: </w:t>
      </w:r>
    </w:p>
    <w:p w:rsidRPr="000B6350" w:rsidR="000B6350" w:rsidP="000B6350" w:rsidRDefault="000B6350" w14:paraId="3D62B9EE" w14:textId="77777777">
      <w:pPr>
        <w:jc w:val="both"/>
        <w:rPr>
          <w:rFonts w:ascii="Times New Roman" w:hAnsi="Times New Roman" w:cs="Times New Roman"/>
          <w:i/>
          <w:iCs/>
          <w:sz w:val="24"/>
          <w:szCs w:val="24"/>
          <w:lang w:val="es-PE"/>
        </w:rPr>
      </w:pPr>
      <w:r w:rsidRPr="000B6350">
        <w:rPr>
          <w:rFonts w:ascii="Times New Roman" w:hAnsi="Times New Roman" w:cs="Times New Roman"/>
          <w:i/>
          <w:iCs/>
          <w:sz w:val="24"/>
          <w:szCs w:val="24"/>
          <w:lang w:val="es-PE"/>
        </w:rPr>
        <w:t xml:space="preserve">“Séptima. La cobertura, exclusiones y, en general, la extensión del </w:t>
      </w:r>
      <w:proofErr w:type="gramStart"/>
      <w:r w:rsidRPr="000B6350">
        <w:rPr>
          <w:rFonts w:ascii="Times New Roman" w:hAnsi="Times New Roman" w:cs="Times New Roman"/>
          <w:i/>
          <w:iCs/>
          <w:sz w:val="24"/>
          <w:szCs w:val="24"/>
          <w:lang w:val="es-PE"/>
        </w:rPr>
        <w:t>riesgo</w:t>
      </w:r>
      <w:proofErr w:type="gramEnd"/>
      <w:r w:rsidRPr="000B6350">
        <w:rPr>
          <w:rFonts w:ascii="Times New Roman" w:hAnsi="Times New Roman" w:cs="Times New Roman"/>
          <w:i/>
          <w:iCs/>
          <w:sz w:val="24"/>
          <w:szCs w:val="24"/>
          <w:lang w:val="es-PE"/>
        </w:rPr>
        <w:t xml:space="preserve"> así como los derechos de los beneficiarios, previstos en el contrato de seguro, deben interpretarse literalmente.” (articulo Nº IV de la Ley del Contrato de Seguros)</w:t>
      </w:r>
    </w:p>
    <w:p w:rsidRPr="000B6350" w:rsidR="000B6350" w:rsidP="000B6350" w:rsidRDefault="000B6350" w14:paraId="47ED78BC" w14:textId="77777777">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rPr>
        <w:t>Así como al artículo 137 de la misma Ley del Contrato de Seguros, que señala:</w:t>
      </w:r>
    </w:p>
    <w:p w:rsidRPr="000B6350" w:rsidR="000B6350" w:rsidP="000B6350" w:rsidRDefault="000B6350" w14:paraId="7C3DA939" w14:textId="77777777">
      <w:pPr>
        <w:jc w:val="both"/>
        <w:rPr>
          <w:rFonts w:ascii="Times New Roman" w:hAnsi="Times New Roman" w:cs="Times New Roman"/>
          <w:i/>
          <w:iCs/>
          <w:sz w:val="24"/>
          <w:szCs w:val="24"/>
          <w:lang w:val="es-PE"/>
        </w:rPr>
      </w:pPr>
      <w:r w:rsidRPr="000B6350">
        <w:rPr>
          <w:rFonts w:ascii="Times New Roman" w:hAnsi="Times New Roman" w:cs="Times New Roman"/>
          <w:i/>
          <w:iCs/>
          <w:sz w:val="24"/>
          <w:szCs w:val="24"/>
          <w:lang w:val="es-PE"/>
        </w:rPr>
        <w:t> “No son oponibles al asegurado los contenidos contractuales que no le hayan sido informados en el certificado mencionado en el artículo anterior, cuyo contenido mínimo se sujeta a las disposiciones de la Superintendencia.”</w:t>
      </w:r>
    </w:p>
    <w:p w:rsidRPr="000B6350" w:rsidR="000B6350" w:rsidP="000B6350" w:rsidRDefault="000B6350" w14:paraId="4BC7C552" w14:textId="56ECA2D5">
      <w:pPr>
        <w:jc w:val="both"/>
        <w:rPr>
          <w:rFonts w:ascii="Times New Roman" w:hAnsi="Times New Roman" w:cs="Times New Roman"/>
          <w:sz w:val="24"/>
          <w:szCs w:val="24"/>
          <w:lang w:val="es-PE"/>
        </w:rPr>
      </w:pPr>
      <w:r w:rsidRPr="6587892C" w:rsidR="000B6350">
        <w:rPr>
          <w:rFonts w:ascii="Times New Roman" w:hAnsi="Times New Roman" w:cs="Times New Roman"/>
          <w:sz w:val="24"/>
          <w:szCs w:val="24"/>
          <w:lang w:val="es-PE"/>
        </w:rPr>
        <w:t xml:space="preserve">De otro lado, no es exacto afirmar que la única manera en que puede realizarse un uso indebido (fraude) de una tarjeta es con el plástico </w:t>
      </w:r>
      <w:r w:rsidRPr="6587892C" w:rsidR="000B6350">
        <w:rPr>
          <w:rFonts w:ascii="Times New Roman" w:hAnsi="Times New Roman" w:cs="Times New Roman"/>
          <w:sz w:val="24"/>
          <w:szCs w:val="24"/>
          <w:lang w:val="es-PE"/>
        </w:rPr>
        <w:t>físico,  menos</w:t>
      </w:r>
      <w:r w:rsidRPr="6587892C" w:rsidR="000B6350">
        <w:rPr>
          <w:rFonts w:ascii="Times New Roman" w:hAnsi="Times New Roman" w:cs="Times New Roman"/>
          <w:sz w:val="24"/>
          <w:szCs w:val="24"/>
          <w:lang w:val="es-PE"/>
        </w:rPr>
        <w:t xml:space="preserve"> </w:t>
      </w:r>
      <w:r w:rsidRPr="6587892C" w:rsidR="000B6350">
        <w:rPr>
          <w:rFonts w:ascii="Times New Roman" w:hAnsi="Times New Roman" w:cs="Times New Roman"/>
          <w:sz w:val="24"/>
          <w:szCs w:val="24"/>
          <w:lang w:val="es-PE"/>
        </w:rPr>
        <w:t>aún</w:t>
      </w:r>
      <w:r w:rsidRPr="6587892C" w:rsidR="000B6350">
        <w:rPr>
          <w:rFonts w:ascii="Times New Roman" w:hAnsi="Times New Roman" w:cs="Times New Roman"/>
          <w:sz w:val="24"/>
          <w:szCs w:val="24"/>
          <w:lang w:val="es-PE"/>
        </w:rPr>
        <w:t xml:space="preserve"> cuando se trata de compras por internet, donde a diferencia de los establecimientos físicos que sí requieren que la tarjeta se aproxime o inserte al POS, solo se requiere consignar la información de la tarjeta. Para ello, lo que se requiere es conocer el numero de la tarjeta y el código de seguridad, a los que puede accederse de distinta manera: obteniendo fraudulentamente una captura de imagen de la misma, accediendo a bases de datos donde se consigna esta información, clonando la tarjeta, etc., siendo que algunas entidades ni siquiera requieren el código de seguridad que figura al reverso pues cuentan con CVV (código de seguridad) dinámicos que se actualizan constantemente a través de una aplicación (como un teléfono móvil); existiendo además otras figuras delictivas como el phishing, </w:t>
      </w:r>
      <w:r w:rsidRPr="6587892C" w:rsidR="000B6350">
        <w:rPr>
          <w:rFonts w:ascii="Times New Roman" w:hAnsi="Times New Roman" w:cs="Times New Roman"/>
          <w:sz w:val="24"/>
          <w:szCs w:val="24"/>
          <w:lang w:val="es-PE"/>
        </w:rPr>
        <w:t>smishing</w:t>
      </w:r>
      <w:r w:rsidRPr="6587892C" w:rsidR="000B6350">
        <w:rPr>
          <w:rFonts w:ascii="Times New Roman" w:hAnsi="Times New Roman" w:cs="Times New Roman"/>
          <w:sz w:val="24"/>
          <w:szCs w:val="24"/>
          <w:lang w:val="es-PE"/>
        </w:rPr>
        <w:t xml:space="preserve">, </w:t>
      </w:r>
      <w:r w:rsidRPr="6587892C" w:rsidR="000B6350">
        <w:rPr>
          <w:rFonts w:ascii="Times New Roman" w:hAnsi="Times New Roman" w:cs="Times New Roman"/>
          <w:sz w:val="24"/>
          <w:szCs w:val="24"/>
          <w:lang w:val="es-PE"/>
        </w:rPr>
        <w:t>vishing</w:t>
      </w:r>
      <w:r w:rsidRPr="6587892C" w:rsidR="000B6350">
        <w:rPr>
          <w:rFonts w:ascii="Times New Roman" w:hAnsi="Times New Roman" w:cs="Times New Roman"/>
          <w:sz w:val="24"/>
          <w:szCs w:val="24"/>
          <w:lang w:val="es-PE"/>
        </w:rPr>
        <w:t>, o como en este caso, el robo del celular (o del chip del celular) a través del cual se accede a la plataforma móvil que han habilitado las entidades banc</w:t>
      </w:r>
      <w:r w:rsidRPr="6587892C" w:rsidR="750549B6">
        <w:rPr>
          <w:rFonts w:ascii="Times New Roman" w:hAnsi="Times New Roman" w:cs="Times New Roman"/>
          <w:sz w:val="24"/>
          <w:szCs w:val="24"/>
          <w:lang w:val="es-PE"/>
        </w:rPr>
        <w:t>..........................................</w:t>
      </w:r>
      <w:r w:rsidRPr="6587892C" w:rsidR="000B6350">
        <w:rPr>
          <w:rFonts w:ascii="Times New Roman" w:hAnsi="Times New Roman" w:cs="Times New Roman"/>
          <w:sz w:val="24"/>
          <w:szCs w:val="24"/>
          <w:lang w:val="es-PE"/>
        </w:rPr>
        <w:t>, y a través de las cuales se realizan operaciones por internet.</w:t>
      </w:r>
    </w:p>
    <w:p w:rsidRPr="000B6350" w:rsidR="000B6350" w:rsidP="000B6350" w:rsidRDefault="000B6350" w14:paraId="28ABD4AB" w14:textId="77777777">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rPr>
        <w:t xml:space="preserve">La aseguradora pretende no extender la cobertura “compra fraudulenta vía internet” a supuestos de fraude luego de un robo de celular o cualquier otro que no derive de un previo robo o hurto de la tarjeta, pero la información que brindó al momento de la contratación del </w:t>
      </w:r>
      <w:proofErr w:type="gramStart"/>
      <w:r w:rsidRPr="000B6350">
        <w:rPr>
          <w:rFonts w:ascii="Times New Roman" w:hAnsi="Times New Roman" w:cs="Times New Roman"/>
          <w:sz w:val="24"/>
          <w:szCs w:val="24"/>
          <w:lang w:val="es-PE"/>
        </w:rPr>
        <w:t>seguro,</w:t>
      </w:r>
      <w:proofErr w:type="gramEnd"/>
      <w:r w:rsidRPr="000B6350">
        <w:rPr>
          <w:rFonts w:ascii="Times New Roman" w:hAnsi="Times New Roman" w:cs="Times New Roman"/>
          <w:sz w:val="24"/>
          <w:szCs w:val="24"/>
          <w:lang w:val="es-PE"/>
        </w:rPr>
        <w:t xml:space="preserve"> describe a un supuesto de cobertura que no contiene dicha limitación. </w:t>
      </w:r>
    </w:p>
    <w:p w:rsidRPr="000B6350" w:rsidR="000B6350" w:rsidP="000B6350" w:rsidRDefault="000B6350" w14:paraId="1FC3AF43" w14:textId="77777777">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rPr>
        <w:t>En efecto, no estamos ante un supuesto adicional de la cobertura Nº 1, sino ante un supuesto independiente, que solo establece que cubre dentro de ciertos límites las operaciones fraudulentas por internet, en las que se da un uso indebido sin conocimiento y autorización del asegurado. Y para ello no se requiere haber robado físicamente la tarjeta, sino haber accedido indebidamente a información confidencial del asegurado.</w:t>
      </w:r>
    </w:p>
    <w:p w:rsidRPr="000B6350" w:rsidR="000B6350" w:rsidP="000B6350" w:rsidRDefault="000B6350" w14:paraId="51421AD3" w14:textId="77777777">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rPr>
        <w:t>Ahora bien, es claro que debe existir un fraude, y la propia compañía ha reconocido -no ha cuestionado- que en este caso se produjo el robo del celular y que fue a través de dicho medio que se accedió a la información confidencial.</w:t>
      </w:r>
    </w:p>
    <w:p w:rsidRPr="000B6350" w:rsidR="000B6350" w:rsidP="6587892C" w:rsidRDefault="000B6350" w14:paraId="1335A0B3" w14:textId="1E4A2BCF">
      <w:pPr>
        <w:jc w:val="both"/>
        <w:rPr>
          <w:rFonts w:ascii="Times New Roman" w:hAnsi="Times New Roman" w:cs="Times New Roman"/>
          <w:i w:val="1"/>
          <w:iCs w:val="1"/>
          <w:sz w:val="24"/>
          <w:szCs w:val="24"/>
          <w:lang w:val="es-PE"/>
        </w:rPr>
      </w:pPr>
      <w:r w:rsidRPr="6587892C" w:rsidR="000B6350">
        <w:rPr>
          <w:rFonts w:ascii="Times New Roman" w:hAnsi="Times New Roman" w:cs="Times New Roman"/>
          <w:sz w:val="24"/>
          <w:szCs w:val="24"/>
          <w:lang w:val="es-PE"/>
        </w:rPr>
        <w:t>De otro lado, la aseguradora considera que “</w:t>
      </w:r>
      <w:r w:rsidRPr="6587892C" w:rsidR="000B6350">
        <w:rPr>
          <w:rFonts w:ascii="Times New Roman" w:hAnsi="Times New Roman" w:cs="Times New Roman"/>
          <w:i w:val="1"/>
          <w:iCs w:val="1"/>
          <w:sz w:val="24"/>
          <w:szCs w:val="24"/>
          <w:lang w:val="es-PE"/>
        </w:rPr>
        <w:t xml:space="preserve">avalar el pronunciamiento desarrollado por la Resolución </w:t>
      </w:r>
      <w:r w:rsidRPr="6587892C" w:rsidR="000B6350">
        <w:rPr>
          <w:rFonts w:ascii="Times New Roman" w:hAnsi="Times New Roman" w:cs="Times New Roman"/>
          <w:i w:val="1"/>
          <w:iCs w:val="1"/>
          <w:sz w:val="24"/>
          <w:szCs w:val="24"/>
          <w:lang w:val="es-PE"/>
        </w:rPr>
        <w:t>Nº</w:t>
      </w:r>
      <w:r w:rsidRPr="6587892C" w:rsidR="000B6350">
        <w:rPr>
          <w:rFonts w:ascii="Times New Roman" w:hAnsi="Times New Roman" w:cs="Times New Roman"/>
          <w:i w:val="1"/>
          <w:iCs w:val="1"/>
          <w:sz w:val="24"/>
          <w:szCs w:val="24"/>
          <w:lang w:val="es-PE"/>
        </w:rPr>
        <w:t xml:space="preserve"> 162/21 se estaría facultando a que cualquiera pueda alegar un presunto fraude </w:t>
      </w:r>
      <w:r w:rsidRPr="6587892C" w:rsidR="000B6350">
        <w:rPr>
          <w:rFonts w:ascii="Times New Roman" w:hAnsi="Times New Roman" w:cs="Times New Roman"/>
          <w:i w:val="1"/>
          <w:iCs w:val="1"/>
          <w:sz w:val="24"/>
          <w:szCs w:val="24"/>
          <w:lang w:val="es-PE"/>
        </w:rPr>
        <w:t xml:space="preserve">bajo cualquier circunstancia sin tener que probar el uso indebido de la tarjeta de crédito o débito y obtener un aprovechamiento en detrimento del Banco </w:t>
      </w:r>
      <w:r w:rsidRPr="6587892C" w:rsidR="4ACFA1B8">
        <w:rPr>
          <w:rFonts w:ascii="Times New Roman" w:hAnsi="Times New Roman" w:cs="Times New Roman"/>
          <w:i w:val="1"/>
          <w:iCs w:val="1"/>
          <w:sz w:val="24"/>
          <w:szCs w:val="24"/>
          <w:lang w:val="es-PE"/>
        </w:rPr>
        <w:t>..........................................</w:t>
      </w:r>
      <w:r w:rsidRPr="6587892C" w:rsidR="000B6350">
        <w:rPr>
          <w:rFonts w:ascii="Times New Roman" w:hAnsi="Times New Roman" w:cs="Times New Roman"/>
          <w:i w:val="1"/>
          <w:iCs w:val="1"/>
          <w:sz w:val="24"/>
          <w:szCs w:val="24"/>
          <w:lang w:val="es-PE"/>
        </w:rPr>
        <w:t xml:space="preserve"> y de nuestra Compañía”. </w:t>
      </w:r>
    </w:p>
    <w:p w:rsidRPr="000B6350" w:rsidR="000B6350" w:rsidP="000B6350" w:rsidRDefault="000B6350" w14:paraId="6488DE4A" w14:textId="77777777">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rPr>
        <w:t xml:space="preserve">Si bien basarse en el solo dicho del asegurado podría llevar a que se presenten situaciones no deseadas de fraude, establecer que los “usos indebidos” deban ser acreditados con videos o investigaciones policiales que identifiquen a los responsables determinarían la poca aplicabilidad de estas coberturas; y en todo caso, de ser esta la posición de la aseguradora ello debería estar debidamente especificado en las condiciones de sus pólizas, lo que </w:t>
      </w:r>
      <w:proofErr w:type="gramStart"/>
      <w:r w:rsidRPr="000B6350">
        <w:rPr>
          <w:rFonts w:ascii="Times New Roman" w:hAnsi="Times New Roman" w:cs="Times New Roman"/>
          <w:sz w:val="24"/>
          <w:szCs w:val="24"/>
          <w:lang w:val="es-PE"/>
        </w:rPr>
        <w:t>al día de hoy</w:t>
      </w:r>
      <w:proofErr w:type="gramEnd"/>
      <w:r w:rsidRPr="000B6350">
        <w:rPr>
          <w:rFonts w:ascii="Times New Roman" w:hAnsi="Times New Roman" w:cs="Times New Roman"/>
          <w:sz w:val="24"/>
          <w:szCs w:val="24"/>
          <w:lang w:val="es-PE"/>
        </w:rPr>
        <w:t xml:space="preserve"> no ocurre. Las aseguradoras pueden reducir la aparición de fraudes, realizando una adecuada investigación del siniestro y/o verificando el cumplimiento de cargas; todo ello, dentro del plazo que la ley le otorga para pronunciarse sobre la cobertura de seguro. </w:t>
      </w:r>
    </w:p>
    <w:p w:rsidRPr="000B6350" w:rsidR="000B6350" w:rsidP="000B6350" w:rsidRDefault="000B6350" w14:paraId="20C826FF" w14:textId="77777777">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eastAsia="es-ES"/>
        </w:rPr>
        <w:t xml:space="preserve">Debe destacarse -como ha sido expresado en diversas resoluciones expedidas por esta Defensoría- que la prueba de ocurrencia efectiva de un siniestro similar al que nos </w:t>
      </w:r>
      <w:proofErr w:type="gramStart"/>
      <w:r w:rsidRPr="000B6350">
        <w:rPr>
          <w:rFonts w:ascii="Times New Roman" w:hAnsi="Times New Roman" w:cs="Times New Roman"/>
          <w:sz w:val="24"/>
          <w:szCs w:val="24"/>
          <w:lang w:val="es-PE" w:eastAsia="es-ES"/>
        </w:rPr>
        <w:t>ocupa,</w:t>
      </w:r>
      <w:proofErr w:type="gramEnd"/>
      <w:r w:rsidRPr="000B6350">
        <w:rPr>
          <w:rFonts w:ascii="Times New Roman" w:hAnsi="Times New Roman" w:cs="Times New Roman"/>
          <w:sz w:val="24"/>
          <w:szCs w:val="24"/>
          <w:lang w:val="es-PE" w:eastAsia="es-ES"/>
        </w:rPr>
        <w:t xml:space="preserve"> es bastante difícil, sino imposible, porque en muchos casos se está al solo dicho del asegurado, de allí la necesidad que, al menos exista consistencia y una denuncia policial en el marco de la buena fe contractual, ya que se está a lo que afirma el interesado ante la autoridad policial correspondiente.</w:t>
      </w:r>
    </w:p>
    <w:p w:rsidRPr="000B6350" w:rsidR="000B6350" w:rsidP="000B6350" w:rsidRDefault="000B6350" w14:paraId="6B59CA56" w14:textId="77777777">
      <w:pPr>
        <w:jc w:val="both"/>
        <w:rPr>
          <w:rFonts w:ascii="Times New Roman" w:hAnsi="Times New Roman" w:cs="Times New Roman"/>
          <w:sz w:val="24"/>
          <w:szCs w:val="24"/>
          <w:lang w:val="es-PE"/>
        </w:rPr>
      </w:pPr>
      <w:r w:rsidRPr="000B6350">
        <w:rPr>
          <w:rFonts w:ascii="Times New Roman" w:hAnsi="Times New Roman" w:cs="Times New Roman"/>
          <w:sz w:val="24"/>
          <w:szCs w:val="24"/>
          <w:lang w:val="es-PE"/>
        </w:rPr>
        <w:t xml:space="preserve">Es por ello que incluso bajo la cobertura de uso indebido por robo o fraude, tampoco se pide acreditar el robo con grabaciones, bastando presentar la denuncia policial, y en caso que se dude de la veracidad del ilícito, lo que corresponde es invocar la figura de reclamación fraudulenta cuestionando la configuración misma del siniestro, pero no remitiéndose a una condición de cobertura que el contrato de seguro no establece respecto de la cobertura invocada (como sería en este caso el señalar que la cobertura de fraude por internet solo procede previo robo o hurto de la tarjeta). </w:t>
      </w:r>
    </w:p>
    <w:p w:rsidRPr="000B6350" w:rsidR="000B6350" w:rsidP="000B6350" w:rsidRDefault="000B6350" w14:paraId="1271D3D7" w14:textId="0F417BE2">
      <w:pPr>
        <w:tabs>
          <w:tab w:val="left" w:pos="2160"/>
        </w:tabs>
        <w:jc w:val="both"/>
        <w:rPr>
          <w:rFonts w:ascii="Times New Roman" w:hAnsi="Times New Roman" w:cs="Times New Roman"/>
          <w:sz w:val="24"/>
          <w:szCs w:val="24"/>
          <w:lang w:val="es-PE" w:eastAsia="es-ES"/>
        </w:rPr>
      </w:pPr>
      <w:r w:rsidRPr="6587892C" w:rsidR="000B6350">
        <w:rPr>
          <w:rFonts w:ascii="Times New Roman" w:hAnsi="Times New Roman" w:cs="Times New Roman"/>
          <w:sz w:val="24"/>
          <w:szCs w:val="24"/>
          <w:lang w:val="es-PE" w:eastAsia="es-ES"/>
        </w:rPr>
        <w:t>De acuerdo al</w:t>
      </w:r>
      <w:r w:rsidRPr="6587892C" w:rsidR="000B6350">
        <w:rPr>
          <w:rFonts w:ascii="Times New Roman" w:hAnsi="Times New Roman" w:cs="Times New Roman"/>
          <w:sz w:val="24"/>
          <w:szCs w:val="24"/>
          <w:lang w:val="es-PE" w:eastAsia="es-ES"/>
        </w:rPr>
        <w:t xml:space="preserve"> artículo 77 de la Ley del Contrato de Seguro, el asegurado debe demostrar la ocurrencia del siniestro y la aseguradora debe probar la causa que la libera de su prestación indemnizatoria, ello implicaría que </w:t>
      </w:r>
      <w:r w:rsidRPr="6587892C" w:rsidR="1B37821A">
        <w:rPr>
          <w:rFonts w:ascii="Times New Roman" w:hAnsi="Times New Roman" w:cs="Times New Roman"/>
          <w:sz w:val="24"/>
          <w:szCs w:val="24"/>
          <w:lang w:val="es-PE" w:eastAsia="es-ES"/>
        </w:rPr>
        <w:t>.........................</w:t>
      </w:r>
      <w:r w:rsidRPr="6587892C" w:rsidR="000B6350">
        <w:rPr>
          <w:rFonts w:ascii="Times New Roman" w:hAnsi="Times New Roman" w:cs="Times New Roman"/>
          <w:sz w:val="24"/>
          <w:szCs w:val="24"/>
          <w:lang w:val="es-PE" w:eastAsia="es-ES"/>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razonablemente lo que ocurrió.  Sin embargo, </w:t>
      </w:r>
      <w:r w:rsidRPr="6587892C" w:rsidR="000B6350">
        <w:rPr>
          <w:rFonts w:ascii="Times New Roman" w:hAnsi="Times New Roman" w:cs="Times New Roman"/>
          <w:sz w:val="24"/>
          <w:szCs w:val="24"/>
          <w:lang w:val="es-PE" w:eastAsia="es-ES"/>
        </w:rPr>
        <w:t>planteadas</w:t>
      </w:r>
      <w:r w:rsidRPr="6587892C" w:rsidR="000B6350">
        <w:rPr>
          <w:rFonts w:ascii="Times New Roman" w:hAnsi="Times New Roman" w:cs="Times New Roman"/>
          <w:sz w:val="24"/>
          <w:szCs w:val="24"/>
          <w:lang w:val="es-PE" w:eastAsia="es-ES"/>
        </w:rPr>
        <w:t xml:space="preserve"> así las cosas, se vuelve al punto inicial conforme al cual el asegurado debe probar lo sucedido, retomándose la cuestión de cómo probarlo y la suficiencia de una denuncia policial.  Por ello, si la aseguradora duda de la existencia misma del siniestro, lo que corresponde es que evidencie inexactitudes, contradicciones o inconsistencias, que cuestionen y destaquen que con la denuncia policial no se ha llegado a probar realmente la existencia del siniestro o que destaque criterios objetivos para poner en duda razonable la configuración misma del siniestro.</w:t>
      </w:r>
    </w:p>
    <w:p w:rsidRPr="000B6350" w:rsidR="000B6350" w:rsidP="000B6350" w:rsidRDefault="000B6350" w14:paraId="1767E533" w14:textId="77777777">
      <w:pPr>
        <w:jc w:val="both"/>
        <w:rPr>
          <w:rFonts w:ascii="Times New Roman" w:hAnsi="Times New Roman" w:cs="Times New Roman"/>
          <w:sz w:val="24"/>
          <w:szCs w:val="24"/>
          <w:lang w:val="es-PE" w:eastAsia="ar-SA"/>
        </w:rPr>
      </w:pPr>
      <w:r w:rsidRPr="000B6350">
        <w:rPr>
          <w:rFonts w:ascii="Times New Roman" w:hAnsi="Times New Roman" w:cs="Times New Roman"/>
          <w:sz w:val="24"/>
          <w:szCs w:val="24"/>
          <w:lang w:val="es-PE"/>
        </w:rPr>
        <w:t xml:space="preserve">En el caso que nos ocupa -reiteramos-, no se cuestiona el robo del celular, ni las operaciones fraudulentas, ni el contenido de la denuncia policial, solo se establece que las operaciones fraudulentas no ocurrieron como consecuencia del robo de la tarjeta. No obstante, como se ha expuesto en la resolución impugnada y en los párrafos precedentes, la póliza no establece que la cobertura de compra fraudulenta por internet solo corresponde cuando el fraude se realiza luego del robo o hurto de la tarjeta, sino cuando se está ante una compra fraudulenta vía internet mediante el uso indebido de la tarjeta sin la autorización y conocimiento del asegurado. </w:t>
      </w:r>
    </w:p>
    <w:p w:rsidRPr="000B6350" w:rsidR="000B6350" w:rsidP="000B6350" w:rsidRDefault="000B6350" w14:paraId="672D3123" w14:textId="77777777">
      <w:pPr>
        <w:jc w:val="both"/>
        <w:rPr>
          <w:rFonts w:ascii="Times New Roman" w:hAnsi="Times New Roman" w:cs="Times New Roman"/>
          <w:sz w:val="24"/>
          <w:szCs w:val="24"/>
          <w:lang w:val="es-ES"/>
        </w:rPr>
      </w:pPr>
      <w:r w:rsidRPr="000B6350">
        <w:rPr>
          <w:rFonts w:ascii="Times New Roman" w:hAnsi="Times New Roman" w:cs="Times New Roman"/>
          <w:sz w:val="24"/>
          <w:szCs w:val="24"/>
          <w:lang w:val="es-PE"/>
        </w:rPr>
        <w:lastRenderedPageBreak/>
        <w:t xml:space="preserve">En consecuencia, </w:t>
      </w:r>
      <w:r w:rsidRPr="000B6350">
        <w:rPr>
          <w:rFonts w:ascii="Times New Roman" w:hAnsi="Times New Roman" w:cs="Times New Roman"/>
          <w:bCs/>
          <w:sz w:val="24"/>
          <w:szCs w:val="24"/>
          <w:lang w:val="es-PE"/>
        </w:rPr>
        <w:t xml:space="preserve">el </w:t>
      </w:r>
      <w:r w:rsidRPr="000B6350">
        <w:rPr>
          <w:rFonts w:ascii="Times New Roman" w:hAnsi="Times New Roman" w:cs="Times New Roman"/>
          <w:sz w:val="24"/>
          <w:szCs w:val="24"/>
          <w:lang w:val="es-PE"/>
        </w:rPr>
        <w:t xml:space="preserve">recurso impugnativo interpuesto puede ser categorizado, por su contenido mismo, como una solicitud de revisión general, sustentada exclusivamente en el criterio de la aseguradora, sin aportar medio probatorio que permita apreciar que se incurrió en un error o vicio al momento de resolver.  </w:t>
      </w:r>
    </w:p>
    <w:p w:rsidRPr="000B6350" w:rsidR="000B6350" w:rsidP="000B6350" w:rsidRDefault="000B6350" w14:paraId="0320F577" w14:textId="77777777">
      <w:pPr>
        <w:jc w:val="both"/>
        <w:rPr>
          <w:rFonts w:ascii="Times New Roman" w:hAnsi="Times New Roman" w:cs="Times New Roman"/>
          <w:b/>
          <w:sz w:val="24"/>
          <w:szCs w:val="24"/>
          <w:lang w:val="es-PE"/>
        </w:rPr>
      </w:pPr>
      <w:r w:rsidRPr="000B6350">
        <w:rPr>
          <w:rFonts w:ascii="Times New Roman" w:hAnsi="Times New Roman" w:cs="Times New Roman"/>
          <w:b/>
          <w:sz w:val="24"/>
          <w:szCs w:val="24"/>
          <w:lang w:val="es-PE"/>
        </w:rPr>
        <w:t>Atendiendo a lo expresado, conforme a su Reglamento, este colegiado resuelve:</w:t>
      </w:r>
    </w:p>
    <w:p w:rsidRPr="000B6350" w:rsidR="000B6350" w:rsidP="6587892C" w:rsidRDefault="000B6350" w14:paraId="137B478F" w14:textId="339F3A61">
      <w:pPr>
        <w:jc w:val="both"/>
        <w:rPr>
          <w:rFonts w:ascii="Times New Roman" w:hAnsi="Times New Roman" w:eastAsia="Times New Roman" w:cs="Times New Roman"/>
          <w:sz w:val="24"/>
          <w:szCs w:val="24"/>
          <w:lang w:val="es-ES"/>
        </w:rPr>
      </w:pPr>
      <w:r w:rsidRPr="6587892C" w:rsidR="000B6350">
        <w:rPr>
          <w:rFonts w:ascii="Times New Roman" w:hAnsi="Times New Roman" w:eastAsia="Arial Unicode MS" w:cs="Times New Roman"/>
          <w:sz w:val="24"/>
          <w:szCs w:val="24"/>
          <w:lang w:val="es-PE"/>
        </w:rPr>
        <w:t xml:space="preserve">Declarar </w:t>
      </w:r>
      <w:r w:rsidRPr="6587892C" w:rsidR="000B6350">
        <w:rPr>
          <w:rFonts w:ascii="Times New Roman" w:hAnsi="Times New Roman" w:eastAsia="Arial Unicode MS" w:cs="Times New Roman"/>
          <w:b w:val="1"/>
          <w:bCs w:val="1"/>
          <w:sz w:val="24"/>
          <w:szCs w:val="24"/>
          <w:lang w:val="es-PE"/>
        </w:rPr>
        <w:t xml:space="preserve">INFUNDADO </w:t>
      </w:r>
      <w:r w:rsidRPr="6587892C" w:rsidR="000B6350">
        <w:rPr>
          <w:rFonts w:ascii="Times New Roman" w:hAnsi="Times New Roman" w:eastAsia="Arial Unicode MS" w:cs="Times New Roman"/>
          <w:sz w:val="24"/>
          <w:szCs w:val="24"/>
          <w:lang w:val="es-PE"/>
        </w:rPr>
        <w:t xml:space="preserve">el recurso de impugnación interpuesto y confirmar la Resolución </w:t>
      </w:r>
      <w:r w:rsidRPr="6587892C" w:rsidR="000B6350">
        <w:rPr>
          <w:rFonts w:ascii="Times New Roman" w:hAnsi="Times New Roman" w:eastAsia="Arial Unicode MS" w:cs="Times New Roman"/>
          <w:sz w:val="24"/>
          <w:szCs w:val="24"/>
          <w:lang w:val="es-PE"/>
        </w:rPr>
        <w:t>Nº</w:t>
      </w:r>
      <w:r w:rsidRPr="6587892C" w:rsidR="000B6350">
        <w:rPr>
          <w:rFonts w:ascii="Times New Roman" w:hAnsi="Times New Roman" w:eastAsia="Arial Unicode MS" w:cs="Times New Roman"/>
          <w:sz w:val="24"/>
          <w:szCs w:val="24"/>
          <w:lang w:val="es-PE"/>
        </w:rPr>
        <w:t xml:space="preserve"> 162</w:t>
      </w:r>
      <w:r w:rsidRPr="6587892C" w:rsidR="000B6350">
        <w:rPr>
          <w:rFonts w:ascii="Times New Roman" w:hAnsi="Times New Roman" w:cs="Times New Roman"/>
          <w:sz w:val="24"/>
          <w:szCs w:val="24"/>
          <w:lang w:val="es-PE"/>
        </w:rPr>
        <w:t xml:space="preserve">/21 de fecha 22 de noviembre de 2021 que declaró fundado el reclamo interpuesto por don </w:t>
      </w:r>
      <w:r w:rsidRPr="6587892C" w:rsidR="4B0DA5D9">
        <w:rPr>
          <w:rFonts w:ascii="Times New Roman" w:hAnsi="Times New Roman" w:cs="Times New Roman"/>
          <w:sz w:val="24"/>
          <w:szCs w:val="24"/>
          <w:lang w:val="es-PE"/>
        </w:rPr>
        <w:t>..........................................</w:t>
      </w:r>
      <w:r w:rsidRPr="6587892C" w:rsidR="000B6350">
        <w:rPr>
          <w:rFonts w:ascii="Times New Roman" w:hAnsi="Times New Roman" w:cs="Times New Roman"/>
          <w:sz w:val="24"/>
          <w:szCs w:val="24"/>
          <w:lang w:val="es-PE"/>
        </w:rPr>
        <w:t xml:space="preserve"> </w:t>
      </w:r>
      <w:r w:rsidRPr="6587892C" w:rsidR="750549B6">
        <w:rPr>
          <w:rFonts w:ascii="Times New Roman" w:hAnsi="Times New Roman" w:cs="Times New Roman"/>
          <w:sz w:val="24"/>
          <w:szCs w:val="24"/>
          <w:lang w:val="es-PE"/>
        </w:rPr>
        <w:t>..........................................</w:t>
      </w:r>
      <w:r w:rsidRPr="6587892C" w:rsidR="000B6350">
        <w:rPr>
          <w:rFonts w:ascii="Times New Roman" w:hAnsi="Times New Roman" w:cs="Times New Roman"/>
          <w:sz w:val="24"/>
          <w:szCs w:val="24"/>
          <w:lang w:val="es-PE"/>
        </w:rPr>
        <w:t xml:space="preserve"> contra </w:t>
      </w:r>
      <w:r w:rsidRPr="6587892C" w:rsidR="1B37821A">
        <w:rPr>
          <w:rFonts w:ascii="Times New Roman" w:hAnsi="Times New Roman" w:cs="Times New Roman"/>
          <w:sz w:val="24"/>
          <w:szCs w:val="24"/>
          <w:lang w:val="es-PE"/>
        </w:rPr>
        <w:t>.........................</w:t>
      </w:r>
      <w:r w:rsidRPr="6587892C" w:rsidR="000B6350">
        <w:rPr>
          <w:rFonts w:ascii="Times New Roman" w:hAnsi="Times New Roman" w:cs="Times New Roman"/>
          <w:sz w:val="24"/>
          <w:szCs w:val="24"/>
          <w:lang w:val="es-PE"/>
        </w:rPr>
        <w:t xml:space="preserve"> respecto de la póliza de seguro Protección de Tarjeta.</w:t>
      </w:r>
    </w:p>
    <w:p w:rsidRPr="000B6350"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ES"/>
        </w:rPr>
      </w:pPr>
    </w:p>
    <w:p w:rsidRPr="000B6350" w:rsidR="00C671F5" w:rsidP="005E398E" w:rsidRDefault="0091528B" w14:paraId="486C3F46" w14:textId="3A706751">
      <w:pPr>
        <w:suppressAutoHyphens/>
        <w:spacing w:after="0" w:line="240" w:lineRule="auto"/>
        <w:jc w:val="right"/>
        <w:outlineLvl w:val="0"/>
        <w:rPr>
          <w:rFonts w:ascii="Times New Roman" w:hAnsi="Times New Roman" w:eastAsia="Arial Unicode MS" w:cs="Times New Roman"/>
          <w:sz w:val="24"/>
          <w:szCs w:val="24"/>
          <w:lang w:val="es-PE" w:eastAsia="ar-SA"/>
        </w:rPr>
      </w:pPr>
      <w:r w:rsidRPr="000B6350">
        <w:rPr>
          <w:rFonts w:ascii="Times New Roman" w:hAnsi="Times New Roman" w:eastAsia="Arial Unicode MS" w:cs="Times New Roman"/>
          <w:sz w:val="24"/>
          <w:szCs w:val="24"/>
          <w:lang w:val="es-PE" w:eastAsia="ar-SA"/>
        </w:rPr>
        <w:t xml:space="preserve">Lima, </w:t>
      </w:r>
      <w:r w:rsidRPr="000B6350" w:rsidR="00826D00">
        <w:rPr>
          <w:rFonts w:ascii="Times New Roman" w:hAnsi="Times New Roman" w:eastAsia="Arial Unicode MS" w:cs="Times New Roman"/>
          <w:sz w:val="24"/>
          <w:szCs w:val="24"/>
          <w:lang w:val="es-PE" w:eastAsia="ar-SA"/>
        </w:rPr>
        <w:t>13</w:t>
      </w:r>
      <w:r w:rsidRPr="000B6350" w:rsidR="00DD21B2">
        <w:rPr>
          <w:rFonts w:ascii="Times New Roman" w:hAnsi="Times New Roman" w:eastAsia="Arial Unicode MS" w:cs="Times New Roman"/>
          <w:sz w:val="24"/>
          <w:szCs w:val="24"/>
          <w:lang w:val="es-PE" w:eastAsia="ar-SA"/>
        </w:rPr>
        <w:t xml:space="preserve"> </w:t>
      </w:r>
      <w:r w:rsidRPr="000B6350" w:rsidR="00707C99">
        <w:rPr>
          <w:rFonts w:ascii="Times New Roman" w:hAnsi="Times New Roman" w:eastAsia="Arial Unicode MS" w:cs="Times New Roman"/>
          <w:sz w:val="24"/>
          <w:szCs w:val="24"/>
          <w:lang w:val="es-PE" w:eastAsia="ar-SA"/>
        </w:rPr>
        <w:t>de</w:t>
      </w:r>
      <w:r w:rsidRPr="000B6350" w:rsidR="00864B0B">
        <w:rPr>
          <w:rFonts w:ascii="Times New Roman" w:hAnsi="Times New Roman" w:eastAsia="Arial Unicode MS" w:cs="Times New Roman"/>
          <w:sz w:val="24"/>
          <w:szCs w:val="24"/>
          <w:lang w:val="es-PE" w:eastAsia="ar-SA"/>
        </w:rPr>
        <w:t xml:space="preserve"> </w:t>
      </w:r>
      <w:r w:rsidRPr="000B6350" w:rsidR="002B632C">
        <w:rPr>
          <w:rFonts w:ascii="Times New Roman" w:hAnsi="Times New Roman" w:eastAsia="Arial Unicode MS" w:cs="Times New Roman"/>
          <w:sz w:val="24"/>
          <w:szCs w:val="24"/>
          <w:lang w:val="es-PE" w:eastAsia="ar-SA"/>
        </w:rPr>
        <w:t>diciembre</w:t>
      </w:r>
      <w:r w:rsidRPr="000B6350" w:rsidR="00F06498">
        <w:rPr>
          <w:rFonts w:ascii="Times New Roman" w:hAnsi="Times New Roman" w:eastAsia="Arial Unicode MS" w:cs="Times New Roman"/>
          <w:sz w:val="24"/>
          <w:szCs w:val="24"/>
          <w:lang w:val="es-PE" w:eastAsia="ar-SA"/>
        </w:rPr>
        <w:t xml:space="preserve"> de 202</w:t>
      </w:r>
      <w:r w:rsidRPr="000B6350" w:rsidR="00231C58">
        <w:rPr>
          <w:rFonts w:ascii="Times New Roman" w:hAnsi="Times New Roman" w:eastAsia="Arial Unicode MS" w:cs="Times New Roman"/>
          <w:sz w:val="24"/>
          <w:szCs w:val="24"/>
          <w:lang w:val="es-PE" w:eastAsia="ar-SA"/>
        </w:rPr>
        <w:t>1</w:t>
      </w:r>
      <w:r w:rsidRPr="000B6350" w:rsidR="00707C99">
        <w:rPr>
          <w:rFonts w:ascii="Times New Roman" w:hAnsi="Times New Roman" w:eastAsia="Times New Roman" w:cs="Times New Roman"/>
          <w:sz w:val="24"/>
          <w:szCs w:val="24"/>
          <w:lang w:val="es-PE" w:eastAsia="ar-SA"/>
        </w:rPr>
        <w:t xml:space="preserve"> </w:t>
      </w:r>
    </w:p>
    <w:p w:rsidRPr="000B6350"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B6350"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0B635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B6350" w:rsidR="009F3DD4" w:rsidP="007068AE" w:rsidRDefault="009F3DD4" w14:paraId="451211B4" w14:textId="3761F828">
      <w:pPr>
        <w:spacing w:after="0" w:line="360" w:lineRule="auto"/>
        <w:rPr>
          <w:rFonts w:ascii="Times New Roman" w:hAnsi="Times New Roman" w:cs="Times New Roman"/>
          <w:b/>
          <w:bCs/>
          <w:sz w:val="24"/>
          <w:szCs w:val="24"/>
          <w:lang w:val="es-PE"/>
        </w:rPr>
      </w:pPr>
    </w:p>
    <w:p w:rsidRPr="00065F91" w:rsidR="001068A5" w:rsidP="001068A5" w:rsidRDefault="001068A5" w14:paraId="42DDD954" w14:textId="77777777">
      <w:pPr>
        <w:spacing w:after="0" w:line="360" w:lineRule="auto"/>
        <w:jc w:val="center"/>
        <w:rPr>
          <w:rFonts w:ascii="Times New Roman" w:hAnsi="Times New Roman" w:cs="Times New Roman"/>
          <w:b/>
          <w:bCs/>
          <w:sz w:val="24"/>
          <w:szCs w:val="24"/>
          <w:lang w:val="es-PE"/>
        </w:rPr>
      </w:pPr>
      <w:r w:rsidRPr="00065F91">
        <w:rPr>
          <w:rFonts w:ascii="Times New Roman" w:hAnsi="Times New Roman" w:cs="Times New Roman"/>
          <w:b/>
          <w:bCs/>
          <w:sz w:val="24"/>
          <w:szCs w:val="24"/>
          <w:lang w:val="es-PE"/>
        </w:rPr>
        <w:t xml:space="preserve">Rolando Eyzaguirre Maccan – </w:t>
      </w:r>
      <w:proofErr w:type="gramStart"/>
      <w:r w:rsidRPr="00065F91">
        <w:rPr>
          <w:rFonts w:ascii="Times New Roman" w:hAnsi="Times New Roman" w:cs="Times New Roman"/>
          <w:b/>
          <w:bCs/>
          <w:sz w:val="24"/>
          <w:szCs w:val="24"/>
          <w:lang w:val="es-PE"/>
        </w:rPr>
        <w:t>Presidente</w:t>
      </w:r>
      <w:proofErr w:type="gramEnd"/>
    </w:p>
    <w:p w:rsidRPr="00065F91" w:rsidR="001068A5" w:rsidP="001068A5" w:rsidRDefault="001068A5" w14:paraId="53E73E76" w14:textId="77777777">
      <w:pPr>
        <w:spacing w:after="0" w:line="360" w:lineRule="auto"/>
        <w:jc w:val="center"/>
        <w:rPr>
          <w:rFonts w:ascii="Times New Roman" w:hAnsi="Times New Roman" w:cs="Times New Roman"/>
          <w:b/>
          <w:bCs/>
          <w:sz w:val="24"/>
          <w:szCs w:val="24"/>
          <w:lang w:val="es-PE"/>
        </w:rPr>
      </w:pPr>
      <w:r w:rsidRPr="00065F91">
        <w:rPr>
          <w:rFonts w:ascii="Times New Roman" w:hAnsi="Times New Roman" w:cs="Times New Roman"/>
          <w:b/>
          <w:bCs/>
          <w:sz w:val="24"/>
          <w:szCs w:val="24"/>
          <w:lang w:val="es-PE"/>
        </w:rPr>
        <w:t>María Eugenia Valdez Fernández Baca– Vocal</w:t>
      </w:r>
    </w:p>
    <w:p w:rsidRPr="00065F91" w:rsidR="001068A5" w:rsidP="001068A5" w:rsidRDefault="001068A5" w14:paraId="695411A0" w14:textId="77777777">
      <w:pPr>
        <w:spacing w:after="0" w:line="360" w:lineRule="auto"/>
        <w:jc w:val="center"/>
        <w:rPr>
          <w:rFonts w:ascii="Times New Roman" w:hAnsi="Times New Roman" w:cs="Times New Roman"/>
          <w:sz w:val="24"/>
          <w:szCs w:val="24"/>
          <w:lang w:val="es-PE"/>
        </w:rPr>
      </w:pPr>
      <w:r w:rsidRPr="00065F91">
        <w:rPr>
          <w:rFonts w:ascii="Times New Roman" w:hAnsi="Times New Roman" w:cs="Times New Roman"/>
          <w:b/>
          <w:bCs/>
          <w:sz w:val="24"/>
          <w:szCs w:val="24"/>
          <w:lang w:val="es-PE"/>
        </w:rPr>
        <w:t>Marco Antonio Ortega Piana – Vocal</w:t>
      </w:r>
    </w:p>
    <w:p w:rsidRPr="00065F91" w:rsidR="001068A5" w:rsidP="001068A5" w:rsidRDefault="001068A5" w14:paraId="59352261" w14:textId="77777777">
      <w:pPr>
        <w:spacing w:after="0" w:line="360" w:lineRule="auto"/>
        <w:jc w:val="center"/>
        <w:rPr>
          <w:rFonts w:ascii="Times New Roman" w:hAnsi="Times New Roman" w:cs="Times New Roman"/>
          <w:sz w:val="24"/>
          <w:szCs w:val="24"/>
          <w:lang w:val="es-PE"/>
        </w:rPr>
      </w:pPr>
      <w:r w:rsidRPr="00065F91">
        <w:rPr>
          <w:rFonts w:ascii="Times New Roman" w:hAnsi="Times New Roman" w:cs="Times New Roman"/>
          <w:b/>
          <w:bCs/>
          <w:sz w:val="24"/>
          <w:szCs w:val="24"/>
          <w:lang w:val="es-PE"/>
        </w:rPr>
        <w:t>Gonzalo Abad del Busto – 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0EB6" w:rsidP="00784355" w:rsidRDefault="008E0EB6" w14:paraId="1DCBE640" w14:textId="77777777">
      <w:pPr>
        <w:spacing w:after="0" w:line="240" w:lineRule="auto"/>
      </w:pPr>
      <w:r>
        <w:separator/>
      </w:r>
    </w:p>
  </w:endnote>
  <w:endnote w:type="continuationSeparator" w:id="0">
    <w:p w:rsidR="008E0EB6" w:rsidP="00784355" w:rsidRDefault="008E0EB6" w14:paraId="4A7C19B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0EB6" w:rsidP="00784355" w:rsidRDefault="008E0EB6" w14:paraId="0827251F" w14:textId="77777777">
      <w:pPr>
        <w:spacing w:after="0" w:line="240" w:lineRule="auto"/>
      </w:pPr>
      <w:r>
        <w:separator/>
      </w:r>
    </w:p>
  </w:footnote>
  <w:footnote w:type="continuationSeparator" w:id="0">
    <w:p w:rsidR="008E0EB6" w:rsidP="00784355" w:rsidRDefault="008E0EB6" w14:paraId="6E56498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0EB29E9"/>
    <w:multiLevelType w:val="hybridMultilevel"/>
    <w:tmpl w:val="BCEA00BA"/>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11"/>
  </w:num>
  <w:num w:numId="10">
    <w:abstractNumId w:val="10"/>
  </w:num>
  <w:num w:numId="11">
    <w:abstractNumId w:val="2"/>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519"/>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B6350"/>
    <w:rsid w:val="000C0734"/>
    <w:rsid w:val="000D0DFE"/>
    <w:rsid w:val="000E1B0F"/>
    <w:rsid w:val="000E1E6F"/>
    <w:rsid w:val="000F6340"/>
    <w:rsid w:val="00101978"/>
    <w:rsid w:val="001068A5"/>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1C82"/>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632C"/>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77F22"/>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26E08"/>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8AE"/>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875D5"/>
    <w:rsid w:val="007906AF"/>
    <w:rsid w:val="00794424"/>
    <w:rsid w:val="007950DD"/>
    <w:rsid w:val="007965C0"/>
    <w:rsid w:val="007A09BB"/>
    <w:rsid w:val="007A4108"/>
    <w:rsid w:val="007A4EA9"/>
    <w:rsid w:val="007A7F95"/>
    <w:rsid w:val="007B0FBC"/>
    <w:rsid w:val="007B1018"/>
    <w:rsid w:val="007C14D0"/>
    <w:rsid w:val="007C213D"/>
    <w:rsid w:val="007C64F8"/>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5BB9"/>
    <w:rsid w:val="00826D00"/>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056A"/>
    <w:rsid w:val="008C1DD6"/>
    <w:rsid w:val="008C6A59"/>
    <w:rsid w:val="008D55AF"/>
    <w:rsid w:val="008D6DDF"/>
    <w:rsid w:val="008E0EB6"/>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802F0"/>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0C12"/>
    <w:rsid w:val="00A427D6"/>
    <w:rsid w:val="00A46E96"/>
    <w:rsid w:val="00A51F2A"/>
    <w:rsid w:val="00A54D6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B33"/>
    <w:rsid w:val="00AD1FEC"/>
    <w:rsid w:val="00AD2DF1"/>
    <w:rsid w:val="00AE4125"/>
    <w:rsid w:val="00AF16B6"/>
    <w:rsid w:val="00AF5E87"/>
    <w:rsid w:val="00B00552"/>
    <w:rsid w:val="00B02BEE"/>
    <w:rsid w:val="00B115C4"/>
    <w:rsid w:val="00B11C1C"/>
    <w:rsid w:val="00B135AC"/>
    <w:rsid w:val="00B17BD8"/>
    <w:rsid w:val="00B30B53"/>
    <w:rsid w:val="00B313E9"/>
    <w:rsid w:val="00B32325"/>
    <w:rsid w:val="00B340A4"/>
    <w:rsid w:val="00B40968"/>
    <w:rsid w:val="00B45C2D"/>
    <w:rsid w:val="00B50C90"/>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2BB8"/>
    <w:rsid w:val="00BD797F"/>
    <w:rsid w:val="00BE1470"/>
    <w:rsid w:val="00BE6FFA"/>
    <w:rsid w:val="00BE7C72"/>
    <w:rsid w:val="00BF1421"/>
    <w:rsid w:val="00BF414E"/>
    <w:rsid w:val="00BF5A34"/>
    <w:rsid w:val="00BF78BF"/>
    <w:rsid w:val="00C00BBF"/>
    <w:rsid w:val="00C04AA4"/>
    <w:rsid w:val="00C05445"/>
    <w:rsid w:val="00C05CB4"/>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12D7"/>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2FEE"/>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C789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77303"/>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115CB7CE"/>
    <w:rsid w:val="1B37821A"/>
    <w:rsid w:val="34AF3101"/>
    <w:rsid w:val="4ACFA1B8"/>
    <w:rsid w:val="4B0DA5D9"/>
    <w:rsid w:val="4EBB7BB2"/>
    <w:rsid w:val="520C8D58"/>
    <w:rsid w:val="6587892C"/>
    <w:rsid w:val="6AD9EC1E"/>
    <w:rsid w:val="75054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uiPriority w:val="22"/>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 w:type="paragraph" w:styleId="Textonotapie">
    <w:name w:val="footnote text"/>
    <w:basedOn w:val="Normal"/>
    <w:link w:val="TextonotapieCar"/>
    <w:uiPriority w:val="99"/>
    <w:rsid w:val="008C1DD6"/>
    <w:pPr>
      <w:suppressAutoHyphens/>
      <w:spacing w:after="0" w:line="240" w:lineRule="auto"/>
    </w:pPr>
    <w:rPr>
      <w:rFonts w:ascii="Times New Roman" w:hAnsi="Times New Roman" w:eastAsia="Times New Roman" w:cs="Times New Roman"/>
      <w:sz w:val="24"/>
      <w:szCs w:val="24"/>
      <w:lang w:val="es-ES" w:eastAsia="ar-SA"/>
    </w:rPr>
  </w:style>
  <w:style w:type="character" w:styleId="TextonotapieCar" w:customStyle="1">
    <w:name w:val="Texto nota pie Car"/>
    <w:basedOn w:val="Fuentedeprrafopredeter"/>
    <w:link w:val="Textonotapie"/>
    <w:uiPriority w:val="99"/>
    <w:rsid w:val="008C1DD6"/>
    <w:rPr>
      <w:rFonts w:ascii="Times New Roman" w:hAnsi="Times New Roman" w:eastAsia="Times New Roman" w:cs="Times New Roman"/>
      <w:sz w:val="24"/>
      <w:szCs w:val="24"/>
      <w:lang w:val="es-ES" w:eastAsia="ar-SA"/>
    </w:rPr>
  </w:style>
  <w:style w:type="character" w:styleId="Refdenotaalpie">
    <w:name w:val="footnote reference"/>
    <w:uiPriority w:val="99"/>
    <w:unhideWhenUsed/>
    <w:rsid w:val="008C1D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82382150">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619533829">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684283126">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8CA015E-2753-4F12-B076-4230BE96D749}"/>
</file>

<file path=customXml/itemProps3.xml><?xml version="1.0" encoding="utf-8"?>
<ds:datastoreItem xmlns:ds="http://schemas.openxmlformats.org/officeDocument/2006/customXml" ds:itemID="{EC4E2C23-F3EA-4308-91DD-774F6C85E133}"/>
</file>

<file path=customXml/itemProps4.xml><?xml version="1.0" encoding="utf-8"?>
<ds:datastoreItem xmlns:ds="http://schemas.openxmlformats.org/officeDocument/2006/customXml" ds:itemID="{EE8BABBC-2A26-45A9-B1ED-EC505C4910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117</cp:revision>
  <cp:lastPrinted>2021-12-14T03:56:00Z</cp:lastPrinted>
  <dcterms:created xsi:type="dcterms:W3CDTF">2020-12-18T20:17:00Z</dcterms:created>
  <dcterms:modified xsi:type="dcterms:W3CDTF">2026-02-04T21:14:38Z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