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84694" w:rsidR="00A40C12" w:rsidP="00A40C12" w:rsidRDefault="00201C0D" w14:paraId="24829FCB" w14:textId="6DFECA4B">
      <w:pPr>
        <w:pStyle w:val="Ttulo2"/>
        <w:jc w:val="center"/>
        <w:rPr>
          <w:rFonts w:ascii="Times New Roman" w:hAnsi="Times New Roman" w:cs="Times New Roman"/>
          <w:b/>
          <w:bCs/>
          <w:color w:val="auto"/>
          <w:sz w:val="23"/>
          <w:szCs w:val="23"/>
          <w:lang w:val="es-PE" w:eastAsia="ar-SA"/>
        </w:rPr>
      </w:pPr>
      <w:r w:rsidRPr="00884694">
        <w:rPr>
          <w:rFonts w:ascii="Times New Roman" w:hAnsi="Times New Roman" w:cs="Times New Roman"/>
          <w:b/>
          <w:bCs/>
          <w:color w:val="auto"/>
          <w:sz w:val="23"/>
          <w:szCs w:val="23"/>
          <w:lang w:val="es-PE" w:eastAsia="ar-SA"/>
        </w:rPr>
        <w:t xml:space="preserve">RESOLUCIÓN DE RECURSO IMPUGNATIVO </w:t>
      </w:r>
      <w:r w:rsidRPr="00884694" w:rsidR="00707C99">
        <w:rPr>
          <w:rFonts w:ascii="Times New Roman" w:hAnsi="Times New Roman" w:cs="Times New Roman"/>
          <w:b/>
          <w:bCs/>
          <w:color w:val="auto"/>
          <w:sz w:val="23"/>
          <w:szCs w:val="23"/>
          <w:lang w:val="es-PE" w:eastAsia="ar-SA"/>
        </w:rPr>
        <w:t xml:space="preserve">N° </w:t>
      </w:r>
      <w:r w:rsidRPr="00884694" w:rsidR="00C671F5">
        <w:rPr>
          <w:rFonts w:ascii="Times New Roman" w:hAnsi="Times New Roman" w:cs="Times New Roman"/>
          <w:b/>
          <w:bCs/>
          <w:color w:val="auto"/>
          <w:sz w:val="23"/>
          <w:szCs w:val="23"/>
          <w:lang w:val="es-PE" w:eastAsia="ar-SA"/>
        </w:rPr>
        <w:t>0</w:t>
      </w:r>
      <w:r w:rsidRPr="00884694" w:rsidR="00065F91">
        <w:rPr>
          <w:rFonts w:ascii="Times New Roman" w:hAnsi="Times New Roman" w:cs="Times New Roman"/>
          <w:b/>
          <w:bCs/>
          <w:color w:val="auto"/>
          <w:sz w:val="23"/>
          <w:szCs w:val="23"/>
          <w:lang w:val="es-PE" w:eastAsia="ar-SA"/>
        </w:rPr>
        <w:t>6</w:t>
      </w:r>
      <w:r w:rsidRPr="00884694" w:rsidR="00B869CE">
        <w:rPr>
          <w:rFonts w:ascii="Times New Roman" w:hAnsi="Times New Roman" w:cs="Times New Roman"/>
          <w:b/>
          <w:bCs/>
          <w:color w:val="auto"/>
          <w:sz w:val="23"/>
          <w:szCs w:val="23"/>
          <w:lang w:val="es-PE" w:eastAsia="ar-SA"/>
        </w:rPr>
        <w:t>8</w:t>
      </w:r>
      <w:r w:rsidRPr="00884694" w:rsidR="00517CFF">
        <w:rPr>
          <w:rFonts w:ascii="Times New Roman" w:hAnsi="Times New Roman" w:cs="Times New Roman"/>
          <w:b/>
          <w:bCs/>
          <w:color w:val="auto"/>
          <w:sz w:val="23"/>
          <w:szCs w:val="23"/>
          <w:lang w:val="es-PE" w:eastAsia="ar-SA"/>
        </w:rPr>
        <w:t>/</w:t>
      </w:r>
      <w:r w:rsidRPr="00884694" w:rsidR="00C671F5">
        <w:rPr>
          <w:rFonts w:ascii="Times New Roman" w:hAnsi="Times New Roman" w:cs="Times New Roman"/>
          <w:b/>
          <w:bCs/>
          <w:color w:val="auto"/>
          <w:sz w:val="23"/>
          <w:szCs w:val="23"/>
          <w:lang w:val="es-PE" w:eastAsia="ar-SA"/>
        </w:rPr>
        <w:t>2</w:t>
      </w:r>
      <w:r w:rsidRPr="00884694" w:rsidR="00231C58">
        <w:rPr>
          <w:rFonts w:ascii="Times New Roman" w:hAnsi="Times New Roman" w:cs="Times New Roman"/>
          <w:b/>
          <w:bCs/>
          <w:color w:val="auto"/>
          <w:sz w:val="23"/>
          <w:szCs w:val="23"/>
          <w:lang w:val="es-PE" w:eastAsia="ar-SA"/>
        </w:rPr>
        <w:t>1</w:t>
      </w:r>
    </w:p>
    <w:p w:rsidRPr="00884694" w:rsidR="00884694" w:rsidP="00884694" w:rsidRDefault="00884694" w14:paraId="471C3DC7" w14:textId="77777777">
      <w:pPr>
        <w:jc w:val="both"/>
        <w:outlineLvl w:val="0"/>
        <w:rPr>
          <w:rFonts w:ascii="Times New Roman" w:hAnsi="Times New Roman" w:cs="Times New Roman"/>
          <w:b/>
          <w:bCs/>
          <w:sz w:val="23"/>
          <w:szCs w:val="23"/>
          <w:lang w:val="es-MX"/>
        </w:rPr>
      </w:pPr>
      <w:r w:rsidRPr="00884694">
        <w:rPr>
          <w:rFonts w:ascii="Times New Roman" w:hAnsi="Times New Roman" w:cs="Times New Roman"/>
          <w:b/>
          <w:bCs/>
          <w:sz w:val="23"/>
          <w:szCs w:val="23"/>
          <w:lang w:val="es-MX"/>
        </w:rPr>
        <w:t>VISTOS:</w:t>
      </w:r>
    </w:p>
    <w:p w:rsidRPr="00884694" w:rsidR="00884694" w:rsidP="00884694" w:rsidRDefault="00884694" w14:paraId="7FAE5243" w14:textId="12FADAFF">
      <w:pPr>
        <w:pStyle w:val="Default"/>
        <w:jc w:val="both"/>
        <w:rPr>
          <w:rFonts w:ascii="Times New Roman" w:hAnsi="Times New Roman" w:cs="Times New Roman"/>
          <w:sz w:val="23"/>
          <w:szCs w:val="23"/>
        </w:rPr>
      </w:pPr>
      <w:r w:rsidRPr="2B53A03F" w:rsidR="00884694">
        <w:rPr>
          <w:rFonts w:ascii="Times New Roman" w:hAnsi="Times New Roman" w:cs="Times New Roman"/>
          <w:sz w:val="23"/>
          <w:szCs w:val="23"/>
        </w:rPr>
        <w:t xml:space="preserve">El recurso de impugnación presentado </w:t>
      </w:r>
      <w:r w:rsidRPr="2B53A03F" w:rsidR="00884694">
        <w:rPr>
          <w:rFonts w:ascii="Times New Roman" w:hAnsi="Times New Roman" w:cs="Times New Roman"/>
          <w:sz w:val="23"/>
          <w:szCs w:val="23"/>
        </w:rPr>
        <w:t xml:space="preserve">por  </w:t>
      </w:r>
      <w:r w:rsidRPr="2B53A03F" w:rsidR="2AA1F775">
        <w:rPr>
          <w:rFonts w:ascii="Times New Roman" w:hAnsi="Times New Roman" w:cs="Times New Roman"/>
          <w:b w:val="1"/>
          <w:bCs w:val="1"/>
          <w:sz w:val="23"/>
          <w:szCs w:val="23"/>
        </w:rPr>
        <w:t>.....................................................</w:t>
      </w:r>
      <w:r w:rsidRPr="2B53A03F" w:rsidR="00884694">
        <w:rPr>
          <w:rFonts w:ascii="Times New Roman" w:hAnsi="Times New Roman" w:cs="Times New Roman"/>
          <w:b w:val="1"/>
          <w:bCs w:val="1"/>
          <w:sz w:val="23"/>
          <w:szCs w:val="23"/>
        </w:rPr>
        <w:t xml:space="preserve"> </w:t>
      </w:r>
      <w:r w:rsidRPr="2B53A03F" w:rsidR="00884694">
        <w:rPr>
          <w:rFonts w:ascii="Times New Roman" w:hAnsi="Times New Roman" w:cs="Times New Roman"/>
          <w:sz w:val="23"/>
          <w:szCs w:val="23"/>
        </w:rPr>
        <w:t xml:space="preserve">respecto de la Resolución Nro. 142/21, expedida por el Órgano Resolutivo Unipersonal de esta Defensoría del Asegurado (DEFASEG), conforme a la cual se declaró INFUNDADA la reclamación interpuesta contra </w:t>
      </w:r>
      <w:r w:rsidRPr="2B53A03F" w:rsidR="2F97C65A">
        <w:rPr>
          <w:rFonts w:ascii="Times New Roman" w:hAnsi="Times New Roman" w:cs="Times New Roman"/>
          <w:b w:val="1"/>
          <w:bCs w:val="1"/>
          <w:sz w:val="23"/>
          <w:szCs w:val="23"/>
        </w:rPr>
        <w:t>.....................................................</w:t>
      </w:r>
      <w:r w:rsidRPr="2B53A03F" w:rsidR="00884694">
        <w:rPr>
          <w:rFonts w:ascii="Times New Roman" w:hAnsi="Times New Roman" w:cs="Times New Roman"/>
          <w:b w:val="1"/>
          <w:bCs w:val="1"/>
          <w:sz w:val="23"/>
          <w:szCs w:val="23"/>
        </w:rPr>
        <w:t xml:space="preserve"> </w:t>
      </w:r>
      <w:r w:rsidRPr="2B53A03F" w:rsidR="00884694">
        <w:rPr>
          <w:rFonts w:ascii="Times New Roman" w:hAnsi="Times New Roman" w:cs="Times New Roman"/>
          <w:sz w:val="23"/>
          <w:szCs w:val="23"/>
        </w:rPr>
        <w:t xml:space="preserve">respecto al </w:t>
      </w:r>
      <w:r w:rsidRPr="2B53A03F" w:rsidR="00884694">
        <w:rPr>
          <w:rFonts w:ascii="Times New Roman" w:hAnsi="Times New Roman" w:cs="Times New Roman"/>
          <w:b w:val="1"/>
          <w:bCs w:val="1"/>
          <w:sz w:val="23"/>
          <w:szCs w:val="23"/>
        </w:rPr>
        <w:t xml:space="preserve">SEGURO DE SEPELIO – PÓLIZA No </w:t>
      </w:r>
      <w:r w:rsidRPr="2B53A03F" w:rsidR="03C5BD58">
        <w:rPr>
          <w:rFonts w:ascii="Times New Roman" w:hAnsi="Times New Roman" w:cs="Times New Roman"/>
          <w:b w:val="1"/>
          <w:bCs w:val="1"/>
          <w:sz w:val="23"/>
          <w:szCs w:val="23"/>
        </w:rPr>
        <w:t>.................................</w:t>
      </w:r>
      <w:r w:rsidRPr="2B53A03F" w:rsidR="00884694">
        <w:rPr>
          <w:rFonts w:ascii="Times New Roman" w:hAnsi="Times New Roman" w:cs="Times New Roman"/>
          <w:sz w:val="23"/>
          <w:szCs w:val="23"/>
        </w:rPr>
        <w:t>;</w:t>
      </w:r>
    </w:p>
    <w:p w:rsidRPr="00884694" w:rsidR="00884694" w:rsidP="00884694" w:rsidRDefault="00884694" w14:paraId="35B22F62" w14:textId="77777777">
      <w:pPr>
        <w:autoSpaceDE w:val="0"/>
        <w:autoSpaceDN w:val="0"/>
        <w:adjustRightInd w:val="0"/>
        <w:jc w:val="both"/>
        <w:rPr>
          <w:rFonts w:ascii="Times New Roman" w:hAnsi="Times New Roman" w:cs="Times New Roman"/>
          <w:sz w:val="23"/>
          <w:szCs w:val="23"/>
          <w:lang w:val="es-PE"/>
        </w:rPr>
      </w:pPr>
    </w:p>
    <w:p w:rsidRPr="00884694" w:rsidR="00884694" w:rsidP="00884694" w:rsidRDefault="00884694" w14:paraId="7E6A69FB" w14:textId="30091088">
      <w:pPr>
        <w:autoSpaceDE w:val="0"/>
        <w:autoSpaceDN w:val="0"/>
        <w:adjustRightInd w:val="0"/>
        <w:jc w:val="both"/>
        <w:rPr>
          <w:rFonts w:ascii="Times New Roman" w:hAnsi="Times New Roman" w:cs="Times New Roman"/>
          <w:sz w:val="23"/>
          <w:szCs w:val="23"/>
          <w:lang w:val="es-PE"/>
        </w:rPr>
      </w:pPr>
      <w:r w:rsidRPr="2B53A03F" w:rsidR="00884694">
        <w:rPr>
          <w:rFonts w:ascii="Times New Roman" w:hAnsi="Times New Roman" w:cs="Times New Roman"/>
          <w:sz w:val="23"/>
          <w:szCs w:val="23"/>
          <w:lang w:val="es-PE"/>
        </w:rPr>
        <w:t xml:space="preserve">Que, el indicado recurso se sustenta resumidamente en lo siguiente: (1) </w:t>
      </w:r>
      <w:r w:rsidRPr="2B53A03F" w:rsidR="00884694">
        <w:rPr>
          <w:rFonts w:ascii="Times New Roman" w:hAnsi="Times New Roman" w:cs="Times New Roman"/>
          <w:sz w:val="23"/>
          <w:szCs w:val="23"/>
          <w:lang w:val="es-PE"/>
        </w:rPr>
        <w:t>de acuerdo a</w:t>
      </w:r>
      <w:r w:rsidRPr="2B53A03F" w:rsidR="00884694">
        <w:rPr>
          <w:rFonts w:ascii="Times New Roman" w:hAnsi="Times New Roman" w:cs="Times New Roman"/>
          <w:sz w:val="23"/>
          <w:szCs w:val="23"/>
          <w:lang w:val="es-PE"/>
        </w:rPr>
        <w:t xml:space="preserve"> la audiencia oral de fecha 27 de setiembre la empresa aseguradora </w:t>
      </w:r>
      <w:r w:rsidRPr="2B53A03F" w:rsidR="0A5AA286">
        <w:rPr>
          <w:rFonts w:ascii="Times New Roman" w:hAnsi="Times New Roman" w:cs="Times New Roman"/>
          <w:sz w:val="23"/>
          <w:szCs w:val="23"/>
          <w:lang w:val="es-PE"/>
        </w:rPr>
        <w:t>.................................</w:t>
      </w:r>
      <w:r w:rsidRPr="2B53A03F" w:rsidR="00884694">
        <w:rPr>
          <w:rFonts w:ascii="Times New Roman" w:hAnsi="Times New Roman" w:cs="Times New Roman"/>
          <w:sz w:val="23"/>
          <w:szCs w:val="23"/>
          <w:lang w:val="es-PE"/>
        </w:rPr>
        <w:t xml:space="preserve">, sostuvo que había un error en la liquidación y quedaron en que iban a hacer una revisión de </w:t>
      </w:r>
      <w:r w:rsidRPr="2B53A03F" w:rsidR="00884694">
        <w:rPr>
          <w:rFonts w:ascii="Times New Roman" w:hAnsi="Times New Roman" w:cs="Times New Roman"/>
          <w:sz w:val="23"/>
          <w:szCs w:val="23"/>
          <w:lang w:val="es-PE"/>
        </w:rPr>
        <w:t>la misma</w:t>
      </w:r>
      <w:r w:rsidRPr="2B53A03F" w:rsidR="00884694">
        <w:rPr>
          <w:rFonts w:ascii="Times New Roman" w:hAnsi="Times New Roman" w:cs="Times New Roman"/>
          <w:sz w:val="23"/>
          <w:szCs w:val="23"/>
          <w:lang w:val="es-PE"/>
        </w:rPr>
        <w:t>; (2) sorprende la respuesta ofrecida por la empresa y aún más el que hayan declarado infundada la reclamación.</w:t>
      </w:r>
    </w:p>
    <w:p w:rsidRPr="00884694" w:rsidR="00884694" w:rsidP="00884694" w:rsidRDefault="00884694" w14:paraId="279C049D" w14:textId="5CB9C4BA">
      <w:pPr>
        <w:pStyle w:val="Textoindependiente"/>
        <w:rPr>
          <w:sz w:val="23"/>
          <w:szCs w:val="23"/>
        </w:rPr>
      </w:pPr>
      <w:r w:rsidRPr="2B53A03F" w:rsidR="00884694">
        <w:rPr>
          <w:sz w:val="23"/>
          <w:szCs w:val="23"/>
        </w:rPr>
        <w:t>Que, la aseguradora absolvió el traslado del recurso interpuesto señalando en síntesis lo siguiente: (1) la recurrente incurre en un error al señalar que “</w:t>
      </w:r>
      <w:r w:rsidRPr="2B53A03F" w:rsidR="00884694">
        <w:rPr>
          <w:i w:val="1"/>
          <w:iCs w:val="1"/>
          <w:sz w:val="23"/>
          <w:szCs w:val="23"/>
        </w:rPr>
        <w:t>hubo un error</w:t>
      </w:r>
      <w:r w:rsidRPr="2B53A03F" w:rsidR="00884694">
        <w:rPr>
          <w:sz w:val="23"/>
          <w:szCs w:val="23"/>
        </w:rPr>
        <w:t>” en la liquidación, toda vez que conforme se desprende del Acta de la citada Audiencia de Informe Oral, es el caso que en la misma se consigna lo siguiente: “</w:t>
      </w:r>
      <w:r w:rsidRPr="2B53A03F" w:rsidR="00884694">
        <w:rPr>
          <w:i w:val="1"/>
          <w:iCs w:val="1"/>
          <w:sz w:val="23"/>
          <w:szCs w:val="23"/>
        </w:rPr>
        <w:t>La Compañía confirme qué ha pagado y con qué montos</w:t>
      </w:r>
      <w:r w:rsidRPr="2B53A03F" w:rsidR="00884694">
        <w:rPr>
          <w:sz w:val="23"/>
          <w:szCs w:val="23"/>
        </w:rPr>
        <w:t xml:space="preserve">”; (2) dando cumplimiento a lo anterior, es el caso que mediante escrito de fecha 04 de octubre de 2021, cuya copia obra en autos, </w:t>
      </w:r>
      <w:r w:rsidRPr="2B53A03F" w:rsidR="0A5AA286">
        <w:rPr>
          <w:sz w:val="23"/>
          <w:szCs w:val="23"/>
        </w:rPr>
        <w:t>.................................</w:t>
      </w:r>
      <w:r w:rsidRPr="2B53A03F" w:rsidR="00884694">
        <w:rPr>
          <w:sz w:val="23"/>
          <w:szCs w:val="23"/>
        </w:rPr>
        <w:t xml:space="preserve"> precisó que efectuamos el pago ascendente a S/. 1,178.00 y corresponde al reembolso por gastos de nicho; (3) </w:t>
      </w:r>
      <w:r w:rsidRPr="2B53A03F" w:rsidR="00884694">
        <w:rPr>
          <w:color w:val="000000" w:themeColor="text1" w:themeTint="FF" w:themeShade="FF"/>
          <w:sz w:val="23"/>
          <w:szCs w:val="23"/>
          <w:lang w:val="es-PE" w:eastAsia="es-PE"/>
        </w:rPr>
        <w:t xml:space="preserve">dicho concepto se encuentra contemplado en el referido </w:t>
      </w:r>
      <w:r w:rsidRPr="2B53A03F" w:rsidR="00884694">
        <w:rPr>
          <w:color w:val="000000" w:themeColor="text1" w:themeTint="FF" w:themeShade="FF"/>
          <w:sz w:val="23"/>
          <w:szCs w:val="23"/>
          <w:lang w:val="es-PE" w:eastAsia="es-PE"/>
        </w:rPr>
        <w:t>Addendum</w:t>
      </w:r>
      <w:r w:rsidRPr="2B53A03F" w:rsidR="00884694">
        <w:rPr>
          <w:color w:val="000000" w:themeColor="text1" w:themeTint="FF" w:themeShade="FF"/>
          <w:sz w:val="23"/>
          <w:szCs w:val="23"/>
          <w:lang w:val="es-PE" w:eastAsia="es-PE"/>
        </w:rPr>
        <w:t xml:space="preserve">, a diferencia del concepto reclamado por la reclamante; (4) </w:t>
      </w:r>
      <w:r w:rsidRPr="2B53A03F" w:rsidR="00884694">
        <w:rPr>
          <w:sz w:val="23"/>
          <w:szCs w:val="23"/>
        </w:rPr>
        <w:t>en el fundamento Sexto de la resolución impugnada, se consigna que la aseguradora (</w:t>
      </w:r>
      <w:r w:rsidRPr="2B53A03F" w:rsidR="0A5AA286">
        <w:rPr>
          <w:sz w:val="23"/>
          <w:szCs w:val="23"/>
        </w:rPr>
        <w:t>.................................</w:t>
      </w:r>
      <w:r w:rsidRPr="2B53A03F" w:rsidR="00884694">
        <w:rPr>
          <w:sz w:val="23"/>
          <w:szCs w:val="23"/>
        </w:rPr>
        <w:t xml:space="preserve">) ha efectuado el pago ascendente a S/. 1,178.00 correspondiente al reembolso por gastos de nicho; (5) </w:t>
      </w:r>
      <w:r w:rsidRPr="2B53A03F" w:rsidR="00884694">
        <w:rPr>
          <w:color w:val="000000" w:themeColor="text1" w:themeTint="FF" w:themeShade="FF"/>
          <w:sz w:val="23"/>
          <w:szCs w:val="23"/>
          <w:lang w:val="es-PE" w:eastAsia="es-PE"/>
        </w:rPr>
        <w:t xml:space="preserve">puede concluirse que el concepto y monto pagado por </w:t>
      </w:r>
      <w:r w:rsidRPr="2B53A03F" w:rsidR="0A5AA286">
        <w:rPr>
          <w:color w:val="000000" w:themeColor="text1" w:themeTint="FF" w:themeShade="FF"/>
          <w:sz w:val="23"/>
          <w:szCs w:val="23"/>
          <w:lang w:val="es-PE" w:eastAsia="es-PE"/>
        </w:rPr>
        <w:t>.................................</w:t>
      </w:r>
      <w:r w:rsidRPr="2B53A03F" w:rsidR="00884694">
        <w:rPr>
          <w:color w:val="000000" w:themeColor="text1" w:themeTint="FF" w:themeShade="FF"/>
          <w:sz w:val="23"/>
          <w:szCs w:val="23"/>
          <w:lang w:val="es-PE" w:eastAsia="es-PE"/>
        </w:rPr>
        <w:t xml:space="preserve">, se encuentra debidamente señalado y, en todo caso, ha sido precisado por </w:t>
      </w:r>
      <w:r w:rsidRPr="2B53A03F" w:rsidR="0A5AA286">
        <w:rPr>
          <w:color w:val="000000" w:themeColor="text1" w:themeTint="FF" w:themeShade="FF"/>
          <w:sz w:val="23"/>
          <w:szCs w:val="23"/>
          <w:lang w:val="es-PE" w:eastAsia="es-PE"/>
        </w:rPr>
        <w:t>.................................</w:t>
      </w:r>
      <w:r w:rsidRPr="2B53A03F" w:rsidR="00884694">
        <w:rPr>
          <w:color w:val="000000" w:themeColor="text1" w:themeTint="FF" w:themeShade="FF"/>
          <w:sz w:val="23"/>
          <w:szCs w:val="23"/>
          <w:lang w:val="es-PE" w:eastAsia="es-PE"/>
        </w:rPr>
        <w:t xml:space="preserve">, no existiendo duda al respecto, lo cual al parecer no ha sido entendido por la recurrente; (6) </w:t>
      </w:r>
      <w:r w:rsidRPr="2B53A03F" w:rsidR="00884694">
        <w:rPr>
          <w:sz w:val="23"/>
          <w:szCs w:val="23"/>
        </w:rPr>
        <w:t xml:space="preserve">la reclamante incurre en error al sostener que existiría falta de precisión o error en el concepto y monto reclamado, cuando es el caso que </w:t>
      </w:r>
      <w:r w:rsidRPr="2B53A03F" w:rsidR="0A5AA286">
        <w:rPr>
          <w:sz w:val="23"/>
          <w:szCs w:val="23"/>
        </w:rPr>
        <w:t>.................................</w:t>
      </w:r>
      <w:r w:rsidRPr="2B53A03F" w:rsidR="00884694">
        <w:rPr>
          <w:sz w:val="23"/>
          <w:szCs w:val="23"/>
        </w:rPr>
        <w:t xml:space="preserve"> ya lo ha señalado y reiterado; (7) </w:t>
      </w:r>
      <w:r w:rsidRPr="2B53A03F" w:rsidR="00884694">
        <w:rPr>
          <w:color w:val="000000" w:themeColor="text1" w:themeTint="FF" w:themeShade="FF"/>
          <w:sz w:val="23"/>
          <w:szCs w:val="23"/>
          <w:lang w:val="es-PE" w:eastAsia="es-PE"/>
        </w:rPr>
        <w:t xml:space="preserve">la misma reclamante ha señalado en autos que </w:t>
      </w:r>
      <w:r w:rsidRPr="2B53A03F" w:rsidR="0A5AA286">
        <w:rPr>
          <w:color w:val="000000" w:themeColor="text1" w:themeTint="FF" w:themeShade="FF"/>
          <w:sz w:val="23"/>
          <w:szCs w:val="23"/>
          <w:lang w:val="es-PE" w:eastAsia="es-PE"/>
        </w:rPr>
        <w:t>.................................</w:t>
      </w:r>
      <w:r w:rsidRPr="2B53A03F" w:rsidR="00884694">
        <w:rPr>
          <w:color w:val="000000" w:themeColor="text1" w:themeTint="FF" w:themeShade="FF"/>
          <w:sz w:val="23"/>
          <w:szCs w:val="23"/>
          <w:lang w:val="es-PE" w:eastAsia="es-PE"/>
        </w:rPr>
        <w:t xml:space="preserve"> canceló el monto y concepto señalado (lo cual también se describe en el sexto párrafo de la resolución), siendo el caso que únicamente ella ha manifestado su disconformidad con el monto y además ha requerido el pago de “reembolso de gastos de sepelio” (cobertura que no se encuentra contratada); (8) </w:t>
      </w:r>
      <w:r w:rsidRPr="2B53A03F" w:rsidR="00884694">
        <w:rPr>
          <w:sz w:val="23"/>
          <w:szCs w:val="23"/>
        </w:rPr>
        <w:t xml:space="preserve"> la reclamante no desvirtúa el razonamiento jurídico ni la decisión de la Defensoría en cuanto a la resolución que dispuso declarar infundada la reclamación interpuesta; (9) el recurso de impugnación no aporta fundamento ni medio probatorio alguno que pueda demostrar que la resolución recurrida deba ser revocada.</w:t>
      </w:r>
    </w:p>
    <w:p w:rsidRPr="00884694" w:rsidR="00884694" w:rsidP="00884694" w:rsidRDefault="00884694" w14:paraId="2769C01F" w14:textId="77777777">
      <w:pPr>
        <w:pStyle w:val="Textoindependiente"/>
        <w:rPr>
          <w:sz w:val="23"/>
          <w:szCs w:val="23"/>
        </w:rPr>
      </w:pPr>
    </w:p>
    <w:p w:rsidRPr="00884694" w:rsidR="00884694" w:rsidP="00884694" w:rsidRDefault="00884694" w14:paraId="1EFC2ADF" w14:textId="77777777">
      <w:pPr>
        <w:pStyle w:val="Textoindependiente"/>
        <w:tabs>
          <w:tab w:val="left" w:pos="930"/>
        </w:tabs>
        <w:rPr>
          <w:sz w:val="23"/>
          <w:szCs w:val="23"/>
        </w:rPr>
      </w:pPr>
      <w:r w:rsidRPr="00884694">
        <w:rPr>
          <w:sz w:val="23"/>
          <w:szCs w:val="23"/>
        </w:rPr>
        <w:t>Que, atendiendo a lo expuesto, esta Defensoría resuelve finalmente lo siguiente:</w:t>
      </w:r>
    </w:p>
    <w:p w:rsidR="00884694" w:rsidP="00884694" w:rsidRDefault="00884694" w14:paraId="786E40AE" w14:textId="77777777">
      <w:pPr>
        <w:jc w:val="both"/>
        <w:rPr>
          <w:rFonts w:ascii="Times New Roman" w:hAnsi="Times New Roman" w:cs="Times New Roman"/>
          <w:b/>
          <w:sz w:val="23"/>
          <w:szCs w:val="23"/>
          <w:u w:val="single"/>
          <w:lang w:val="es-PE"/>
        </w:rPr>
      </w:pPr>
    </w:p>
    <w:p w:rsidRPr="00884694" w:rsidR="00884694" w:rsidP="00884694" w:rsidRDefault="00884694" w14:paraId="4DE5D5FF" w14:textId="0301D5A8">
      <w:pPr>
        <w:jc w:val="both"/>
        <w:rPr>
          <w:rFonts w:ascii="Times New Roman" w:hAnsi="Times New Roman" w:cs="Times New Roman"/>
          <w:sz w:val="23"/>
          <w:szCs w:val="23"/>
          <w:lang w:val="es-PE"/>
        </w:rPr>
      </w:pPr>
      <w:r w:rsidRPr="00884694">
        <w:rPr>
          <w:rFonts w:ascii="Times New Roman" w:hAnsi="Times New Roman" w:cs="Times New Roman"/>
          <w:b/>
          <w:sz w:val="23"/>
          <w:szCs w:val="23"/>
          <w:u w:val="single"/>
          <w:lang w:val="es-PE"/>
        </w:rPr>
        <w:t>PRIMERO</w:t>
      </w:r>
      <w:r w:rsidRPr="00884694">
        <w:rPr>
          <w:rFonts w:ascii="Times New Roman" w:hAnsi="Times New Roman" w:cs="Times New Roman"/>
          <w:b/>
          <w:sz w:val="23"/>
          <w:szCs w:val="23"/>
          <w:lang w:val="es-PE"/>
        </w:rPr>
        <w:t>:</w:t>
      </w:r>
      <w:r w:rsidRPr="00884694">
        <w:rPr>
          <w:rFonts w:ascii="Times New Roman" w:hAnsi="Times New Roman" w:cs="Times New Roman"/>
          <w:sz w:val="23"/>
          <w:szCs w:val="23"/>
          <w:lang w:val="es-PE"/>
        </w:rPr>
        <w:t xml:space="preserve"> El artículo 10 (Procedimiento) del Reglamento de la DEFASEG </w:t>
      </w:r>
      <w:r w:rsidRPr="00884694">
        <w:rPr>
          <w:rFonts w:ascii="Times New Roman" w:hAnsi="Times New Roman" w:eastAsia="Arial Unicode MS" w:cs="Times New Roman"/>
          <w:sz w:val="23"/>
          <w:szCs w:val="23"/>
          <w:lang w:val="es-PE"/>
        </w:rPr>
        <w:t>(http://www.defaseg.com.pe/reglamento)</w:t>
      </w:r>
      <w:r w:rsidRPr="00884694">
        <w:rPr>
          <w:rFonts w:ascii="Times New Roman" w:hAnsi="Times New Roman" w:cs="Times New Roman"/>
          <w:sz w:val="23"/>
          <w:szCs w:val="23"/>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Pr="00884694" w:rsidR="00884694" w:rsidP="00884694" w:rsidRDefault="00884694" w14:paraId="4C44234C" w14:textId="47EC437C">
      <w:pPr>
        <w:jc w:val="both"/>
        <w:rPr>
          <w:rFonts w:ascii="Times New Roman" w:hAnsi="Times New Roman" w:cs="Times New Roman"/>
          <w:sz w:val="23"/>
          <w:szCs w:val="23"/>
          <w:lang w:val="es-PE"/>
        </w:rPr>
      </w:pPr>
      <w:r w:rsidRPr="00884694">
        <w:rPr>
          <w:rFonts w:ascii="Times New Roman" w:hAnsi="Times New Roman" w:cs="Times New Roman"/>
          <w:sz w:val="23"/>
          <w:szCs w:val="23"/>
          <w:lang w:val="es-PE"/>
        </w:rPr>
        <w:t>Conforme a ello, en el caso concreto, al interponer el recurso de impugnación la reclamante ha ejercido formalmente su derecho a contradecir lo resuelto por la Defensoría.</w:t>
      </w:r>
    </w:p>
    <w:p w:rsidRPr="00884694" w:rsidR="00884694" w:rsidP="00884694" w:rsidRDefault="00884694" w14:paraId="5659A815" w14:textId="52AAA2FA">
      <w:pPr>
        <w:jc w:val="both"/>
        <w:rPr>
          <w:rFonts w:ascii="Times New Roman" w:hAnsi="Times New Roman" w:cs="Times New Roman"/>
          <w:sz w:val="23"/>
          <w:szCs w:val="23"/>
          <w:lang w:val="es-ES"/>
        </w:rPr>
      </w:pPr>
      <w:r w:rsidRPr="2B53A03F" w:rsidR="00884694">
        <w:rPr>
          <w:rFonts w:ascii="Times New Roman" w:hAnsi="Times New Roman" w:cs="Times New Roman"/>
          <w:b w:val="1"/>
          <w:bCs w:val="1"/>
          <w:sz w:val="23"/>
          <w:szCs w:val="23"/>
          <w:u w:val="single"/>
          <w:lang w:val="es-PE"/>
        </w:rPr>
        <w:t>SEGUNDO</w:t>
      </w:r>
      <w:r w:rsidRPr="2B53A03F" w:rsidR="00884694">
        <w:rPr>
          <w:rFonts w:ascii="Times New Roman" w:hAnsi="Times New Roman" w:cs="Times New Roman"/>
          <w:b w:val="1"/>
          <w:bCs w:val="1"/>
          <w:sz w:val="23"/>
          <w:szCs w:val="23"/>
          <w:lang w:val="es-PE"/>
        </w:rPr>
        <w:t>:</w:t>
      </w:r>
      <w:r w:rsidRPr="2B53A03F" w:rsidR="00884694">
        <w:rPr>
          <w:rFonts w:ascii="Times New Roman" w:hAnsi="Times New Roman" w:cs="Times New Roman"/>
          <w:sz w:val="23"/>
          <w:szCs w:val="23"/>
          <w:lang w:val="es-PE"/>
        </w:rPr>
        <w:t xml:space="preserve"> Que el recurso de impugnación presentado por la recurrente no se sustenta en nueva prueba ni en nueva argumentación, sino en asumir que </w:t>
      </w:r>
      <w:r w:rsidRPr="2B53A03F" w:rsidR="00884694">
        <w:rPr>
          <w:rFonts w:ascii="Times New Roman" w:hAnsi="Times New Roman" w:cs="Times New Roman"/>
          <w:sz w:val="23"/>
          <w:szCs w:val="23"/>
          <w:lang w:val="es-PE"/>
        </w:rPr>
        <w:t xml:space="preserve">la empresa aseguradora </w:t>
      </w:r>
      <w:r w:rsidRPr="2B53A03F" w:rsidR="0A5AA286">
        <w:rPr>
          <w:rFonts w:ascii="Times New Roman" w:hAnsi="Times New Roman" w:cs="Times New Roman"/>
          <w:sz w:val="23"/>
          <w:szCs w:val="23"/>
          <w:lang w:val="es-PE"/>
        </w:rPr>
        <w:t>.................................</w:t>
      </w:r>
      <w:r w:rsidRPr="2B53A03F" w:rsidR="00884694">
        <w:rPr>
          <w:rFonts w:ascii="Times New Roman" w:hAnsi="Times New Roman" w:cs="Times New Roman"/>
          <w:sz w:val="23"/>
          <w:szCs w:val="23"/>
          <w:lang w:val="es-PE"/>
        </w:rPr>
        <w:t xml:space="preserve">, sostuvo que había un error en la liquidación y quedaron en que iban a hacer una revisión de </w:t>
      </w:r>
      <w:r w:rsidRPr="2B53A03F" w:rsidR="00884694">
        <w:rPr>
          <w:rFonts w:ascii="Times New Roman" w:hAnsi="Times New Roman" w:cs="Times New Roman"/>
          <w:sz w:val="23"/>
          <w:szCs w:val="23"/>
          <w:lang w:val="es-PE"/>
        </w:rPr>
        <w:t>la misma</w:t>
      </w:r>
      <w:r w:rsidRPr="2B53A03F" w:rsidR="00884694">
        <w:rPr>
          <w:rFonts w:ascii="Times New Roman" w:hAnsi="Times New Roman" w:cs="Times New Roman"/>
          <w:sz w:val="23"/>
          <w:szCs w:val="23"/>
          <w:lang w:val="es-PE"/>
        </w:rPr>
        <w:t>.</w:t>
      </w:r>
    </w:p>
    <w:p w:rsidRPr="00884694" w:rsidR="00884694" w:rsidP="00884694" w:rsidRDefault="00884694" w14:paraId="23FEE63C" w14:textId="77777777">
      <w:pPr>
        <w:jc w:val="both"/>
        <w:rPr>
          <w:rFonts w:ascii="Times New Roman" w:hAnsi="Times New Roman" w:cs="Times New Roman"/>
          <w:sz w:val="23"/>
          <w:szCs w:val="23"/>
          <w:lang w:val="es-PE"/>
        </w:rPr>
      </w:pPr>
      <w:r w:rsidRPr="00884694">
        <w:rPr>
          <w:rFonts w:ascii="Times New Roman" w:hAnsi="Times New Roman" w:cs="Times New Roman"/>
          <w:sz w:val="23"/>
          <w:szCs w:val="23"/>
          <w:lang w:val="es-PE"/>
        </w:rPr>
        <w:t xml:space="preserve">Conforme a la </w:t>
      </w:r>
      <w:r w:rsidRPr="00884694">
        <w:rPr>
          <w:rFonts w:ascii="Times New Roman" w:hAnsi="Times New Roman" w:cs="Times New Roman"/>
          <w:bCs/>
          <w:sz w:val="23"/>
          <w:szCs w:val="23"/>
          <w:lang w:val="es-PE"/>
        </w:rPr>
        <w:t xml:space="preserve">resolución recurrida, se encontró legítimo el rechazo de cobertura al verificarse que la </w:t>
      </w:r>
      <w:r w:rsidRPr="00884694">
        <w:rPr>
          <w:rFonts w:ascii="Times New Roman" w:hAnsi="Times New Roman" w:cs="Times New Roman"/>
          <w:sz w:val="23"/>
          <w:szCs w:val="23"/>
          <w:lang w:val="es-PE"/>
        </w:rPr>
        <w:t>aseguradora efectuó el pago ascendente a S/. 1,178.00 correspondiente al reembolso por gastos de nicho, conforme a las estipulaciones contractuales que vinculan a las partes.</w:t>
      </w:r>
    </w:p>
    <w:p w:rsidRPr="00884694" w:rsidR="00884694" w:rsidP="00884694" w:rsidRDefault="00884694" w14:paraId="3A934B0C" w14:textId="77777777">
      <w:pPr>
        <w:jc w:val="both"/>
        <w:rPr>
          <w:rFonts w:ascii="Times New Roman" w:hAnsi="Times New Roman" w:cs="Times New Roman"/>
          <w:sz w:val="23"/>
          <w:szCs w:val="23"/>
          <w:lang w:val="es-PE"/>
        </w:rPr>
      </w:pPr>
      <w:r w:rsidRPr="00884694">
        <w:rPr>
          <w:rFonts w:ascii="Times New Roman" w:hAnsi="Times New Roman" w:cs="Times New Roman"/>
          <w:sz w:val="23"/>
          <w:szCs w:val="23"/>
          <w:lang w:val="es-PE"/>
        </w:rPr>
        <w:t>En efecto, de acuerdo con dichas estipulaciones, los servicios funerarios se prestan por las agencias funerarias del asegurador o las autorizadas por éste, a las tarifas establecidas para esos servicios.</w:t>
      </w:r>
    </w:p>
    <w:p w:rsidRPr="00884694" w:rsidR="00884694" w:rsidP="00884694" w:rsidRDefault="00884694" w14:paraId="4A74C534" w14:textId="77777777">
      <w:pPr>
        <w:jc w:val="both"/>
        <w:rPr>
          <w:rFonts w:ascii="Times New Roman" w:hAnsi="Times New Roman" w:cs="Times New Roman"/>
          <w:sz w:val="23"/>
          <w:szCs w:val="23"/>
          <w:lang w:val="es-PE"/>
        </w:rPr>
      </w:pPr>
      <w:r w:rsidRPr="00884694">
        <w:rPr>
          <w:rFonts w:ascii="Times New Roman" w:hAnsi="Times New Roman" w:cs="Times New Roman"/>
          <w:sz w:val="23"/>
          <w:szCs w:val="23"/>
          <w:lang w:val="es-PE"/>
        </w:rPr>
        <w:t>Asimismo, se constató que, conforme al contrato de seguro, no está previsto el otorgamiento de cobertura vía reembolso del valor de mercado del nicho que el asegurado haya adquirido por su cuenta, excediendo los límites contratados, por lo que el petitorio de la reclamación no corresponde a las condiciones de cobertura contratadas.</w:t>
      </w:r>
    </w:p>
    <w:p w:rsidRPr="00884694" w:rsidR="00884694" w:rsidP="00884694" w:rsidRDefault="00884694" w14:paraId="279BDE8E" w14:textId="77777777">
      <w:pPr>
        <w:jc w:val="both"/>
        <w:rPr>
          <w:rFonts w:ascii="Times New Roman" w:hAnsi="Times New Roman" w:cs="Times New Roman"/>
          <w:sz w:val="23"/>
          <w:szCs w:val="23"/>
          <w:lang w:val="es-MX"/>
        </w:rPr>
      </w:pPr>
      <w:r w:rsidRPr="00884694">
        <w:rPr>
          <w:rFonts w:ascii="Times New Roman" w:hAnsi="Times New Roman" w:cs="Times New Roman"/>
          <w:sz w:val="23"/>
          <w:szCs w:val="23"/>
          <w:lang w:val="es-PE"/>
        </w:rPr>
        <w:t>Finalmente, cabe resaltar que al Acta de la Audiencia de Informe Oral se requirió a la aseguradora que confirme qué conceptos pagó y con qué montos, no existiendo apreciación ni reconocimiento de un error en la liquidación efectuada.</w:t>
      </w:r>
    </w:p>
    <w:p w:rsidRPr="00884694" w:rsidR="00884694" w:rsidP="00884694" w:rsidRDefault="00884694" w14:paraId="5548F6ED" w14:textId="77777777">
      <w:pPr>
        <w:jc w:val="both"/>
        <w:rPr>
          <w:rFonts w:ascii="Times New Roman" w:hAnsi="Times New Roman" w:cs="Times New Roman"/>
          <w:sz w:val="23"/>
          <w:szCs w:val="23"/>
          <w:lang w:val="es-PE"/>
        </w:rPr>
      </w:pPr>
      <w:r w:rsidRPr="00884694">
        <w:rPr>
          <w:rFonts w:ascii="Times New Roman" w:hAnsi="Times New Roman" w:cs="Times New Roman"/>
          <w:sz w:val="23"/>
          <w:szCs w:val="23"/>
          <w:lang w:val="es-PE"/>
        </w:rPr>
        <w:t xml:space="preserve">Por lo tanto, este Colegiado advierte que no existe falta de motivación ni vulneración al debido proceso, o error en la resolución impugnada, por cuanto esta se fundamenta en la aplicación del </w:t>
      </w:r>
      <w:r w:rsidRPr="00884694">
        <w:rPr>
          <w:rFonts w:ascii="Times New Roman" w:hAnsi="Times New Roman" w:cs="Times New Roman"/>
          <w:bCs/>
          <w:sz w:val="23"/>
          <w:szCs w:val="23"/>
          <w:lang w:val="es-PE"/>
        </w:rPr>
        <w:t>pacto contractual estipulado entre las partes.</w:t>
      </w:r>
    </w:p>
    <w:p w:rsidRPr="00884694" w:rsidR="00884694" w:rsidP="00884694" w:rsidRDefault="00884694" w14:paraId="06A3016F" w14:textId="77777777">
      <w:pPr>
        <w:jc w:val="both"/>
        <w:rPr>
          <w:rFonts w:ascii="Times New Roman" w:hAnsi="Times New Roman" w:cs="Times New Roman"/>
          <w:sz w:val="23"/>
          <w:szCs w:val="23"/>
          <w:lang w:val="es-PE"/>
        </w:rPr>
      </w:pPr>
      <w:r w:rsidRPr="00884694">
        <w:rPr>
          <w:rFonts w:ascii="Times New Roman" w:hAnsi="Times New Roman" w:cs="Times New Roman"/>
          <w:b/>
          <w:sz w:val="23"/>
          <w:szCs w:val="23"/>
          <w:u w:val="single"/>
          <w:lang w:val="es-PE"/>
        </w:rPr>
        <w:t>TERCERO</w:t>
      </w:r>
      <w:r w:rsidRPr="00884694">
        <w:rPr>
          <w:rFonts w:ascii="Times New Roman" w:hAnsi="Times New Roman" w:cs="Times New Roman"/>
          <w:b/>
          <w:sz w:val="23"/>
          <w:szCs w:val="23"/>
          <w:lang w:val="es-PE"/>
        </w:rPr>
        <w:t>:</w:t>
      </w:r>
      <w:r w:rsidRPr="00884694">
        <w:rPr>
          <w:rFonts w:ascii="Times New Roman" w:hAnsi="Times New Roman" w:cs="Times New Roman"/>
          <w:sz w:val="23"/>
          <w:szCs w:val="23"/>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884694" w:rsidR="00884694" w:rsidP="00884694" w:rsidRDefault="00884694" w14:paraId="1BCE3849" w14:textId="77777777">
      <w:pPr>
        <w:jc w:val="both"/>
        <w:rPr>
          <w:rFonts w:ascii="Times New Roman" w:hAnsi="Times New Roman" w:cs="Times New Roman"/>
          <w:b/>
          <w:sz w:val="23"/>
          <w:szCs w:val="23"/>
          <w:lang w:val="es-PE"/>
        </w:rPr>
      </w:pPr>
      <w:r w:rsidRPr="00884694">
        <w:rPr>
          <w:rFonts w:ascii="Times New Roman" w:hAnsi="Times New Roman" w:cs="Times New Roman"/>
          <w:b/>
          <w:sz w:val="23"/>
          <w:szCs w:val="23"/>
          <w:lang w:val="es-PE"/>
        </w:rPr>
        <w:t>RESUELVE:</w:t>
      </w:r>
    </w:p>
    <w:p w:rsidRPr="00884694" w:rsidR="00884694" w:rsidP="00884694" w:rsidRDefault="00884694" w14:paraId="53AFDB1D" w14:textId="77777777">
      <w:pPr>
        <w:jc w:val="both"/>
        <w:rPr>
          <w:rFonts w:ascii="Times New Roman" w:hAnsi="Times New Roman" w:cs="Times New Roman"/>
          <w:sz w:val="23"/>
          <w:szCs w:val="23"/>
          <w:lang w:val="es-PE"/>
        </w:rPr>
      </w:pPr>
      <w:r w:rsidRPr="00884694">
        <w:rPr>
          <w:rFonts w:ascii="Times New Roman" w:hAnsi="Times New Roman" w:eastAsia="Arial Unicode MS" w:cs="Times New Roman"/>
          <w:b/>
          <w:sz w:val="23"/>
          <w:szCs w:val="23"/>
          <w:lang w:val="es-PE"/>
        </w:rPr>
        <w:t>Declarar INFUNDADO el recurso de impugnación interpuesto y, por consiguiente, CONFIRMAR la Resolución Nro. 142/2021</w:t>
      </w:r>
      <w:r w:rsidRPr="00884694">
        <w:rPr>
          <w:rFonts w:ascii="Times New Roman" w:hAnsi="Times New Roman" w:cs="Times New Roman"/>
          <w:sz w:val="23"/>
          <w:szCs w:val="23"/>
          <w:lang w:val="es-PE"/>
        </w:rPr>
        <w:t>.</w:t>
      </w:r>
    </w:p>
    <w:p w:rsidRPr="00884694" w:rsidR="00C671F5" w:rsidP="005E398E" w:rsidRDefault="0091528B" w14:paraId="486C3F46" w14:textId="354388E9">
      <w:pPr>
        <w:suppressAutoHyphens/>
        <w:spacing w:after="0" w:line="240" w:lineRule="auto"/>
        <w:jc w:val="right"/>
        <w:outlineLvl w:val="0"/>
        <w:rPr>
          <w:rFonts w:ascii="Times New Roman" w:hAnsi="Times New Roman" w:eastAsia="Arial Unicode MS" w:cs="Times New Roman"/>
          <w:sz w:val="23"/>
          <w:szCs w:val="23"/>
          <w:lang w:val="es-PE" w:eastAsia="ar-SA"/>
        </w:rPr>
      </w:pPr>
      <w:r w:rsidRPr="00884694">
        <w:rPr>
          <w:rFonts w:ascii="Times New Roman" w:hAnsi="Times New Roman" w:eastAsia="Arial Unicode MS" w:cs="Times New Roman"/>
          <w:sz w:val="23"/>
          <w:szCs w:val="23"/>
          <w:lang w:val="es-PE" w:eastAsia="ar-SA"/>
        </w:rPr>
        <w:t xml:space="preserve">Lima, </w:t>
      </w:r>
      <w:r w:rsidRPr="00884694" w:rsidR="00826D00">
        <w:rPr>
          <w:rFonts w:ascii="Times New Roman" w:hAnsi="Times New Roman" w:eastAsia="Arial Unicode MS" w:cs="Times New Roman"/>
          <w:sz w:val="23"/>
          <w:szCs w:val="23"/>
          <w:lang w:val="es-PE" w:eastAsia="ar-SA"/>
        </w:rPr>
        <w:t>1</w:t>
      </w:r>
      <w:r w:rsidRPr="00884694" w:rsidR="00B869CE">
        <w:rPr>
          <w:rFonts w:ascii="Times New Roman" w:hAnsi="Times New Roman" w:eastAsia="Arial Unicode MS" w:cs="Times New Roman"/>
          <w:sz w:val="23"/>
          <w:szCs w:val="23"/>
          <w:lang w:val="es-PE" w:eastAsia="ar-SA"/>
        </w:rPr>
        <w:t>4</w:t>
      </w:r>
      <w:r w:rsidRPr="00884694" w:rsidR="00DD21B2">
        <w:rPr>
          <w:rFonts w:ascii="Times New Roman" w:hAnsi="Times New Roman" w:eastAsia="Arial Unicode MS" w:cs="Times New Roman"/>
          <w:sz w:val="23"/>
          <w:szCs w:val="23"/>
          <w:lang w:val="es-PE" w:eastAsia="ar-SA"/>
        </w:rPr>
        <w:t xml:space="preserve"> </w:t>
      </w:r>
      <w:r w:rsidRPr="00884694" w:rsidR="00707C99">
        <w:rPr>
          <w:rFonts w:ascii="Times New Roman" w:hAnsi="Times New Roman" w:eastAsia="Arial Unicode MS" w:cs="Times New Roman"/>
          <w:sz w:val="23"/>
          <w:szCs w:val="23"/>
          <w:lang w:val="es-PE" w:eastAsia="ar-SA"/>
        </w:rPr>
        <w:t>de</w:t>
      </w:r>
      <w:r w:rsidRPr="00884694" w:rsidR="00864B0B">
        <w:rPr>
          <w:rFonts w:ascii="Times New Roman" w:hAnsi="Times New Roman" w:eastAsia="Arial Unicode MS" w:cs="Times New Roman"/>
          <w:sz w:val="23"/>
          <w:szCs w:val="23"/>
          <w:lang w:val="es-PE" w:eastAsia="ar-SA"/>
        </w:rPr>
        <w:t xml:space="preserve"> </w:t>
      </w:r>
      <w:r w:rsidRPr="00884694" w:rsidR="002B632C">
        <w:rPr>
          <w:rFonts w:ascii="Times New Roman" w:hAnsi="Times New Roman" w:eastAsia="Arial Unicode MS" w:cs="Times New Roman"/>
          <w:sz w:val="23"/>
          <w:szCs w:val="23"/>
          <w:lang w:val="es-PE" w:eastAsia="ar-SA"/>
        </w:rPr>
        <w:t>diciembre</w:t>
      </w:r>
      <w:r w:rsidRPr="00884694" w:rsidR="00F06498">
        <w:rPr>
          <w:rFonts w:ascii="Times New Roman" w:hAnsi="Times New Roman" w:eastAsia="Arial Unicode MS" w:cs="Times New Roman"/>
          <w:sz w:val="23"/>
          <w:szCs w:val="23"/>
          <w:lang w:val="es-PE" w:eastAsia="ar-SA"/>
        </w:rPr>
        <w:t xml:space="preserve"> de 202</w:t>
      </w:r>
      <w:r w:rsidRPr="00884694" w:rsidR="00231C58">
        <w:rPr>
          <w:rFonts w:ascii="Times New Roman" w:hAnsi="Times New Roman" w:eastAsia="Arial Unicode MS" w:cs="Times New Roman"/>
          <w:sz w:val="23"/>
          <w:szCs w:val="23"/>
          <w:lang w:val="es-PE" w:eastAsia="ar-SA"/>
        </w:rPr>
        <w:t>1</w:t>
      </w:r>
      <w:r w:rsidRPr="00884694" w:rsidR="00707C99">
        <w:rPr>
          <w:rFonts w:ascii="Times New Roman" w:hAnsi="Times New Roman" w:eastAsia="Times New Roman" w:cs="Times New Roman"/>
          <w:sz w:val="23"/>
          <w:szCs w:val="23"/>
          <w:lang w:val="es-PE" w:eastAsia="ar-SA"/>
        </w:rPr>
        <w:t xml:space="preserve"> </w:t>
      </w:r>
    </w:p>
    <w:p w:rsidRPr="00884694"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3"/>
          <w:szCs w:val="23"/>
          <w:lang w:val="es-PE" w:eastAsia="ar-SA"/>
        </w:rPr>
      </w:pPr>
    </w:p>
    <w:p w:rsidRPr="00884694" w:rsidR="00C671F5" w:rsidP="004A374A" w:rsidRDefault="00C671F5" w14:paraId="7BC448E0" w14:textId="77777777">
      <w:pPr>
        <w:spacing w:after="0" w:line="240" w:lineRule="auto"/>
        <w:jc w:val="both"/>
        <w:rPr>
          <w:rFonts w:ascii="Times New Roman" w:hAnsi="Times New Roman" w:cs="Times New Roman"/>
          <w:b/>
          <w:bCs/>
          <w:i/>
          <w:iCs/>
          <w:sz w:val="23"/>
          <w:szCs w:val="23"/>
          <w:lang w:val="es-PE"/>
        </w:rPr>
      </w:pPr>
      <w:r w:rsidRPr="00884694">
        <w:rPr>
          <w:rFonts w:ascii="Times New Roman" w:hAnsi="Times New Roman" w:cs="Times New Roman"/>
          <w:b/>
          <w:bCs/>
          <w:i/>
          <w:iCs/>
          <w:sz w:val="23"/>
          <w:szCs w:val="23"/>
          <w:lang w:val="es-PE"/>
        </w:rPr>
        <w:t>La Secretaría Técnica certifica que la presente resolución cuenta con el voto de los vocales cuyos nombres figuran en el presente documento.</w:t>
      </w:r>
    </w:p>
    <w:p w:rsidRPr="00884694" w:rsidR="009F3DD4" w:rsidP="007068AE" w:rsidRDefault="009F3DD4" w14:paraId="451211B4" w14:textId="3761F828">
      <w:pPr>
        <w:spacing w:after="0" w:line="360" w:lineRule="auto"/>
        <w:rPr>
          <w:rFonts w:ascii="Times New Roman" w:hAnsi="Times New Roman" w:cs="Times New Roman"/>
          <w:b/>
          <w:bCs/>
          <w:sz w:val="23"/>
          <w:szCs w:val="23"/>
          <w:lang w:val="es-PE"/>
        </w:rPr>
      </w:pPr>
    </w:p>
    <w:p w:rsidRPr="00884694" w:rsidR="001068A5" w:rsidP="001068A5" w:rsidRDefault="001068A5" w14:paraId="53E73E76" w14:textId="77777777">
      <w:pPr>
        <w:spacing w:after="0" w:line="360" w:lineRule="auto"/>
        <w:jc w:val="center"/>
        <w:rPr>
          <w:rFonts w:ascii="Times New Roman" w:hAnsi="Times New Roman" w:cs="Times New Roman"/>
          <w:b/>
          <w:bCs/>
          <w:sz w:val="23"/>
          <w:szCs w:val="23"/>
          <w:lang w:val="es-PE"/>
        </w:rPr>
      </w:pPr>
      <w:r w:rsidRPr="00884694">
        <w:rPr>
          <w:rFonts w:ascii="Times New Roman" w:hAnsi="Times New Roman" w:cs="Times New Roman"/>
          <w:b/>
          <w:bCs/>
          <w:sz w:val="23"/>
          <w:szCs w:val="23"/>
          <w:lang w:val="es-PE"/>
        </w:rPr>
        <w:t>María Eugenia Valdez Fernández Baca– Vocal</w:t>
      </w:r>
    </w:p>
    <w:p w:rsidRPr="00884694" w:rsidR="001068A5" w:rsidP="001068A5" w:rsidRDefault="001068A5" w14:paraId="695411A0" w14:textId="77777777">
      <w:pPr>
        <w:spacing w:after="0" w:line="360" w:lineRule="auto"/>
        <w:jc w:val="center"/>
        <w:rPr>
          <w:rFonts w:ascii="Times New Roman" w:hAnsi="Times New Roman" w:cs="Times New Roman"/>
          <w:sz w:val="23"/>
          <w:szCs w:val="23"/>
          <w:lang w:val="es-PE"/>
        </w:rPr>
      </w:pPr>
      <w:r w:rsidRPr="00884694">
        <w:rPr>
          <w:rFonts w:ascii="Times New Roman" w:hAnsi="Times New Roman" w:cs="Times New Roman"/>
          <w:b/>
          <w:bCs/>
          <w:sz w:val="23"/>
          <w:szCs w:val="23"/>
          <w:lang w:val="es-PE"/>
        </w:rPr>
        <w:t>Marco Antonio Ortega Piana – Vocal</w:t>
      </w:r>
    </w:p>
    <w:p w:rsidRPr="00884694" w:rsidR="001068A5" w:rsidP="001068A5" w:rsidRDefault="001068A5" w14:paraId="59352261" w14:textId="77777777">
      <w:pPr>
        <w:spacing w:after="0" w:line="360" w:lineRule="auto"/>
        <w:jc w:val="center"/>
        <w:rPr>
          <w:rFonts w:ascii="Times New Roman" w:hAnsi="Times New Roman" w:cs="Times New Roman"/>
          <w:sz w:val="23"/>
          <w:szCs w:val="23"/>
          <w:lang w:val="es-PE"/>
        </w:rPr>
      </w:pPr>
      <w:r w:rsidRPr="00884694">
        <w:rPr>
          <w:rFonts w:ascii="Times New Roman" w:hAnsi="Times New Roman" w:cs="Times New Roman"/>
          <w:b/>
          <w:bCs/>
          <w:sz w:val="23"/>
          <w:szCs w:val="23"/>
          <w:lang w:val="es-PE"/>
        </w:rPr>
        <w:t>Gonzalo Abad del Busto – Vocal</w:t>
      </w:r>
    </w:p>
    <w:p w:rsidRPr="00544BD3" w:rsidR="00C671F5" w:rsidP="004A374A"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544BD3"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544BD3"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52E01" w:rsidP="00784355" w:rsidRDefault="00852E01" w14:paraId="145E1912" w14:textId="77777777">
      <w:pPr>
        <w:spacing w:after="0" w:line="240" w:lineRule="auto"/>
      </w:pPr>
      <w:r>
        <w:separator/>
      </w:r>
    </w:p>
  </w:endnote>
  <w:endnote w:type="continuationSeparator" w:id="0">
    <w:p w:rsidR="00852E01" w:rsidP="00784355" w:rsidRDefault="00852E01" w14:paraId="58AC9CC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52E01" w:rsidP="00784355" w:rsidRDefault="00852E01" w14:paraId="2AD22554" w14:textId="77777777">
      <w:pPr>
        <w:spacing w:after="0" w:line="240" w:lineRule="auto"/>
      </w:pPr>
      <w:r>
        <w:separator/>
      </w:r>
    </w:p>
  </w:footnote>
  <w:footnote w:type="continuationSeparator" w:id="0">
    <w:p w:rsidR="00852E01" w:rsidP="00784355" w:rsidRDefault="00852E01" w14:paraId="14C7859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0EB29E9"/>
    <w:multiLevelType w:val="hybridMultilevel"/>
    <w:tmpl w:val="BCEA00BA"/>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5"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7DD5286F"/>
    <w:multiLevelType w:val="hybridMultilevel"/>
    <w:tmpl w:val="1D440D0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6"/>
  </w:num>
  <w:num w:numId="5">
    <w:abstractNumId w:val="8"/>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5"/>
  </w:num>
  <w:num w:numId="9">
    <w:abstractNumId w:val="11"/>
  </w:num>
  <w:num w:numId="10">
    <w:abstractNumId w:val="10"/>
  </w:num>
  <w:num w:numId="11">
    <w:abstractNumId w:val="2"/>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3BC4"/>
    <w:rsid w:val="000345DA"/>
    <w:rsid w:val="00037922"/>
    <w:rsid w:val="00044519"/>
    <w:rsid w:val="0004480C"/>
    <w:rsid w:val="0004492D"/>
    <w:rsid w:val="00053D16"/>
    <w:rsid w:val="00056D9F"/>
    <w:rsid w:val="00062040"/>
    <w:rsid w:val="00063183"/>
    <w:rsid w:val="0006548C"/>
    <w:rsid w:val="00065F91"/>
    <w:rsid w:val="00070DB6"/>
    <w:rsid w:val="00071A25"/>
    <w:rsid w:val="00072C60"/>
    <w:rsid w:val="000752E4"/>
    <w:rsid w:val="0007539A"/>
    <w:rsid w:val="00076E73"/>
    <w:rsid w:val="00077B6F"/>
    <w:rsid w:val="00080A9A"/>
    <w:rsid w:val="00080E45"/>
    <w:rsid w:val="000835CB"/>
    <w:rsid w:val="00083D69"/>
    <w:rsid w:val="00083F50"/>
    <w:rsid w:val="00084148"/>
    <w:rsid w:val="00092684"/>
    <w:rsid w:val="000A274F"/>
    <w:rsid w:val="000A5666"/>
    <w:rsid w:val="000A5CAA"/>
    <w:rsid w:val="000B19A0"/>
    <w:rsid w:val="000B58D8"/>
    <w:rsid w:val="000B6350"/>
    <w:rsid w:val="000C0734"/>
    <w:rsid w:val="000D0DFE"/>
    <w:rsid w:val="000E1B0F"/>
    <w:rsid w:val="000E1E6F"/>
    <w:rsid w:val="000F6340"/>
    <w:rsid w:val="00101978"/>
    <w:rsid w:val="001068A5"/>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0AB4"/>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1C82"/>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632C"/>
    <w:rsid w:val="002B726E"/>
    <w:rsid w:val="002C2A0F"/>
    <w:rsid w:val="002C3466"/>
    <w:rsid w:val="002D0DB0"/>
    <w:rsid w:val="002D3B01"/>
    <w:rsid w:val="002E1221"/>
    <w:rsid w:val="002E17F9"/>
    <w:rsid w:val="002F09CA"/>
    <w:rsid w:val="002F15FE"/>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57A0"/>
    <w:rsid w:val="00357D70"/>
    <w:rsid w:val="00362449"/>
    <w:rsid w:val="00364E0F"/>
    <w:rsid w:val="003657C9"/>
    <w:rsid w:val="00366842"/>
    <w:rsid w:val="00367746"/>
    <w:rsid w:val="00374B0E"/>
    <w:rsid w:val="00377D5A"/>
    <w:rsid w:val="0038167C"/>
    <w:rsid w:val="0038290F"/>
    <w:rsid w:val="00385B6E"/>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2772"/>
    <w:rsid w:val="00403814"/>
    <w:rsid w:val="004049B9"/>
    <w:rsid w:val="004060E9"/>
    <w:rsid w:val="00414F05"/>
    <w:rsid w:val="0041626C"/>
    <w:rsid w:val="00417E23"/>
    <w:rsid w:val="004210F7"/>
    <w:rsid w:val="00425F75"/>
    <w:rsid w:val="00431D81"/>
    <w:rsid w:val="00440BC2"/>
    <w:rsid w:val="00444232"/>
    <w:rsid w:val="00460C30"/>
    <w:rsid w:val="00465FB9"/>
    <w:rsid w:val="00466302"/>
    <w:rsid w:val="0047370C"/>
    <w:rsid w:val="0047522D"/>
    <w:rsid w:val="00476BA1"/>
    <w:rsid w:val="00477F22"/>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0698"/>
    <w:rsid w:val="005316B2"/>
    <w:rsid w:val="00531BEE"/>
    <w:rsid w:val="005323A2"/>
    <w:rsid w:val="005335EE"/>
    <w:rsid w:val="0053470F"/>
    <w:rsid w:val="00535473"/>
    <w:rsid w:val="00537DBF"/>
    <w:rsid w:val="00540F01"/>
    <w:rsid w:val="00544BD3"/>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0CDD"/>
    <w:rsid w:val="005F4C97"/>
    <w:rsid w:val="005F7D93"/>
    <w:rsid w:val="00605902"/>
    <w:rsid w:val="00606105"/>
    <w:rsid w:val="0061360C"/>
    <w:rsid w:val="00613A39"/>
    <w:rsid w:val="00622ABC"/>
    <w:rsid w:val="00623204"/>
    <w:rsid w:val="00624034"/>
    <w:rsid w:val="00626E08"/>
    <w:rsid w:val="00632285"/>
    <w:rsid w:val="006442E0"/>
    <w:rsid w:val="0064607A"/>
    <w:rsid w:val="00652672"/>
    <w:rsid w:val="006543D4"/>
    <w:rsid w:val="0065542B"/>
    <w:rsid w:val="0065550A"/>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3E14"/>
    <w:rsid w:val="00704A95"/>
    <w:rsid w:val="00706392"/>
    <w:rsid w:val="007068AE"/>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875D5"/>
    <w:rsid w:val="007906AF"/>
    <w:rsid w:val="00794424"/>
    <w:rsid w:val="007950DD"/>
    <w:rsid w:val="007965C0"/>
    <w:rsid w:val="007A09BB"/>
    <w:rsid w:val="007A4108"/>
    <w:rsid w:val="007A4EA9"/>
    <w:rsid w:val="007A7F95"/>
    <w:rsid w:val="007B0FBC"/>
    <w:rsid w:val="007B1018"/>
    <w:rsid w:val="007C14D0"/>
    <w:rsid w:val="007C213D"/>
    <w:rsid w:val="007C64F8"/>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25BB9"/>
    <w:rsid w:val="00826D00"/>
    <w:rsid w:val="0083290A"/>
    <w:rsid w:val="00836831"/>
    <w:rsid w:val="00837DDE"/>
    <w:rsid w:val="0084334E"/>
    <w:rsid w:val="008523F5"/>
    <w:rsid w:val="00852E01"/>
    <w:rsid w:val="008548F9"/>
    <w:rsid w:val="008552E9"/>
    <w:rsid w:val="0085575C"/>
    <w:rsid w:val="0085791F"/>
    <w:rsid w:val="00857988"/>
    <w:rsid w:val="0086244F"/>
    <w:rsid w:val="00864B0B"/>
    <w:rsid w:val="00871F40"/>
    <w:rsid w:val="00883121"/>
    <w:rsid w:val="0088392F"/>
    <w:rsid w:val="00884426"/>
    <w:rsid w:val="00884694"/>
    <w:rsid w:val="00886D60"/>
    <w:rsid w:val="00887814"/>
    <w:rsid w:val="008916FF"/>
    <w:rsid w:val="00891DB3"/>
    <w:rsid w:val="00895A85"/>
    <w:rsid w:val="008A1D12"/>
    <w:rsid w:val="008A3A47"/>
    <w:rsid w:val="008C056A"/>
    <w:rsid w:val="008C0E33"/>
    <w:rsid w:val="008C1DD6"/>
    <w:rsid w:val="008C6A59"/>
    <w:rsid w:val="008D55AF"/>
    <w:rsid w:val="008D6DDF"/>
    <w:rsid w:val="008E0EB6"/>
    <w:rsid w:val="008F1161"/>
    <w:rsid w:val="008F1AB2"/>
    <w:rsid w:val="008F479E"/>
    <w:rsid w:val="009011F1"/>
    <w:rsid w:val="0090251A"/>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802F0"/>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9F3DD4"/>
    <w:rsid w:val="00A02104"/>
    <w:rsid w:val="00A02270"/>
    <w:rsid w:val="00A038CF"/>
    <w:rsid w:val="00A077D2"/>
    <w:rsid w:val="00A14F48"/>
    <w:rsid w:val="00A16942"/>
    <w:rsid w:val="00A17A72"/>
    <w:rsid w:val="00A23996"/>
    <w:rsid w:val="00A25F51"/>
    <w:rsid w:val="00A30393"/>
    <w:rsid w:val="00A32246"/>
    <w:rsid w:val="00A328C0"/>
    <w:rsid w:val="00A3714C"/>
    <w:rsid w:val="00A40C12"/>
    <w:rsid w:val="00A427D6"/>
    <w:rsid w:val="00A46E96"/>
    <w:rsid w:val="00A51F2A"/>
    <w:rsid w:val="00A54D6A"/>
    <w:rsid w:val="00A62BEC"/>
    <w:rsid w:val="00A658C1"/>
    <w:rsid w:val="00A6710A"/>
    <w:rsid w:val="00A734AD"/>
    <w:rsid w:val="00A837A0"/>
    <w:rsid w:val="00A83AB0"/>
    <w:rsid w:val="00A83D6A"/>
    <w:rsid w:val="00A90926"/>
    <w:rsid w:val="00A97287"/>
    <w:rsid w:val="00AA2A1F"/>
    <w:rsid w:val="00AA2DED"/>
    <w:rsid w:val="00AB1C66"/>
    <w:rsid w:val="00AB69B3"/>
    <w:rsid w:val="00AC5A9E"/>
    <w:rsid w:val="00AD1B33"/>
    <w:rsid w:val="00AD1FEC"/>
    <w:rsid w:val="00AD2DF1"/>
    <w:rsid w:val="00AE4125"/>
    <w:rsid w:val="00AF16B6"/>
    <w:rsid w:val="00AF5E87"/>
    <w:rsid w:val="00B00552"/>
    <w:rsid w:val="00B02BEE"/>
    <w:rsid w:val="00B11588"/>
    <w:rsid w:val="00B115C4"/>
    <w:rsid w:val="00B11C1C"/>
    <w:rsid w:val="00B135AC"/>
    <w:rsid w:val="00B17BD8"/>
    <w:rsid w:val="00B30B53"/>
    <w:rsid w:val="00B313E9"/>
    <w:rsid w:val="00B32325"/>
    <w:rsid w:val="00B340A4"/>
    <w:rsid w:val="00B40968"/>
    <w:rsid w:val="00B45C2D"/>
    <w:rsid w:val="00B50C90"/>
    <w:rsid w:val="00B56649"/>
    <w:rsid w:val="00B625F2"/>
    <w:rsid w:val="00B663DC"/>
    <w:rsid w:val="00B710D8"/>
    <w:rsid w:val="00B73629"/>
    <w:rsid w:val="00B7466E"/>
    <w:rsid w:val="00B779BD"/>
    <w:rsid w:val="00B8021E"/>
    <w:rsid w:val="00B8028F"/>
    <w:rsid w:val="00B833BE"/>
    <w:rsid w:val="00B869CE"/>
    <w:rsid w:val="00B87B08"/>
    <w:rsid w:val="00B94FDB"/>
    <w:rsid w:val="00B956C4"/>
    <w:rsid w:val="00BB2152"/>
    <w:rsid w:val="00BB2BE0"/>
    <w:rsid w:val="00BB405B"/>
    <w:rsid w:val="00BC29D0"/>
    <w:rsid w:val="00BC3B86"/>
    <w:rsid w:val="00BD2BB8"/>
    <w:rsid w:val="00BD797F"/>
    <w:rsid w:val="00BE1470"/>
    <w:rsid w:val="00BE6FFA"/>
    <w:rsid w:val="00BE7C72"/>
    <w:rsid w:val="00BF1421"/>
    <w:rsid w:val="00BF414E"/>
    <w:rsid w:val="00BF5A34"/>
    <w:rsid w:val="00BF78BF"/>
    <w:rsid w:val="00C00BBF"/>
    <w:rsid w:val="00C04AA4"/>
    <w:rsid w:val="00C05445"/>
    <w:rsid w:val="00C05CB4"/>
    <w:rsid w:val="00C12CBD"/>
    <w:rsid w:val="00C134DB"/>
    <w:rsid w:val="00C25B78"/>
    <w:rsid w:val="00C319ED"/>
    <w:rsid w:val="00C32068"/>
    <w:rsid w:val="00C33FEF"/>
    <w:rsid w:val="00C35DA4"/>
    <w:rsid w:val="00C361E6"/>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12D7"/>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49D"/>
    <w:rsid w:val="00D35EC2"/>
    <w:rsid w:val="00D4253A"/>
    <w:rsid w:val="00D50B42"/>
    <w:rsid w:val="00D56F67"/>
    <w:rsid w:val="00D57228"/>
    <w:rsid w:val="00D61C6D"/>
    <w:rsid w:val="00D64034"/>
    <w:rsid w:val="00D67860"/>
    <w:rsid w:val="00D67F30"/>
    <w:rsid w:val="00D73109"/>
    <w:rsid w:val="00D76C43"/>
    <w:rsid w:val="00D810EC"/>
    <w:rsid w:val="00D835B6"/>
    <w:rsid w:val="00D84464"/>
    <w:rsid w:val="00DA0540"/>
    <w:rsid w:val="00DA2840"/>
    <w:rsid w:val="00DA4030"/>
    <w:rsid w:val="00DB15FD"/>
    <w:rsid w:val="00DB58EC"/>
    <w:rsid w:val="00DC399B"/>
    <w:rsid w:val="00DC6197"/>
    <w:rsid w:val="00DD21B2"/>
    <w:rsid w:val="00DD2FEE"/>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015"/>
    <w:rsid w:val="00E73DEF"/>
    <w:rsid w:val="00E80D65"/>
    <w:rsid w:val="00E865E7"/>
    <w:rsid w:val="00EA4C4B"/>
    <w:rsid w:val="00EA77BE"/>
    <w:rsid w:val="00EC19C1"/>
    <w:rsid w:val="00EC7271"/>
    <w:rsid w:val="00EC7891"/>
    <w:rsid w:val="00ED291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77303"/>
    <w:rsid w:val="00F81150"/>
    <w:rsid w:val="00F833B7"/>
    <w:rsid w:val="00F83A22"/>
    <w:rsid w:val="00F84CF9"/>
    <w:rsid w:val="00F87C6C"/>
    <w:rsid w:val="00F87E38"/>
    <w:rsid w:val="00F94B58"/>
    <w:rsid w:val="00F97EA2"/>
    <w:rsid w:val="00FA155E"/>
    <w:rsid w:val="00FA2322"/>
    <w:rsid w:val="00FB0C48"/>
    <w:rsid w:val="00FB4B0C"/>
    <w:rsid w:val="00FC0D10"/>
    <w:rsid w:val="00FC1934"/>
    <w:rsid w:val="00FC382A"/>
    <w:rsid w:val="00FD35C4"/>
    <w:rsid w:val="00FE2121"/>
    <w:rsid w:val="00FE38F0"/>
    <w:rsid w:val="00FE43A9"/>
    <w:rsid w:val="00FF41F3"/>
    <w:rsid w:val="03C5BD58"/>
    <w:rsid w:val="0A5AA286"/>
    <w:rsid w:val="2AA1F775"/>
    <w:rsid w:val="2B53A03F"/>
    <w:rsid w:val="2F97C65A"/>
    <w:rsid w:val="3B59E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uiPriority w:val="22"/>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 w:type="paragraph" w:styleId="Textonotapie">
    <w:name w:val="footnote text"/>
    <w:basedOn w:val="Normal"/>
    <w:link w:val="TextonotapieCar"/>
    <w:uiPriority w:val="99"/>
    <w:rsid w:val="008C1DD6"/>
    <w:pPr>
      <w:suppressAutoHyphens/>
      <w:spacing w:after="0" w:line="240" w:lineRule="auto"/>
    </w:pPr>
    <w:rPr>
      <w:rFonts w:ascii="Times New Roman" w:hAnsi="Times New Roman" w:eastAsia="Times New Roman" w:cs="Times New Roman"/>
      <w:sz w:val="24"/>
      <w:szCs w:val="24"/>
      <w:lang w:val="es-ES" w:eastAsia="ar-SA"/>
    </w:rPr>
  </w:style>
  <w:style w:type="character" w:styleId="TextonotapieCar" w:customStyle="1">
    <w:name w:val="Texto nota pie Car"/>
    <w:basedOn w:val="Fuentedeprrafopredeter"/>
    <w:link w:val="Textonotapie"/>
    <w:uiPriority w:val="99"/>
    <w:rsid w:val="008C1DD6"/>
    <w:rPr>
      <w:rFonts w:ascii="Times New Roman" w:hAnsi="Times New Roman" w:eastAsia="Times New Roman" w:cs="Times New Roman"/>
      <w:sz w:val="24"/>
      <w:szCs w:val="24"/>
      <w:lang w:val="es-ES" w:eastAsia="ar-SA"/>
    </w:rPr>
  </w:style>
  <w:style w:type="character" w:styleId="Refdenotaalpie">
    <w:name w:val="footnote reference"/>
    <w:uiPriority w:val="99"/>
    <w:unhideWhenUsed/>
    <w:rsid w:val="008C1D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82382150">
      <w:bodyDiv w:val="1"/>
      <w:marLeft w:val="0"/>
      <w:marRight w:val="0"/>
      <w:marTop w:val="0"/>
      <w:marBottom w:val="0"/>
      <w:divBdr>
        <w:top w:val="none" w:sz="0" w:space="0" w:color="auto"/>
        <w:left w:val="none" w:sz="0" w:space="0" w:color="auto"/>
        <w:bottom w:val="none" w:sz="0" w:space="0" w:color="auto"/>
        <w:right w:val="none" w:sz="0" w:space="0" w:color="auto"/>
      </w:divBdr>
    </w:div>
    <w:div w:id="266427269">
      <w:bodyDiv w:val="1"/>
      <w:marLeft w:val="0"/>
      <w:marRight w:val="0"/>
      <w:marTop w:val="0"/>
      <w:marBottom w:val="0"/>
      <w:divBdr>
        <w:top w:val="none" w:sz="0" w:space="0" w:color="auto"/>
        <w:left w:val="none" w:sz="0" w:space="0" w:color="auto"/>
        <w:bottom w:val="none" w:sz="0" w:space="0" w:color="auto"/>
        <w:right w:val="none" w:sz="0" w:space="0" w:color="auto"/>
      </w:divBdr>
    </w:div>
    <w:div w:id="336923393">
      <w:bodyDiv w:val="1"/>
      <w:marLeft w:val="0"/>
      <w:marRight w:val="0"/>
      <w:marTop w:val="0"/>
      <w:marBottom w:val="0"/>
      <w:divBdr>
        <w:top w:val="none" w:sz="0" w:space="0" w:color="auto"/>
        <w:left w:val="none" w:sz="0" w:space="0" w:color="auto"/>
        <w:bottom w:val="none" w:sz="0" w:space="0" w:color="auto"/>
        <w:right w:val="none" w:sz="0" w:space="0" w:color="auto"/>
      </w:divBdr>
    </w:div>
    <w:div w:id="447822248">
      <w:bodyDiv w:val="1"/>
      <w:marLeft w:val="0"/>
      <w:marRight w:val="0"/>
      <w:marTop w:val="0"/>
      <w:marBottom w:val="0"/>
      <w:divBdr>
        <w:top w:val="none" w:sz="0" w:space="0" w:color="auto"/>
        <w:left w:val="none" w:sz="0" w:space="0" w:color="auto"/>
        <w:bottom w:val="none" w:sz="0" w:space="0" w:color="auto"/>
        <w:right w:val="none" w:sz="0" w:space="0" w:color="auto"/>
      </w:divBdr>
    </w:div>
    <w:div w:id="619533829">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684283126">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1896088095">
      <w:bodyDiv w:val="1"/>
      <w:marLeft w:val="0"/>
      <w:marRight w:val="0"/>
      <w:marTop w:val="0"/>
      <w:marBottom w:val="0"/>
      <w:divBdr>
        <w:top w:val="none" w:sz="0" w:space="0" w:color="auto"/>
        <w:left w:val="none" w:sz="0" w:space="0" w:color="auto"/>
        <w:bottom w:val="none" w:sz="0" w:space="0" w:color="auto"/>
        <w:right w:val="none" w:sz="0" w:space="0" w:color="auto"/>
      </w:divBdr>
    </w:div>
    <w:div w:id="1945065298">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82CD191-C023-4AC7-AB12-1FD9BD0B0E58}"/>
</file>

<file path=customXml/itemProps3.xml><?xml version="1.0" encoding="utf-8"?>
<ds:datastoreItem xmlns:ds="http://schemas.openxmlformats.org/officeDocument/2006/customXml" ds:itemID="{97C9349D-7ECB-40BE-A1AA-EE5A363B7A93}"/>
</file>

<file path=customXml/itemProps4.xml><?xml version="1.0" encoding="utf-8"?>
<ds:datastoreItem xmlns:ds="http://schemas.openxmlformats.org/officeDocument/2006/customXml" ds:itemID="{2FC82C41-E913-4D3D-8C63-D1E99099B6B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124</cp:revision>
  <cp:lastPrinted>2021-12-15T15:40:00Z</cp:lastPrinted>
  <dcterms:created xsi:type="dcterms:W3CDTF">2020-12-18T20:17:00Z</dcterms:created>
  <dcterms:modified xsi:type="dcterms:W3CDTF">2026-02-04T21:18:27Z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