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5AEAB" w14:textId="0B32785F" w:rsidR="00F15FBA" w:rsidRPr="006B75CA" w:rsidRDefault="00F15FBA" w:rsidP="00026017">
      <w:pPr>
        <w:pStyle w:val="Ttulo"/>
        <w:outlineLvl w:val="0"/>
        <w:rPr>
          <w:lang w:val="es-PE"/>
        </w:rPr>
      </w:pPr>
      <w:r w:rsidRPr="006B75CA">
        <w:rPr>
          <w:lang w:val="es-PE"/>
        </w:rPr>
        <w:t>RESOLUCIÓN N</w:t>
      </w:r>
      <w:r w:rsidR="001631D6" w:rsidRPr="006B75CA">
        <w:rPr>
          <w:lang w:val="es-PE"/>
        </w:rPr>
        <w:t xml:space="preserve">° </w:t>
      </w:r>
      <w:r w:rsidR="003E6BA6" w:rsidRPr="006B75CA">
        <w:rPr>
          <w:lang w:val="es-PE"/>
        </w:rPr>
        <w:t>0</w:t>
      </w:r>
      <w:r w:rsidR="003E4270" w:rsidRPr="006B75CA">
        <w:rPr>
          <w:lang w:val="es-PE"/>
        </w:rPr>
        <w:t>8</w:t>
      </w:r>
      <w:r w:rsidR="006B75CA" w:rsidRPr="006B75CA">
        <w:rPr>
          <w:lang w:val="es-PE"/>
        </w:rPr>
        <w:t>7</w:t>
      </w:r>
      <w:r w:rsidR="001631D6" w:rsidRPr="006B75CA">
        <w:rPr>
          <w:lang w:val="es-PE"/>
        </w:rPr>
        <w:t>/2</w:t>
      </w:r>
      <w:r w:rsidR="003E6BA6" w:rsidRPr="006B75CA">
        <w:rPr>
          <w:lang w:val="es-PE"/>
        </w:rPr>
        <w:t>1</w:t>
      </w:r>
    </w:p>
    <w:p w14:paraId="78F57CC1" w14:textId="77777777" w:rsidR="006B75CA" w:rsidRPr="006B75CA" w:rsidRDefault="006B75CA" w:rsidP="006B75CA">
      <w:pPr>
        <w:jc w:val="both"/>
        <w:rPr>
          <w:b/>
        </w:rPr>
      </w:pPr>
      <w:r w:rsidRPr="006B75CA">
        <w:rPr>
          <w:b/>
        </w:rPr>
        <w:t>VISTOS</w:t>
      </w:r>
    </w:p>
    <w:p w14:paraId="7CC00101" w14:textId="77777777" w:rsidR="006B75CA" w:rsidRPr="006B75CA" w:rsidRDefault="006B75CA" w:rsidP="006B75CA">
      <w:pPr>
        <w:jc w:val="both"/>
      </w:pPr>
    </w:p>
    <w:p w14:paraId="6CF37E2B" w14:textId="4216AE06" w:rsidR="006B75CA" w:rsidRPr="006B75CA" w:rsidRDefault="006B75CA" w:rsidP="006B75CA">
      <w:pPr>
        <w:jc w:val="both"/>
      </w:pPr>
      <w:r w:rsidRPr="006B75CA">
        <w:t xml:space="preserve">Que con fecha 23 de abril de 2021, </w:t>
      </w:r>
      <w:r w:rsidR="00EC323B" w:rsidRPr="00EC323B">
        <w:t>……………….</w:t>
      </w:r>
      <w:r w:rsidRPr="006B75CA">
        <w:t xml:space="preserve"> EIRL interpone reclamación ante esta Defensoría del Asegurado (DEFASEG) solicitando que </w:t>
      </w:r>
      <w:r w:rsidR="00863F0C" w:rsidRPr="00EC323B">
        <w:t>……………….</w:t>
      </w:r>
      <w:r w:rsidR="00863F0C" w:rsidRPr="006B75CA">
        <w:t xml:space="preserve"> </w:t>
      </w:r>
      <w:r w:rsidR="00863F0C">
        <w:t xml:space="preserve"> </w:t>
      </w:r>
      <w:r w:rsidRPr="006B75CA">
        <w:t xml:space="preserve">otorgue cobertura al siniestro ocurrido a la mercadería asegurada, transportada en el vehículo de Placa de Rodaje </w:t>
      </w:r>
      <w:r w:rsidR="00106903" w:rsidRPr="00EC323B">
        <w:t>……………….</w:t>
      </w:r>
      <w:r w:rsidRPr="006B75CA">
        <w:t xml:space="preserve">, de acuerdo con las Condiciones Generales y Particulares de la Póliza de Seguros de Transporte de Carga N° </w:t>
      </w:r>
      <w:r w:rsidR="00106903" w:rsidRPr="00EC323B">
        <w:t>……………….</w:t>
      </w:r>
      <w:r w:rsidRPr="006B75CA">
        <w:t>.</w:t>
      </w:r>
    </w:p>
    <w:p w14:paraId="543C2CBC" w14:textId="77777777" w:rsidR="006B75CA" w:rsidRPr="006B75CA" w:rsidRDefault="006B75CA" w:rsidP="006B75CA">
      <w:pPr>
        <w:ind w:left="708" w:hanging="708"/>
        <w:jc w:val="both"/>
      </w:pPr>
    </w:p>
    <w:p w14:paraId="238CFE8B" w14:textId="77777777" w:rsidR="006B75CA" w:rsidRPr="006B75CA" w:rsidRDefault="006B75CA" w:rsidP="006B75CA">
      <w:pPr>
        <w:ind w:firstLine="1"/>
        <w:jc w:val="both"/>
      </w:pPr>
      <w:r w:rsidRPr="006B75CA">
        <w:t xml:space="preserve">Que, la señalada reclamación cumple con las exigencias de materia, cuantía y oportunidad establecidas en el reglamento de la DEFASEG, habiéndose presentado dentro del plazo que corresponde </w:t>
      </w:r>
      <w:proofErr w:type="gramStart"/>
      <w:r w:rsidRPr="006B75CA">
        <w:t>de acuerdo a</w:t>
      </w:r>
      <w:proofErr w:type="gramEnd"/>
      <w:r w:rsidRPr="006B75CA">
        <w:t xml:space="preserve"> dicho reglamento. </w:t>
      </w:r>
    </w:p>
    <w:p w14:paraId="730DD097" w14:textId="77777777" w:rsidR="006B75CA" w:rsidRPr="006B75CA" w:rsidRDefault="006B75CA" w:rsidP="006B75CA">
      <w:pPr>
        <w:ind w:firstLine="1"/>
        <w:jc w:val="both"/>
      </w:pPr>
    </w:p>
    <w:p w14:paraId="7408369A" w14:textId="79C73469" w:rsidR="006B75CA" w:rsidRPr="006B75CA" w:rsidRDefault="006B75CA" w:rsidP="006B75CA">
      <w:pPr>
        <w:ind w:firstLine="1"/>
        <w:jc w:val="both"/>
      </w:pPr>
      <w:r w:rsidRPr="006B75CA">
        <w:t xml:space="preserve">Que, habiéndose corrido traslado de la señalada reclamación, </w:t>
      </w:r>
      <w:r w:rsidR="009850EE" w:rsidRPr="00EC323B">
        <w:t>……………….</w:t>
      </w:r>
      <w:r w:rsidR="009850EE" w:rsidRPr="006B75CA">
        <w:t xml:space="preserve"> </w:t>
      </w:r>
      <w:r w:rsidRPr="006B75CA">
        <w:t>con fecha 02 de julio de 2021 ha presentado su contestación a la Reclamación, adjuntando la Póliza y los documentos relativos al siniestro.</w:t>
      </w:r>
    </w:p>
    <w:p w14:paraId="7A23949F" w14:textId="77777777" w:rsidR="006B75CA" w:rsidRPr="006B75CA" w:rsidRDefault="006B75CA" w:rsidP="006B75CA">
      <w:pPr>
        <w:ind w:left="708" w:hanging="708"/>
        <w:jc w:val="both"/>
      </w:pPr>
    </w:p>
    <w:p w14:paraId="4209A082" w14:textId="77777777" w:rsidR="006B75CA" w:rsidRPr="006B75CA" w:rsidRDefault="006B75CA" w:rsidP="006B75CA">
      <w:pPr>
        <w:jc w:val="both"/>
      </w:pPr>
      <w:r w:rsidRPr="006B75CA">
        <w:t>Que, con fecha 12 de julio de 2021 se realizó la correspondiente audiencia de vista con la asistencia de…………, las mismas que sustentaron sus posiciones respecto a la reclamación presentada, y luego absolvieron las diversas preguntas formuladas por este colegiado, quedando entonces el expediente a la fecha en condiciones para que el colegiado pueda analizar el caso y pronunciarse respecto al mismo, considerando los documentos que obran en el expediente.</w:t>
      </w:r>
    </w:p>
    <w:p w14:paraId="065F61BD" w14:textId="77777777" w:rsidR="006B75CA" w:rsidRPr="006B75CA" w:rsidRDefault="006B75CA" w:rsidP="006B75CA">
      <w:pPr>
        <w:jc w:val="both"/>
      </w:pPr>
    </w:p>
    <w:p w14:paraId="14354037" w14:textId="0359CFC0" w:rsidR="006B75CA" w:rsidRPr="006B75CA" w:rsidRDefault="006B75CA" w:rsidP="006B75CA">
      <w:pPr>
        <w:pStyle w:val="NormalWeb"/>
        <w:spacing w:before="120" w:beforeAutospacing="0" w:after="120" w:afterAutospacing="0"/>
        <w:jc w:val="both"/>
      </w:pPr>
      <w:r w:rsidRPr="006B75CA">
        <w:t xml:space="preserve">Que, la asegurada solicita que </w:t>
      </w:r>
      <w:r w:rsidR="00863F0C" w:rsidRPr="00EC323B">
        <w:t>……………….</w:t>
      </w:r>
      <w:r w:rsidR="00863F0C" w:rsidRPr="006B75CA">
        <w:t xml:space="preserve"> </w:t>
      </w:r>
      <w:r w:rsidR="00863F0C">
        <w:t xml:space="preserve"> </w:t>
      </w:r>
      <w:r w:rsidRPr="006B75CA">
        <w:t xml:space="preserve">atienda el siniestro ocurrido, por las siguientes resumidas razones: 1) Que, con fecha 03 de febrero de 2021, ocurrió un accidente de tránsito durante la prestación del servicio de transporte de carga con la unidad vehicular de placa de rodaje </w:t>
      </w:r>
      <w:r w:rsidR="00F4477D" w:rsidRPr="00EC323B">
        <w:t>……………….</w:t>
      </w:r>
      <w:r w:rsidR="00F4477D" w:rsidRPr="006B75CA">
        <w:t xml:space="preserve"> </w:t>
      </w:r>
      <w:r w:rsidRPr="006B75CA">
        <w:t xml:space="preserve"> (remolcador) con </w:t>
      </w:r>
      <w:r w:rsidR="00F4477D" w:rsidRPr="00EC323B">
        <w:t>……………….</w:t>
      </w:r>
      <w:r w:rsidR="00F4477D" w:rsidRPr="006B75CA">
        <w:t xml:space="preserve"> </w:t>
      </w:r>
      <w:r w:rsidRPr="006B75CA">
        <w:t xml:space="preserve">(carreta), en circunstancias que: “al dar la vuelta la carreta se inclinó por el desnivel del terreno, cayendo 286 cajas de mango”. 2) Que, con respecto al salvamento de la carga, este se llevó a cabo por </w:t>
      </w:r>
      <w:r w:rsidR="00B720FA" w:rsidRPr="00EC323B">
        <w:t>……………….</w:t>
      </w:r>
      <w:r w:rsidR="00B720FA" w:rsidRPr="006B75CA">
        <w:t xml:space="preserve"> </w:t>
      </w:r>
      <w:r w:rsidRPr="006B75CA">
        <w:t xml:space="preserve">de </w:t>
      </w:r>
      <w:r w:rsidR="00863F0C" w:rsidRPr="00EC323B">
        <w:t>……………….</w:t>
      </w:r>
      <w:r w:rsidR="00863F0C" w:rsidRPr="006B75CA">
        <w:t xml:space="preserve"> </w:t>
      </w:r>
      <w:r w:rsidR="00863F0C">
        <w:t xml:space="preserve"> </w:t>
      </w:r>
      <w:r w:rsidRPr="006B75CA">
        <w:t xml:space="preserve">AJUSTADORES, a través de la empresa Nexos Operadores Logísticos, quienes constataron que la mercadería salvada y no recibida por su destinatario (al ser observada por el daño causado producto del accidente), fue de un total de 280 jabas con producto ascendente a 5,180 kg de producto afectado. 3) Que, la aseguradora indica que no se trata de un accidente al medio de transporte, sino de un evento que llaman “caída de la carga”, la cual no está comprendida dentro de la definición de medio de transporte definida en la respectiva cláusula de accidente al medio de transporte. Que, al considerar no procedente el pedido de la reclamante, la aseguradora no se pronuncia sobre el producto en salvamento (carga de mangos que recogió a través de su ajustador), quedándose ellos con la mercadería sin definir su situación legal. 4) Que, los hechos suscitados si encuadran dentro de la definición de accidente de tránsito contenida en la póliza, ya que se entiende a “la volcadura” dentro de la definición de accidente cubierto por la póliza, hecho que motiva que tal siniestro cuente con cobertura. Que, al ser un accidente con cobertura y encontrarse la mercadería en situación jurídica bajo la responsabilidad de </w:t>
      </w:r>
      <w:r w:rsidR="00863F0C" w:rsidRPr="00EC323B">
        <w:t>…………</w:t>
      </w:r>
      <w:proofErr w:type="gramStart"/>
      <w:r w:rsidR="00863F0C" w:rsidRPr="00EC323B">
        <w:t>…….</w:t>
      </w:r>
      <w:proofErr w:type="gramEnd"/>
      <w:r w:rsidRPr="006B75CA">
        <w:t xml:space="preserve">, a través de los mencionados tenedores de </w:t>
      </w:r>
      <w:proofErr w:type="gramStart"/>
      <w:r w:rsidRPr="006B75CA">
        <w:t>la misma</w:t>
      </w:r>
      <w:proofErr w:type="gramEnd"/>
      <w:r w:rsidRPr="006B75CA">
        <w:t xml:space="preserve">, por tratarse de productos perecibles y conforme a la costumbre de la plaza, debe liquidarse y entregarse a la asegurada su valor en dinero, conforme al valor de la factura que se adjunta al expediente. </w:t>
      </w:r>
      <w:r w:rsidRPr="006B75CA">
        <w:lastRenderedPageBreak/>
        <w:t>5) Que, los hechos si encuadran como accidente en el presente caso a lo que se entiende como “volcadura”, la misma que está definida por la RAE, como “movimiento brusco en el que un cuerpo, especialmente un vehículo pierde su posición normal y queda invertido o de lado”.  Que, el razonamiento de la aseguradora para sustentar la no cobertura incide en escudarse en un hecho tangible “caída de carga”, sin dar detalle de porque se cayó la carga y sin analizar si tal hecho fue producto o no de un accidente. Que, conforme a la definición del RAE, no solo está referido a que el vehículo quede invertido sino también que pierda su posición y quede de lado.</w:t>
      </w:r>
    </w:p>
    <w:p w14:paraId="59ED4C6E" w14:textId="16E65268" w:rsidR="006B75CA" w:rsidRPr="006B75CA" w:rsidRDefault="006B75CA" w:rsidP="006B75CA">
      <w:pPr>
        <w:jc w:val="both"/>
      </w:pPr>
      <w:r w:rsidRPr="006B75CA">
        <w:t xml:space="preserve">Que, por su parte </w:t>
      </w:r>
      <w:r w:rsidR="00863F0C" w:rsidRPr="00EC323B">
        <w:t>……………….</w:t>
      </w:r>
      <w:r w:rsidR="00863F0C" w:rsidRPr="006B75CA">
        <w:t xml:space="preserve"> </w:t>
      </w:r>
      <w:r w:rsidRPr="006B75CA">
        <w:t xml:space="preserve">solicita se declare infundada la reclamación, por las siguientes resumidas razones: 1) Que, en el presente caso, la asegurada reclama la cobertura de 280 jabas con producto (mango) de 5,180 kg de producto afectado. 2) Que, la asegurada indicó que el siniestro ocurrió debido a que, al dar la vuelta el vehículo transportador, la carreta se inclinó por el desnivel del terreno, cayendo así la carga; esto se puede apreciar en su propio reclamo ante la DEFASEG. Que, de esta manera, teniendo en cuenta las circunstancias del siniestro, la aseguradora concluyó que el mismo no gozaba de cobertura, ya que no se está ante un supuesto de Accidente al Medio de Transporte, de acuerdo con lo estipulado en la Póliza contratada. 3) Que, la Cláusula de Accidente al Medio de Transporte, establece que la cobertura de los objetos asegurados que son transportados aplica únicamente cuando son a consecuencia de un accidente al medio de transporte por: a) choque, b) volcadura, c) desbarrancamiento, e) incendio, f) entre otros. Que, en el presente caso, queda claro que el accidente ocurrido no se debió a ninguno de estos supuestos, sino que se trató de una inclinación por el desnivel del terreno que generó que la carga cayera al suelo, no habiéndose presentado ningún choque, volcadura u otro. Que, la asegurada sostiene que en realidad si se </w:t>
      </w:r>
      <w:proofErr w:type="gramStart"/>
      <w:r w:rsidRPr="006B75CA">
        <w:t>estaría</w:t>
      </w:r>
      <w:proofErr w:type="gramEnd"/>
      <w:r w:rsidRPr="006B75CA">
        <w:t xml:space="preserve"> ante un supuesto de volcadura, toda vez que esta es definida por el RAE como “movimiento brusco en el que un cuerpo, especialmente un vehículo, pierde su posición normal y queda invertido o de lado”. Que, es claro que lo indicado por la asegurada es errado, toda vez que la misma definición del RAE señala que la volcadura significa que, para el caso de un vehículo esto se da cuando queda invertido o de lado; no obstante, como se ha demostrado, el vehículo que transportaba la carga no quedó ni invertido ni de lado, sino que únicamente se inclinó y retorno a su posición normal, tal como se aprecia en imagen que obra en el expediente. 4) Que, por otro lado, respecto al tema del salvamento que cuestiona también el asegurado en su reclamo, se debe precisar que la carga dañada objeto de salvamento fue acogida por la aseguradora el 12 de febrero de 2021 al tener todos los datos necesarios para dicho recojo, los cuales fueron brindados por la asegurada. Que, así mismo, en su oportunidad los ajustadores que inicialmente evaluaron el </w:t>
      </w:r>
      <w:proofErr w:type="gramStart"/>
      <w:r w:rsidRPr="006B75CA">
        <w:t>siniestro,</w:t>
      </w:r>
      <w:proofErr w:type="gramEnd"/>
      <w:r w:rsidRPr="006B75CA">
        <w:t xml:space="preserve"> enviaron el 04 de febrero de 2021 al bróker la respectiva acta de salvamento para su firma, en la cual expresamente se indicó lo siguiente:</w:t>
      </w:r>
    </w:p>
    <w:p w14:paraId="7F99F89D" w14:textId="77777777" w:rsidR="006B75CA" w:rsidRPr="006B75CA" w:rsidRDefault="006B75CA" w:rsidP="006B75CA">
      <w:pPr>
        <w:jc w:val="both"/>
      </w:pPr>
    </w:p>
    <w:p w14:paraId="50E3AB60" w14:textId="77777777" w:rsidR="006B75CA" w:rsidRPr="006B75CA" w:rsidRDefault="006B75CA" w:rsidP="006B75CA">
      <w:pPr>
        <w:jc w:val="both"/>
      </w:pPr>
      <w:r w:rsidRPr="006B75CA">
        <w:t>“En caso el siniestro no cuente con cobertura y el área de salvamentos de la aseguradora haya realizado la venta de la mercadería siniestrada, se procederá con la devolución del monto recaudado, descontando los gastos administrativos en que se incurran”.</w:t>
      </w:r>
    </w:p>
    <w:p w14:paraId="493263F5" w14:textId="77777777" w:rsidR="006B75CA" w:rsidRPr="006B75CA" w:rsidRDefault="006B75CA" w:rsidP="006B75CA">
      <w:pPr>
        <w:jc w:val="both"/>
      </w:pPr>
    </w:p>
    <w:p w14:paraId="2D317EEE" w14:textId="553B294A" w:rsidR="006B75CA" w:rsidRDefault="006B75CA" w:rsidP="006B75CA">
      <w:pPr>
        <w:jc w:val="both"/>
      </w:pPr>
      <w:r w:rsidRPr="006B75CA">
        <w:t>Que, así, el importe que corresponde devolver por parte de la aseguradora por la venta mencionada es de S/ 3,241.53, el cual es neto del IGV y de la comisión que la aseguradora pagó al intermediario.</w:t>
      </w:r>
    </w:p>
    <w:p w14:paraId="59ABDE1D" w14:textId="77777777" w:rsidR="00E206AF" w:rsidRPr="006B75CA" w:rsidRDefault="00E206AF" w:rsidP="006B75CA">
      <w:pPr>
        <w:jc w:val="both"/>
        <w:rPr>
          <w:lang w:val="es-MX"/>
        </w:rPr>
      </w:pPr>
    </w:p>
    <w:p w14:paraId="5EDF2A87" w14:textId="77777777" w:rsidR="006B75CA" w:rsidRPr="006B75CA" w:rsidRDefault="006B75CA" w:rsidP="006B75CA">
      <w:pPr>
        <w:jc w:val="both"/>
        <w:rPr>
          <w:lang w:val="es-MX"/>
        </w:rPr>
      </w:pPr>
      <w:r w:rsidRPr="006B75CA">
        <w:rPr>
          <w:b/>
        </w:rPr>
        <w:t>CONSIDERANDO</w:t>
      </w:r>
    </w:p>
    <w:p w14:paraId="326F747B" w14:textId="77777777" w:rsidR="006B75CA" w:rsidRPr="006B75CA" w:rsidRDefault="006B75CA" w:rsidP="006B75CA">
      <w:pPr>
        <w:jc w:val="both"/>
      </w:pPr>
    </w:p>
    <w:p w14:paraId="78D45AB0" w14:textId="3174DD65" w:rsidR="006B75CA" w:rsidRDefault="006B75CA" w:rsidP="006B75CA">
      <w:pPr>
        <w:jc w:val="both"/>
      </w:pPr>
      <w:r w:rsidRPr="006B75CA">
        <w:rPr>
          <w:b/>
        </w:rPr>
        <w:t>PRIMERO:</w:t>
      </w:r>
      <w:r w:rsidRPr="006B75CA">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14:paraId="6B5E43E1" w14:textId="77777777" w:rsidR="00E206AF" w:rsidRPr="006B75CA" w:rsidRDefault="00E206AF" w:rsidP="006B75CA">
      <w:pPr>
        <w:jc w:val="both"/>
      </w:pPr>
    </w:p>
    <w:p w14:paraId="05A80123" w14:textId="77777777" w:rsidR="006B75CA" w:rsidRPr="006B75CA" w:rsidRDefault="006B75CA" w:rsidP="006B75CA">
      <w:pPr>
        <w:ind w:firstLine="2"/>
        <w:jc w:val="both"/>
      </w:pPr>
      <w:r w:rsidRPr="006B75CA">
        <w:rPr>
          <w:b/>
        </w:rPr>
        <w:t>SEGUNDO</w:t>
      </w:r>
      <w:r w:rsidRPr="006B75CA">
        <w:t xml:space="preserve">: Que, así mismo, </w:t>
      </w:r>
      <w:proofErr w:type="gramStart"/>
      <w:r w:rsidRPr="006B75CA">
        <w:t>de acuerdo a</w:t>
      </w:r>
      <w:proofErr w:type="gramEnd"/>
      <w:r w:rsidRPr="006B75CA">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14:paraId="19403E1C" w14:textId="77777777" w:rsidR="006B75CA" w:rsidRPr="006B75CA" w:rsidRDefault="006B75CA" w:rsidP="006B75CA">
      <w:pPr>
        <w:ind w:firstLine="2"/>
        <w:jc w:val="both"/>
      </w:pPr>
    </w:p>
    <w:p w14:paraId="509B79F5" w14:textId="77777777" w:rsidR="006B75CA" w:rsidRPr="006B75CA" w:rsidRDefault="006B75CA" w:rsidP="006B75CA">
      <w:pPr>
        <w:ind w:firstLine="2"/>
        <w:jc w:val="both"/>
      </w:pPr>
      <w:r w:rsidRPr="006B75CA">
        <w:rPr>
          <w:b/>
        </w:rPr>
        <w:t xml:space="preserve">TERCERO </w:t>
      </w:r>
      <w:r w:rsidRPr="006B75CA">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14:paraId="77A29846" w14:textId="77777777" w:rsidR="006B75CA" w:rsidRPr="006B75CA" w:rsidRDefault="006B75CA" w:rsidP="006B75CA">
      <w:pPr>
        <w:ind w:firstLine="2"/>
        <w:jc w:val="both"/>
      </w:pPr>
    </w:p>
    <w:p w14:paraId="33B8A154" w14:textId="77777777" w:rsidR="006B75CA" w:rsidRPr="006B75CA" w:rsidRDefault="006B75CA" w:rsidP="006B75CA">
      <w:pPr>
        <w:ind w:firstLine="2"/>
        <w:jc w:val="both"/>
      </w:pPr>
      <w:r w:rsidRPr="006B75CA">
        <w:rPr>
          <w:b/>
        </w:rPr>
        <w:t>CUARTO</w:t>
      </w:r>
      <w:r w:rsidRPr="006B75CA">
        <w:t>: Que, el artículo 1361 del Código Civil dispone que los contratos sean obligatorios en cuanto se haya expresado en ellos, presumiéndose que lo declarado es lo querido por ambas partes, de manera que la parte que sostenga lo contrario debe probarlo.</w:t>
      </w:r>
    </w:p>
    <w:p w14:paraId="4D11DC92" w14:textId="77777777" w:rsidR="006B75CA" w:rsidRPr="006B75CA" w:rsidRDefault="006B75CA" w:rsidP="006B75CA">
      <w:pPr>
        <w:ind w:firstLine="2"/>
        <w:jc w:val="both"/>
      </w:pPr>
    </w:p>
    <w:p w14:paraId="4147AAB3" w14:textId="77777777" w:rsidR="006B75CA" w:rsidRPr="006B75CA" w:rsidRDefault="006B75CA" w:rsidP="006B75CA">
      <w:pPr>
        <w:ind w:firstLine="2"/>
        <w:jc w:val="both"/>
      </w:pPr>
      <w:r w:rsidRPr="006B75CA">
        <w:rPr>
          <w:b/>
        </w:rPr>
        <w:t>QUINTO:</w:t>
      </w:r>
      <w:r w:rsidRPr="006B75CA">
        <w:t xml:space="preserve"> Que, en materia procesal, corresponde a quien invoca hechos probar su existencia, carga procesal a la que se refiere el artículo 196 del Código Procesal Civil, salvo que se acoja a alguna presunción legal de carácter relativo o absoluto.</w:t>
      </w:r>
    </w:p>
    <w:p w14:paraId="756C70D0" w14:textId="77777777" w:rsidR="006B75CA" w:rsidRPr="006B75CA" w:rsidRDefault="006B75CA" w:rsidP="006B75CA">
      <w:pPr>
        <w:ind w:firstLine="2"/>
        <w:jc w:val="both"/>
      </w:pPr>
    </w:p>
    <w:p w14:paraId="5C30C8F5" w14:textId="1607ACAF" w:rsidR="006B75CA" w:rsidRPr="006B75CA" w:rsidRDefault="006B75CA" w:rsidP="006B75CA">
      <w:pPr>
        <w:ind w:firstLine="2"/>
        <w:jc w:val="both"/>
      </w:pPr>
      <w:r w:rsidRPr="006B75CA">
        <w:rPr>
          <w:b/>
        </w:rPr>
        <w:t xml:space="preserve">SEXTO: </w:t>
      </w:r>
      <w:r w:rsidRPr="006B75CA">
        <w:t xml:space="preserve">Que, </w:t>
      </w:r>
      <w:proofErr w:type="gramStart"/>
      <w:r w:rsidRPr="006B75CA">
        <w:t>de acuerdo a</w:t>
      </w:r>
      <w:proofErr w:type="gramEnd"/>
      <w:r w:rsidRPr="006B75CA">
        <w:t xml:space="preserve"> los términos contenidos en la reclamación, a la contestación de </w:t>
      </w:r>
      <w:proofErr w:type="gramStart"/>
      <w:r w:rsidRPr="006B75CA">
        <w:t>la misma</w:t>
      </w:r>
      <w:proofErr w:type="gramEnd"/>
      <w:r w:rsidRPr="006B75CA">
        <w:t xml:space="preserve"> y a lo tratado en la audiencia de vista, la materia controvertida sometida al conocimiento de este colegiado radica en determinar si el rechazo del </w:t>
      </w:r>
      <w:proofErr w:type="gramStart"/>
      <w:r w:rsidRPr="006B75CA">
        <w:t>siniestro  expresado</w:t>
      </w:r>
      <w:proofErr w:type="gramEnd"/>
      <w:r w:rsidRPr="006B75CA">
        <w:t xml:space="preserve"> por </w:t>
      </w:r>
      <w:r w:rsidR="00863F0C" w:rsidRPr="00EC323B">
        <w:t>……………….</w:t>
      </w:r>
      <w:r w:rsidR="00863F0C" w:rsidRPr="006B75CA">
        <w:t xml:space="preserve"> </w:t>
      </w:r>
      <w:r w:rsidRPr="006B75CA">
        <w:t xml:space="preserve">en su carta N° </w:t>
      </w:r>
      <w:r w:rsidR="00863F0C" w:rsidRPr="00EC323B">
        <w:t>……………….</w:t>
      </w:r>
      <w:r w:rsidR="00863F0C" w:rsidRPr="006B75CA">
        <w:t xml:space="preserve"> </w:t>
      </w:r>
      <w:r w:rsidRPr="006B75CA">
        <w:t>de fecha 05 de marzo de 2021 se encuentra sustentado de acuerdo a las Condiciones Generales y Particulares de la Póliza de Seguro de Transporte de Carga y a la Ley N° 29946, Ley de Contrato de Seguros.</w:t>
      </w:r>
    </w:p>
    <w:p w14:paraId="569A4056" w14:textId="77777777" w:rsidR="006B75CA" w:rsidRPr="006B75CA" w:rsidRDefault="006B75CA" w:rsidP="006B75CA">
      <w:pPr>
        <w:jc w:val="both"/>
        <w:rPr>
          <w:i/>
        </w:rPr>
      </w:pPr>
    </w:p>
    <w:p w14:paraId="76A2FB34" w14:textId="77777777" w:rsidR="006B75CA" w:rsidRPr="006B75CA" w:rsidRDefault="006B75CA" w:rsidP="006B75CA">
      <w:pPr>
        <w:jc w:val="both"/>
      </w:pPr>
      <w:r w:rsidRPr="006B75CA">
        <w:rPr>
          <w:b/>
        </w:rPr>
        <w:t>SETIMO</w:t>
      </w:r>
      <w:r w:rsidRPr="006B75CA">
        <w:rPr>
          <w:b/>
          <w:u w:val="single"/>
        </w:rPr>
        <w:t>:</w:t>
      </w:r>
      <w:r w:rsidRPr="006B75CA">
        <w:t xml:space="preserve"> Que. el rechazo del siniestro expresado por la aseguradora en su comunicación mencionada en el Considerando </w:t>
      </w:r>
      <w:proofErr w:type="gramStart"/>
      <w:r w:rsidRPr="006B75CA">
        <w:t>Sexto,</w:t>
      </w:r>
      <w:proofErr w:type="gramEnd"/>
      <w:r w:rsidRPr="006B75CA">
        <w:t xml:space="preserve"> se sustenta en que la caída de la carga se trata de un evento que no está comprendido dentro de los riesgos que se entienden como accidente al medio de transporte, según está definido en la Cláusula de Accidente al medio de transporte. </w:t>
      </w:r>
    </w:p>
    <w:p w14:paraId="658C0388" w14:textId="77777777" w:rsidR="006B75CA" w:rsidRPr="006B75CA" w:rsidRDefault="006B75CA" w:rsidP="006B75CA">
      <w:pPr>
        <w:jc w:val="both"/>
      </w:pPr>
    </w:p>
    <w:p w14:paraId="47706C2C" w14:textId="77777777" w:rsidR="006B75CA" w:rsidRPr="006B75CA" w:rsidRDefault="006B75CA" w:rsidP="006B75CA">
      <w:pPr>
        <w:jc w:val="both"/>
      </w:pPr>
      <w:r w:rsidRPr="006B75CA">
        <w:rPr>
          <w:b/>
        </w:rPr>
        <w:t>OCTAVO</w:t>
      </w:r>
      <w:r w:rsidRPr="006B75CA">
        <w:t>: Que, en respuesta a lo mencionado por la aseguradora en el Considerando Sétimo, la asegurada manifestó su disconformidad con el rechazo del siniestro, por lo siguiente:</w:t>
      </w:r>
    </w:p>
    <w:p w14:paraId="3EF29FD0" w14:textId="77777777" w:rsidR="006B75CA" w:rsidRPr="006B75CA" w:rsidRDefault="006B75CA" w:rsidP="006B75CA">
      <w:pPr>
        <w:jc w:val="both"/>
      </w:pPr>
    </w:p>
    <w:p w14:paraId="7CE9C181" w14:textId="77777777" w:rsidR="006B75CA" w:rsidRPr="006B75CA" w:rsidRDefault="006B75CA" w:rsidP="006B75CA">
      <w:pPr>
        <w:pStyle w:val="Prrafodelista"/>
        <w:numPr>
          <w:ilvl w:val="0"/>
          <w:numId w:val="25"/>
        </w:numPr>
        <w:jc w:val="both"/>
      </w:pPr>
      <w:r w:rsidRPr="006B75CA">
        <w:t xml:space="preserve">Que, los hechos si se encuadran como accidente; en el presente caso a lo que se entiende como “volcadura”, la misma que está definida por el RAE como </w:t>
      </w:r>
      <w:r w:rsidRPr="006B75CA">
        <w:lastRenderedPageBreak/>
        <w:t>“movimiento brusco en el que un cuerpo, especialmente un vehículo pierde su posición normal y queda invertido o de lado”.</w:t>
      </w:r>
    </w:p>
    <w:p w14:paraId="2EB174FD" w14:textId="77777777" w:rsidR="006B75CA" w:rsidRPr="006B75CA" w:rsidRDefault="006B75CA" w:rsidP="006B75CA">
      <w:pPr>
        <w:pStyle w:val="Prrafodelista"/>
        <w:numPr>
          <w:ilvl w:val="0"/>
          <w:numId w:val="25"/>
        </w:numPr>
        <w:jc w:val="both"/>
      </w:pPr>
      <w:r w:rsidRPr="006B75CA">
        <w:t xml:space="preserve">Que, el razonamiento de la aseguradora para sustentar la no </w:t>
      </w:r>
      <w:proofErr w:type="gramStart"/>
      <w:r w:rsidRPr="006B75CA">
        <w:t>cobertura,</w:t>
      </w:r>
      <w:proofErr w:type="gramEnd"/>
      <w:r w:rsidRPr="006B75CA">
        <w:t xml:space="preserve"> incide en escudarse en un hecho tangible “caída de la carga”, sin dar detalle del porque se produjo tal caída y sin analizar si tal hecho fue producto o no de un accidente.</w:t>
      </w:r>
    </w:p>
    <w:p w14:paraId="68E1E2F4" w14:textId="77777777" w:rsidR="006B75CA" w:rsidRPr="006B75CA" w:rsidRDefault="006B75CA" w:rsidP="006B75CA">
      <w:pPr>
        <w:pStyle w:val="Prrafodelista"/>
        <w:numPr>
          <w:ilvl w:val="0"/>
          <w:numId w:val="25"/>
        </w:numPr>
        <w:jc w:val="both"/>
      </w:pPr>
      <w:r w:rsidRPr="006B75CA">
        <w:t xml:space="preserve">Que “volcadura” conforme la definición del </w:t>
      </w:r>
      <w:proofErr w:type="gramStart"/>
      <w:r w:rsidRPr="006B75CA">
        <w:t>RAE,</w:t>
      </w:r>
      <w:proofErr w:type="gramEnd"/>
      <w:r w:rsidRPr="006B75CA">
        <w:t xml:space="preserve"> no solo está referido a que el vehículo quede invertido, sino también que pierda su posición y “quede de lado”, accidente que si sucedió y generó la caída de la carga.</w:t>
      </w:r>
    </w:p>
    <w:p w14:paraId="3CCC8AB3" w14:textId="77777777" w:rsidR="006B75CA" w:rsidRPr="006B75CA" w:rsidRDefault="006B75CA" w:rsidP="006B75CA">
      <w:pPr>
        <w:jc w:val="both"/>
      </w:pPr>
    </w:p>
    <w:p w14:paraId="0DF1C9A0" w14:textId="0C5CA720" w:rsidR="006B75CA" w:rsidRPr="006B75CA" w:rsidRDefault="006B75CA" w:rsidP="006B75CA">
      <w:pPr>
        <w:jc w:val="both"/>
      </w:pPr>
      <w:r w:rsidRPr="006B75CA">
        <w:rPr>
          <w:b/>
        </w:rPr>
        <w:t xml:space="preserve">NOVENO: </w:t>
      </w:r>
      <w:r w:rsidRPr="006B75CA">
        <w:t xml:space="preserve">Que, del análisis de lo mencionado por </w:t>
      </w:r>
      <w:r w:rsidR="00863F0C" w:rsidRPr="00EC323B">
        <w:t>……………….</w:t>
      </w:r>
      <w:r w:rsidR="00863F0C" w:rsidRPr="006B75CA">
        <w:t xml:space="preserve"> </w:t>
      </w:r>
      <w:r w:rsidRPr="006B75CA">
        <w:t>y la asegurada en los Considerandos Sétimo y Octavo, este colegiado aprecia lo siguiente:</w:t>
      </w:r>
    </w:p>
    <w:p w14:paraId="0FD0B560" w14:textId="77777777" w:rsidR="006B75CA" w:rsidRPr="006B75CA" w:rsidRDefault="006B75CA" w:rsidP="006B75CA">
      <w:pPr>
        <w:jc w:val="both"/>
      </w:pPr>
    </w:p>
    <w:p w14:paraId="54CAEAD5" w14:textId="77777777" w:rsidR="006B75CA" w:rsidRPr="006B75CA" w:rsidRDefault="006B75CA" w:rsidP="006B75CA">
      <w:pPr>
        <w:pStyle w:val="Prrafodelista"/>
        <w:numPr>
          <w:ilvl w:val="0"/>
          <w:numId w:val="26"/>
        </w:numPr>
        <w:jc w:val="both"/>
      </w:pPr>
      <w:r w:rsidRPr="006B75CA">
        <w:t>Que, la Cláusula de Accidente al Medio de Transporte, considerada en la póliza contratada, expresa literalmente lo siguiente:</w:t>
      </w:r>
    </w:p>
    <w:p w14:paraId="079FC7BF" w14:textId="77777777" w:rsidR="006B75CA" w:rsidRPr="006B75CA" w:rsidRDefault="006B75CA" w:rsidP="006B75CA">
      <w:pPr>
        <w:jc w:val="both"/>
      </w:pPr>
    </w:p>
    <w:p w14:paraId="17BEA01D" w14:textId="77777777" w:rsidR="006B75CA" w:rsidRPr="006B75CA" w:rsidRDefault="006B75CA" w:rsidP="006B75CA">
      <w:pPr>
        <w:jc w:val="both"/>
        <w:rPr>
          <w:b/>
          <w:bCs/>
        </w:rPr>
      </w:pPr>
      <w:r w:rsidRPr="006B75CA">
        <w:rPr>
          <w:b/>
          <w:bCs/>
        </w:rPr>
        <w:t>“CLAUSULA DE ACCIDENTE AL MEDIO DE TRANSPORTE</w:t>
      </w:r>
    </w:p>
    <w:p w14:paraId="07113515" w14:textId="77777777" w:rsidR="006B75CA" w:rsidRPr="006B75CA" w:rsidRDefault="006B75CA" w:rsidP="006B75CA">
      <w:pPr>
        <w:jc w:val="both"/>
        <w:rPr>
          <w:b/>
          <w:bCs/>
        </w:rPr>
      </w:pPr>
    </w:p>
    <w:p w14:paraId="3A2E111D" w14:textId="77777777" w:rsidR="006B75CA" w:rsidRPr="006B75CA" w:rsidRDefault="006B75CA" w:rsidP="006B75CA">
      <w:pPr>
        <w:pStyle w:val="Prrafodelista"/>
        <w:numPr>
          <w:ilvl w:val="0"/>
          <w:numId w:val="27"/>
        </w:numPr>
        <w:jc w:val="both"/>
        <w:rPr>
          <w:b/>
          <w:bCs/>
        </w:rPr>
      </w:pPr>
      <w:r w:rsidRPr="006B75CA">
        <w:rPr>
          <w:b/>
          <w:bCs/>
        </w:rPr>
        <w:t>ALCANCE</w:t>
      </w:r>
    </w:p>
    <w:p w14:paraId="14535F01" w14:textId="77777777" w:rsidR="006B75CA" w:rsidRPr="006B75CA" w:rsidRDefault="006B75CA" w:rsidP="006B75CA">
      <w:pPr>
        <w:jc w:val="both"/>
      </w:pPr>
    </w:p>
    <w:p w14:paraId="5D705831" w14:textId="77777777" w:rsidR="006B75CA" w:rsidRPr="006B75CA" w:rsidRDefault="006B75CA" w:rsidP="006B75CA">
      <w:pPr>
        <w:jc w:val="both"/>
        <w:rPr>
          <w:i/>
          <w:iCs/>
        </w:rPr>
      </w:pPr>
      <w:r w:rsidRPr="006B75CA">
        <w:rPr>
          <w:i/>
          <w:iCs/>
        </w:rPr>
        <w:t>Por el mérito del pago de la prima adicional efectuado, queda acordado entre las partes que este Seguro cubre pérdidas y/o daños materiales que sufran los objetos asegurados como consecuencia de un accidente al medio de transporte terrestre.</w:t>
      </w:r>
    </w:p>
    <w:p w14:paraId="39F43DCC" w14:textId="77777777" w:rsidR="006B75CA" w:rsidRPr="006B75CA" w:rsidRDefault="006B75CA" w:rsidP="006B75CA">
      <w:pPr>
        <w:jc w:val="both"/>
        <w:rPr>
          <w:i/>
          <w:iCs/>
        </w:rPr>
      </w:pPr>
    </w:p>
    <w:p w14:paraId="69F38776" w14:textId="77777777" w:rsidR="006B75CA" w:rsidRPr="006B75CA" w:rsidRDefault="006B75CA" w:rsidP="006B75CA">
      <w:pPr>
        <w:jc w:val="both"/>
        <w:rPr>
          <w:i/>
          <w:iCs/>
        </w:rPr>
      </w:pPr>
      <w:r w:rsidRPr="006B75CA">
        <w:rPr>
          <w:i/>
          <w:iCs/>
        </w:rPr>
        <w:t>Queda convenido que, para efectos del presente Seguro, se entiende por accidente al medio de transporte terrestre únicamente los siguientes: el choque, la volcadura, el desbarrancamiento, el descarrilamiento en caso de transporte por vía férrea y el incendio en el medio de transporte terrestre. También se entienden como accidentes al medio de transporte el deslizamiento de terraplenes y el derrumbe de puentes y/o túneles, pero únicamente en los casos en los que estos eventos afecten primero directamente al medio de transporte terrestre”.</w:t>
      </w:r>
    </w:p>
    <w:p w14:paraId="3EA0973A" w14:textId="77777777" w:rsidR="006B75CA" w:rsidRPr="006B75CA" w:rsidRDefault="006B75CA" w:rsidP="006B75CA">
      <w:pPr>
        <w:jc w:val="both"/>
      </w:pPr>
    </w:p>
    <w:p w14:paraId="31D67259" w14:textId="77777777" w:rsidR="006B75CA" w:rsidRPr="006B75CA" w:rsidRDefault="006B75CA" w:rsidP="006B75CA">
      <w:pPr>
        <w:pStyle w:val="Prrafodelista"/>
        <w:numPr>
          <w:ilvl w:val="0"/>
          <w:numId w:val="26"/>
        </w:numPr>
        <w:jc w:val="both"/>
      </w:pPr>
      <w:r w:rsidRPr="006B75CA">
        <w:t>Que, tanto la asegurada como la aseguradora en sus correspondientes escritos, han considerado la definición que otorga el RAE a la palabra “volcadura”, la misma que expresa lo siguiente</w:t>
      </w:r>
    </w:p>
    <w:p w14:paraId="0AED97DA" w14:textId="77777777" w:rsidR="006B75CA" w:rsidRPr="006B75CA" w:rsidRDefault="006B75CA" w:rsidP="006B75CA">
      <w:pPr>
        <w:jc w:val="both"/>
      </w:pPr>
    </w:p>
    <w:p w14:paraId="57E73FAA" w14:textId="77777777" w:rsidR="006B75CA" w:rsidRPr="006B75CA" w:rsidRDefault="006B75CA" w:rsidP="006B75CA">
      <w:pPr>
        <w:jc w:val="both"/>
        <w:rPr>
          <w:i/>
          <w:iCs/>
        </w:rPr>
      </w:pPr>
      <w:r w:rsidRPr="006B75CA">
        <w:rPr>
          <w:i/>
          <w:iCs/>
        </w:rPr>
        <w:t xml:space="preserve">“movimiento brusco en el que un cuerpo, especialmente un vehículo pierde su posición normal y queda invertido o de lado”.  </w:t>
      </w:r>
    </w:p>
    <w:p w14:paraId="5D8242CF" w14:textId="77777777" w:rsidR="006B75CA" w:rsidRPr="006B75CA" w:rsidRDefault="006B75CA" w:rsidP="006B75CA">
      <w:pPr>
        <w:jc w:val="both"/>
      </w:pPr>
    </w:p>
    <w:p w14:paraId="6949E82C" w14:textId="77777777" w:rsidR="006B75CA" w:rsidRPr="006B75CA" w:rsidRDefault="006B75CA" w:rsidP="006B75CA">
      <w:pPr>
        <w:pStyle w:val="Prrafodelista"/>
        <w:numPr>
          <w:ilvl w:val="0"/>
          <w:numId w:val="26"/>
        </w:numPr>
        <w:jc w:val="both"/>
      </w:pPr>
      <w:r w:rsidRPr="006B75CA">
        <w:t xml:space="preserve">Que, </w:t>
      </w:r>
      <w:proofErr w:type="gramStart"/>
      <w:r w:rsidRPr="006B75CA">
        <w:t>de acuerdo a</w:t>
      </w:r>
      <w:proofErr w:type="gramEnd"/>
      <w:r w:rsidRPr="006B75CA">
        <w:t xml:space="preserve"> lo manifestado por la asegurada, el accidente ocurrió en circunstancias que: “al dar la vuelta la carreta se inclinó por el desnivel del terreno, cayendo 286 cajas de mango”.</w:t>
      </w:r>
    </w:p>
    <w:p w14:paraId="535CCC2E" w14:textId="1A5F06ED" w:rsidR="006B75CA" w:rsidRDefault="006B75CA" w:rsidP="006B75CA">
      <w:pPr>
        <w:pStyle w:val="Prrafodelista"/>
        <w:numPr>
          <w:ilvl w:val="0"/>
          <w:numId w:val="26"/>
        </w:numPr>
        <w:jc w:val="both"/>
      </w:pPr>
      <w:r w:rsidRPr="006B75CA">
        <w:t>Que, como se puede apreciar en la toma fotográfica que adjunta la asegurada al expediente, el vehículo transportador no sufrió volcadura, ya que por el desnivel del terreno solo se ladeo y regresó a su posición normal, por lo que no quedó “ni invertido ni de lado”</w:t>
      </w:r>
    </w:p>
    <w:p w14:paraId="4A99730F" w14:textId="77777777" w:rsidR="00E206AF" w:rsidRPr="006B75CA" w:rsidRDefault="00E206AF" w:rsidP="00E206AF">
      <w:pPr>
        <w:pStyle w:val="Prrafodelista"/>
        <w:jc w:val="both"/>
      </w:pPr>
    </w:p>
    <w:p w14:paraId="2A11E5A4" w14:textId="77777777" w:rsidR="006B75CA" w:rsidRPr="006B75CA" w:rsidRDefault="006B75CA" w:rsidP="006B75CA">
      <w:pPr>
        <w:jc w:val="both"/>
      </w:pPr>
      <w:r w:rsidRPr="006B75CA">
        <w:rPr>
          <w:b/>
          <w:bCs/>
        </w:rPr>
        <w:t xml:space="preserve">DECIMO: </w:t>
      </w:r>
      <w:r w:rsidRPr="006B75CA">
        <w:t xml:space="preserve">Que, </w:t>
      </w:r>
      <w:proofErr w:type="gramStart"/>
      <w:r w:rsidRPr="006B75CA">
        <w:t>en relación a</w:t>
      </w:r>
      <w:proofErr w:type="gramEnd"/>
      <w:r w:rsidRPr="006B75CA">
        <w:t xml:space="preserve"> lo manifestado por la asegurada sobre la disposición de la carga por la aseguradora, la Defensoría del Asegurado no tiene competencia para conocer </w:t>
      </w:r>
      <w:r w:rsidRPr="006B75CA">
        <w:lastRenderedPageBreak/>
        <w:t xml:space="preserve">este reclamo, ya que </w:t>
      </w:r>
      <w:proofErr w:type="gramStart"/>
      <w:r w:rsidRPr="006B75CA">
        <w:t>de acuerdo a</w:t>
      </w:r>
      <w:proofErr w:type="gramEnd"/>
      <w:r w:rsidRPr="006B75CA">
        <w:t xml:space="preserve"> su reglamento solo puede conocer reclamos sobre coberturas de siniestros </w:t>
      </w:r>
      <w:proofErr w:type="gramStart"/>
      <w:r w:rsidRPr="006B75CA">
        <w:t>en relación a</w:t>
      </w:r>
      <w:proofErr w:type="gramEnd"/>
      <w:r w:rsidRPr="006B75CA">
        <w:t xml:space="preserve"> condiciones de póliza y la Ley 29946, Ley de Contrato de Seguros.</w:t>
      </w:r>
    </w:p>
    <w:p w14:paraId="0BA391C2" w14:textId="77777777" w:rsidR="006B75CA" w:rsidRPr="006B75CA" w:rsidRDefault="006B75CA" w:rsidP="006B75CA">
      <w:pPr>
        <w:jc w:val="both"/>
      </w:pPr>
    </w:p>
    <w:p w14:paraId="1D1B7667" w14:textId="77777777" w:rsidR="006B75CA" w:rsidRPr="006B75CA" w:rsidRDefault="006B75CA" w:rsidP="006B75CA">
      <w:pPr>
        <w:jc w:val="both"/>
      </w:pPr>
      <w:r w:rsidRPr="006B75CA">
        <w:t>Que, en atención a todo lo expresado, se considera que el rechazo posee legitimidad,</w:t>
      </w:r>
    </w:p>
    <w:p w14:paraId="419A065D" w14:textId="77777777" w:rsidR="006B75CA" w:rsidRPr="006B75CA" w:rsidRDefault="006B75CA" w:rsidP="006B75CA">
      <w:pPr>
        <w:jc w:val="both"/>
      </w:pPr>
    </w:p>
    <w:p w14:paraId="4CF2F96C" w14:textId="77777777" w:rsidR="006B75CA" w:rsidRPr="006B75CA" w:rsidRDefault="006B75CA" w:rsidP="006B75CA">
      <w:pPr>
        <w:jc w:val="both"/>
      </w:pPr>
      <w:r w:rsidRPr="006B75CA">
        <w:t>Que, en consecuencia, esta Defensoría del Asegurado concluye su apreciación razonada y conjunta al amparo de lo establecido en su Reglamento, por lo que</w:t>
      </w:r>
    </w:p>
    <w:p w14:paraId="205783B2" w14:textId="77777777" w:rsidR="006B75CA" w:rsidRPr="006B75CA" w:rsidRDefault="006B75CA" w:rsidP="006B75CA">
      <w:pPr>
        <w:jc w:val="both"/>
      </w:pPr>
    </w:p>
    <w:p w14:paraId="586406E0" w14:textId="77777777" w:rsidR="006B75CA" w:rsidRPr="006B75CA" w:rsidRDefault="006B75CA" w:rsidP="006B75CA">
      <w:pPr>
        <w:jc w:val="both"/>
      </w:pPr>
      <w:r w:rsidRPr="006B75CA">
        <w:t>Resuelve</w:t>
      </w:r>
    </w:p>
    <w:p w14:paraId="10689698" w14:textId="77777777" w:rsidR="006B75CA" w:rsidRPr="006B75CA" w:rsidRDefault="006B75CA" w:rsidP="006B75CA">
      <w:pPr>
        <w:jc w:val="both"/>
      </w:pPr>
    </w:p>
    <w:p w14:paraId="1766092E" w14:textId="32AC043F" w:rsidR="006B75CA" w:rsidRPr="006B75CA" w:rsidRDefault="006B75CA" w:rsidP="006B75CA">
      <w:pPr>
        <w:jc w:val="both"/>
      </w:pPr>
      <w:r w:rsidRPr="006B75CA">
        <w:t xml:space="preserve">Declarar </w:t>
      </w:r>
      <w:r w:rsidRPr="006B75CA">
        <w:rPr>
          <w:b/>
        </w:rPr>
        <w:t>INFUNDADA</w:t>
      </w:r>
      <w:r w:rsidRPr="006B75CA">
        <w:t xml:space="preserve"> la reclamación interpuesta por </w:t>
      </w:r>
      <w:r w:rsidR="00863F0C" w:rsidRPr="00EC323B">
        <w:t>……………….</w:t>
      </w:r>
      <w:r w:rsidR="00863F0C" w:rsidRPr="006B75CA">
        <w:t xml:space="preserve"> </w:t>
      </w:r>
      <w:r w:rsidRPr="006B75CA">
        <w:t xml:space="preserve">E.I.R.L contra </w:t>
      </w:r>
      <w:r w:rsidR="00863F0C" w:rsidRPr="00EC323B">
        <w:t>…………</w:t>
      </w:r>
      <w:proofErr w:type="gramStart"/>
      <w:r w:rsidR="00863F0C" w:rsidRPr="00EC323B">
        <w:t>…….</w:t>
      </w:r>
      <w:proofErr w:type="gramEnd"/>
      <w:r w:rsidRPr="006B75CA">
        <w:t>, dejando a salvo el derecho de</w:t>
      </w:r>
      <w:r w:rsidRPr="006B75CA">
        <w:rPr>
          <w:b/>
          <w:bCs/>
        </w:rPr>
        <w:t xml:space="preserve"> la</w:t>
      </w:r>
      <w:r w:rsidRPr="006B75CA">
        <w:t xml:space="preserve"> reclamante para recurrir a las instancias que considere pertinentes.</w:t>
      </w:r>
    </w:p>
    <w:p w14:paraId="6FAF90F0" w14:textId="77777777" w:rsidR="00E06DE2" w:rsidRPr="00C81329" w:rsidRDefault="00E06DE2" w:rsidP="00C01AB2">
      <w:pPr>
        <w:outlineLvl w:val="0"/>
        <w:rPr>
          <w:lang w:val="es-PE"/>
        </w:rPr>
      </w:pPr>
    </w:p>
    <w:p w14:paraId="30F8D459" w14:textId="587B5930" w:rsidR="001631D6" w:rsidRPr="00C81329" w:rsidRDefault="00F15FBA" w:rsidP="00401DE3">
      <w:pPr>
        <w:jc w:val="right"/>
        <w:outlineLvl w:val="0"/>
        <w:rPr>
          <w:lang w:val="es-PE"/>
        </w:rPr>
      </w:pPr>
      <w:r w:rsidRPr="00C81329">
        <w:rPr>
          <w:lang w:val="es-PE"/>
        </w:rPr>
        <w:t xml:space="preserve">Lima, </w:t>
      </w:r>
      <w:r w:rsidR="00C81329" w:rsidRPr="00C81329">
        <w:rPr>
          <w:lang w:val="es-PE"/>
        </w:rPr>
        <w:t>1</w:t>
      </w:r>
      <w:r w:rsidR="006B75CA">
        <w:rPr>
          <w:lang w:val="es-PE"/>
        </w:rPr>
        <w:t xml:space="preserve">9 </w:t>
      </w:r>
      <w:r w:rsidR="00F62606" w:rsidRPr="00C81329">
        <w:t>d</w:t>
      </w:r>
      <w:r w:rsidRPr="00C81329">
        <w:rPr>
          <w:lang w:val="es-PE"/>
        </w:rPr>
        <w:t>e</w:t>
      </w:r>
      <w:r w:rsidR="00026017" w:rsidRPr="00C81329">
        <w:rPr>
          <w:lang w:val="es-PE"/>
        </w:rPr>
        <w:t xml:space="preserve"> </w:t>
      </w:r>
      <w:r w:rsidR="003E4270" w:rsidRPr="00C81329">
        <w:rPr>
          <w:lang w:val="es-PE"/>
        </w:rPr>
        <w:t>ju</w:t>
      </w:r>
      <w:r w:rsidR="003361A7" w:rsidRPr="00C81329">
        <w:rPr>
          <w:lang w:val="es-PE"/>
        </w:rPr>
        <w:t>l</w:t>
      </w:r>
      <w:r w:rsidR="003E4270" w:rsidRPr="00C81329">
        <w:rPr>
          <w:lang w:val="es-PE"/>
        </w:rPr>
        <w:t>io</w:t>
      </w:r>
      <w:r w:rsidR="001631D6" w:rsidRPr="00C81329">
        <w:rPr>
          <w:lang w:val="es-PE"/>
        </w:rPr>
        <w:t xml:space="preserve"> </w:t>
      </w:r>
      <w:r w:rsidRPr="00C81329">
        <w:rPr>
          <w:lang w:val="es-PE"/>
        </w:rPr>
        <w:t>de 20</w:t>
      </w:r>
      <w:r w:rsidR="001631D6" w:rsidRPr="00C81329">
        <w:rPr>
          <w:lang w:val="es-PE"/>
        </w:rPr>
        <w:t>2</w:t>
      </w:r>
      <w:r w:rsidR="003E6BA6" w:rsidRPr="00C81329">
        <w:rPr>
          <w:lang w:val="es-PE"/>
        </w:rPr>
        <w:t>1</w:t>
      </w:r>
    </w:p>
    <w:p w14:paraId="37DB6607" w14:textId="77777777" w:rsidR="00C01AB2" w:rsidRPr="00C81329" w:rsidRDefault="00C01AB2" w:rsidP="00B5211F"/>
    <w:p w14:paraId="2E675B6E" w14:textId="77777777" w:rsidR="000D588E" w:rsidRPr="00C81329" w:rsidRDefault="000D588E" w:rsidP="000D588E">
      <w:pPr>
        <w:jc w:val="both"/>
        <w:rPr>
          <w:b/>
          <w:bCs/>
          <w:i/>
          <w:iCs/>
          <w:lang w:val="es-ES_tradnl"/>
        </w:rPr>
      </w:pPr>
      <w:r w:rsidRPr="00C81329">
        <w:rPr>
          <w:b/>
          <w:bCs/>
          <w:i/>
          <w:iCs/>
          <w:lang w:val="es-ES_tradnl"/>
        </w:rPr>
        <w:t>La Secretaría Técnica certifica que la presente resolución cuenta con el voto de los vocales cuyos nombres figuran en el presente documento.</w:t>
      </w:r>
    </w:p>
    <w:p w14:paraId="4E2B6639" w14:textId="77777777" w:rsidR="000D588E" w:rsidRPr="00C81329" w:rsidRDefault="000D588E" w:rsidP="000D588E">
      <w:pPr>
        <w:jc w:val="both"/>
        <w:rPr>
          <w:b/>
          <w:bCs/>
          <w:i/>
          <w:iCs/>
          <w:lang w:val="es-ES_tradnl"/>
        </w:rPr>
      </w:pPr>
    </w:p>
    <w:p w14:paraId="71FD7BAF" w14:textId="77777777" w:rsidR="000D588E" w:rsidRPr="00C81329" w:rsidRDefault="000D588E" w:rsidP="000D588E">
      <w:pPr>
        <w:spacing w:line="360" w:lineRule="auto"/>
        <w:jc w:val="center"/>
        <w:rPr>
          <w:b/>
          <w:bCs/>
        </w:rPr>
      </w:pPr>
      <w:r w:rsidRPr="00C81329">
        <w:rPr>
          <w:b/>
          <w:bCs/>
        </w:rPr>
        <w:t xml:space="preserve">Marco Antonio Ortega Piana – </w:t>
      </w:r>
      <w:proofErr w:type="gramStart"/>
      <w:r w:rsidRPr="00C81329">
        <w:rPr>
          <w:b/>
          <w:bCs/>
        </w:rPr>
        <w:t>Presidente</w:t>
      </w:r>
      <w:proofErr w:type="gramEnd"/>
    </w:p>
    <w:p w14:paraId="247EE6C1" w14:textId="77777777" w:rsidR="000D588E" w:rsidRPr="00C81329" w:rsidRDefault="000D588E" w:rsidP="000D588E">
      <w:pPr>
        <w:spacing w:line="360" w:lineRule="auto"/>
        <w:jc w:val="center"/>
        <w:rPr>
          <w:b/>
          <w:bCs/>
        </w:rPr>
      </w:pPr>
      <w:r w:rsidRPr="00C81329">
        <w:rPr>
          <w:b/>
          <w:bCs/>
        </w:rPr>
        <w:t>María Eugenia Valdez Fernández Baca – Vocal</w:t>
      </w:r>
    </w:p>
    <w:p w14:paraId="33674F75" w14:textId="77777777" w:rsidR="000D588E" w:rsidRPr="00C81329" w:rsidRDefault="000D588E" w:rsidP="000D588E">
      <w:pPr>
        <w:spacing w:line="360" w:lineRule="auto"/>
        <w:jc w:val="center"/>
        <w:rPr>
          <w:b/>
          <w:bCs/>
        </w:rPr>
      </w:pPr>
      <w:r w:rsidRPr="00C81329">
        <w:rPr>
          <w:b/>
          <w:bCs/>
        </w:rPr>
        <w:t>Rolando Eyzaguirre Maccan – Vocal</w:t>
      </w:r>
    </w:p>
    <w:p w14:paraId="1D601113" w14:textId="77777777" w:rsidR="000D588E" w:rsidRPr="003361A7" w:rsidRDefault="000D588E" w:rsidP="000D588E">
      <w:pPr>
        <w:spacing w:line="360" w:lineRule="auto"/>
        <w:jc w:val="center"/>
        <w:rPr>
          <w:lang w:val="es-MX"/>
        </w:rPr>
      </w:pPr>
      <w:r w:rsidRPr="003361A7">
        <w:rPr>
          <w:b/>
          <w:bCs/>
        </w:rPr>
        <w:t>Gonzalo Abad del Busto - Vocal</w:t>
      </w:r>
    </w:p>
    <w:p w14:paraId="0DA96C46" w14:textId="77777777" w:rsidR="001631D6" w:rsidRPr="003361A7" w:rsidRDefault="001631D6" w:rsidP="00F15FBA">
      <w:pPr>
        <w:jc w:val="both"/>
        <w:rPr>
          <w:lang w:val="es-PE"/>
        </w:rPr>
      </w:pPr>
    </w:p>
    <w:p w14:paraId="22C77427" w14:textId="77777777" w:rsidR="00F15FBA" w:rsidRPr="001631D6" w:rsidRDefault="00F15FBA" w:rsidP="00F15FBA"/>
    <w:p w14:paraId="58BFC23A" w14:textId="77777777" w:rsidR="00F15FBA" w:rsidRPr="001631D6" w:rsidRDefault="00F15FBA" w:rsidP="00F15FBA"/>
    <w:p w14:paraId="164CAA9F" w14:textId="77777777" w:rsidR="00000000" w:rsidRPr="001631D6" w:rsidRDefault="00000000"/>
    <w:sectPr w:rsidR="00517989" w:rsidRPr="001631D6" w:rsidSect="00F552B2">
      <w:headerReference w:type="default" r:id="rId8"/>
      <w:footerReference w:type="default" r:id="rId9"/>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1CA53" w14:textId="77777777" w:rsidR="00DF1CAD" w:rsidRDefault="00DF1CAD" w:rsidP="005F148C">
      <w:r>
        <w:separator/>
      </w:r>
    </w:p>
  </w:endnote>
  <w:endnote w:type="continuationSeparator" w:id="0">
    <w:p w14:paraId="0EA411AC" w14:textId="77777777" w:rsidR="00DF1CAD" w:rsidRDefault="00DF1CAD"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01AF7AB7" w14:textId="530997BF" w:rsidR="001631D6" w:rsidRPr="001631D6" w:rsidRDefault="001631D6">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6752B" w14:textId="77777777" w:rsidR="00DF1CAD" w:rsidRDefault="00DF1CAD" w:rsidP="005F148C">
      <w:r>
        <w:separator/>
      </w:r>
    </w:p>
  </w:footnote>
  <w:footnote w:type="continuationSeparator" w:id="0">
    <w:p w14:paraId="1B5E7211" w14:textId="77777777" w:rsidR="00DF1CAD" w:rsidRDefault="00DF1CAD"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eastAsiaTheme="minorHAnsi" w:hAnsi="Times New Roman"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eastAsiaTheme="minorHAnsi" w:hAnsi="Arial" w:cs="Arial"/>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5"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9"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940536F"/>
    <w:multiLevelType w:val="hybridMultilevel"/>
    <w:tmpl w:val="252EA214"/>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06F06DC"/>
    <w:multiLevelType w:val="hybridMultilevel"/>
    <w:tmpl w:val="58ECE9A4"/>
    <w:lvl w:ilvl="0" w:tplc="B57CE202">
      <w:start w:val="1"/>
      <w:numFmt w:val="lowerLetter"/>
      <w:lvlText w:val="%1)"/>
      <w:lvlJc w:val="left"/>
      <w:pPr>
        <w:ind w:left="720" w:hanging="360"/>
      </w:pPr>
      <w:rPr>
        <w:rFonts w:ascii="Times New Roman" w:eastAsia="Times New Roman" w:hAnsi="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8"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20"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3"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5"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16cid:durableId="1654873264">
    <w:abstractNumId w:val="4"/>
  </w:num>
  <w:num w:numId="2" w16cid:durableId="392700881">
    <w:abstractNumId w:val="19"/>
  </w:num>
  <w:num w:numId="3" w16cid:durableId="852575917">
    <w:abstractNumId w:val="9"/>
  </w:num>
  <w:num w:numId="4" w16cid:durableId="813714918">
    <w:abstractNumId w:val="21"/>
  </w:num>
  <w:num w:numId="5" w16cid:durableId="8959678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14451556">
    <w:abstractNumId w:val="11"/>
  </w:num>
  <w:num w:numId="7" w16cid:durableId="17696901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72640583">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67607941">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34067100">
    <w:abstractNumId w:val="22"/>
  </w:num>
  <w:num w:numId="11" w16cid:durableId="175078651">
    <w:abstractNumId w:val="26"/>
  </w:num>
  <w:num w:numId="12" w16cid:durableId="544830265">
    <w:abstractNumId w:val="14"/>
  </w:num>
  <w:num w:numId="13" w16cid:durableId="324555473">
    <w:abstractNumId w:val="24"/>
  </w:num>
  <w:num w:numId="14" w16cid:durableId="1993095875">
    <w:abstractNumId w:val="12"/>
  </w:num>
  <w:num w:numId="15" w16cid:durableId="1956057007">
    <w:abstractNumId w:val="13"/>
  </w:num>
  <w:num w:numId="16" w16cid:durableId="665861890">
    <w:abstractNumId w:val="23"/>
  </w:num>
  <w:num w:numId="17" w16cid:durableId="2133479431">
    <w:abstractNumId w:val="10"/>
  </w:num>
  <w:num w:numId="18" w16cid:durableId="2125029955">
    <w:abstractNumId w:val="20"/>
  </w:num>
  <w:num w:numId="19" w16cid:durableId="373968683">
    <w:abstractNumId w:val="7"/>
  </w:num>
  <w:num w:numId="20" w16cid:durableId="1795445386">
    <w:abstractNumId w:val="16"/>
  </w:num>
  <w:num w:numId="21" w16cid:durableId="957644704">
    <w:abstractNumId w:val="25"/>
  </w:num>
  <w:num w:numId="22" w16cid:durableId="11539095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752075">
    <w:abstractNumId w:val="2"/>
  </w:num>
  <w:num w:numId="24" w16cid:durableId="734200245">
    <w:abstractNumId w:val="0"/>
  </w:num>
  <w:num w:numId="25" w16cid:durableId="794372023">
    <w:abstractNumId w:val="18"/>
  </w:num>
  <w:num w:numId="26" w16cid:durableId="674575194">
    <w:abstractNumId w:val="5"/>
  </w:num>
  <w:num w:numId="27" w16cid:durableId="3988672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88E"/>
    <w:rsid w:val="00007872"/>
    <w:rsid w:val="0001004C"/>
    <w:rsid w:val="000155B3"/>
    <w:rsid w:val="00020318"/>
    <w:rsid w:val="00026017"/>
    <w:rsid w:val="00032526"/>
    <w:rsid w:val="00035CCC"/>
    <w:rsid w:val="00045C71"/>
    <w:rsid w:val="00046046"/>
    <w:rsid w:val="00052190"/>
    <w:rsid w:val="00084E51"/>
    <w:rsid w:val="00087C49"/>
    <w:rsid w:val="00094DDA"/>
    <w:rsid w:val="000A6362"/>
    <w:rsid w:val="000C443A"/>
    <w:rsid w:val="000D2700"/>
    <w:rsid w:val="000D588E"/>
    <w:rsid w:val="000F2C43"/>
    <w:rsid w:val="00103188"/>
    <w:rsid w:val="00106903"/>
    <w:rsid w:val="00131FAD"/>
    <w:rsid w:val="00140C67"/>
    <w:rsid w:val="001454A5"/>
    <w:rsid w:val="001631D6"/>
    <w:rsid w:val="0019100A"/>
    <w:rsid w:val="00195646"/>
    <w:rsid w:val="001A3593"/>
    <w:rsid w:val="001A6663"/>
    <w:rsid w:val="001B5AC4"/>
    <w:rsid w:val="001B6607"/>
    <w:rsid w:val="001C2B16"/>
    <w:rsid w:val="001D01FD"/>
    <w:rsid w:val="001E1429"/>
    <w:rsid w:val="001E6B7D"/>
    <w:rsid w:val="001F004E"/>
    <w:rsid w:val="001F1C40"/>
    <w:rsid w:val="0020442B"/>
    <w:rsid w:val="00233ED8"/>
    <w:rsid w:val="002370F4"/>
    <w:rsid w:val="00281026"/>
    <w:rsid w:val="002A2188"/>
    <w:rsid w:val="002B14D5"/>
    <w:rsid w:val="002D3B64"/>
    <w:rsid w:val="002E35A4"/>
    <w:rsid w:val="002E574F"/>
    <w:rsid w:val="002E708C"/>
    <w:rsid w:val="00304A8F"/>
    <w:rsid w:val="00316A1B"/>
    <w:rsid w:val="0032570B"/>
    <w:rsid w:val="003361A7"/>
    <w:rsid w:val="00395B94"/>
    <w:rsid w:val="003977C8"/>
    <w:rsid w:val="003A7726"/>
    <w:rsid w:val="003B46E3"/>
    <w:rsid w:val="003B4770"/>
    <w:rsid w:val="003B5737"/>
    <w:rsid w:val="003E0C15"/>
    <w:rsid w:val="003E140C"/>
    <w:rsid w:val="003E4270"/>
    <w:rsid w:val="003E6BA6"/>
    <w:rsid w:val="00401DE3"/>
    <w:rsid w:val="00417664"/>
    <w:rsid w:val="00417E23"/>
    <w:rsid w:val="004248A1"/>
    <w:rsid w:val="00455A27"/>
    <w:rsid w:val="00467825"/>
    <w:rsid w:val="00477D05"/>
    <w:rsid w:val="004854D9"/>
    <w:rsid w:val="004A5F55"/>
    <w:rsid w:val="004E50D6"/>
    <w:rsid w:val="004F1C73"/>
    <w:rsid w:val="00516549"/>
    <w:rsid w:val="00531FBE"/>
    <w:rsid w:val="00577AEB"/>
    <w:rsid w:val="0058358B"/>
    <w:rsid w:val="005C5922"/>
    <w:rsid w:val="005D1456"/>
    <w:rsid w:val="005F1349"/>
    <w:rsid w:val="005F148C"/>
    <w:rsid w:val="006024A3"/>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3050"/>
    <w:rsid w:val="007B49ED"/>
    <w:rsid w:val="007C2FC5"/>
    <w:rsid w:val="007C3730"/>
    <w:rsid w:val="007D353F"/>
    <w:rsid w:val="00834B23"/>
    <w:rsid w:val="00834DFE"/>
    <w:rsid w:val="00835D6A"/>
    <w:rsid w:val="00852F98"/>
    <w:rsid w:val="00863F0C"/>
    <w:rsid w:val="00864800"/>
    <w:rsid w:val="00865B73"/>
    <w:rsid w:val="00881041"/>
    <w:rsid w:val="00892A1F"/>
    <w:rsid w:val="008930FB"/>
    <w:rsid w:val="00895FF5"/>
    <w:rsid w:val="008A1DAB"/>
    <w:rsid w:val="008A67AB"/>
    <w:rsid w:val="008D0547"/>
    <w:rsid w:val="0092266A"/>
    <w:rsid w:val="00923C62"/>
    <w:rsid w:val="009262B6"/>
    <w:rsid w:val="00934888"/>
    <w:rsid w:val="009767BB"/>
    <w:rsid w:val="00977F56"/>
    <w:rsid w:val="009850EE"/>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7F4D"/>
    <w:rsid w:val="00B5211F"/>
    <w:rsid w:val="00B60E25"/>
    <w:rsid w:val="00B720FA"/>
    <w:rsid w:val="00B773DA"/>
    <w:rsid w:val="00B84B2B"/>
    <w:rsid w:val="00B84F66"/>
    <w:rsid w:val="00BA6133"/>
    <w:rsid w:val="00BC6134"/>
    <w:rsid w:val="00BC633A"/>
    <w:rsid w:val="00BD5FD0"/>
    <w:rsid w:val="00C01AB2"/>
    <w:rsid w:val="00C11655"/>
    <w:rsid w:val="00C168CE"/>
    <w:rsid w:val="00C21994"/>
    <w:rsid w:val="00C41210"/>
    <w:rsid w:val="00C52AF0"/>
    <w:rsid w:val="00C81329"/>
    <w:rsid w:val="00C85630"/>
    <w:rsid w:val="00C9752A"/>
    <w:rsid w:val="00CA4FD6"/>
    <w:rsid w:val="00CB451A"/>
    <w:rsid w:val="00CB7C37"/>
    <w:rsid w:val="00CF3742"/>
    <w:rsid w:val="00D128FF"/>
    <w:rsid w:val="00D15C1E"/>
    <w:rsid w:val="00D86E87"/>
    <w:rsid w:val="00D9006E"/>
    <w:rsid w:val="00D92FA2"/>
    <w:rsid w:val="00DF1CAD"/>
    <w:rsid w:val="00E06DE2"/>
    <w:rsid w:val="00E1668B"/>
    <w:rsid w:val="00E206AF"/>
    <w:rsid w:val="00E21C09"/>
    <w:rsid w:val="00E35821"/>
    <w:rsid w:val="00E72B86"/>
    <w:rsid w:val="00E908BC"/>
    <w:rsid w:val="00EB0F07"/>
    <w:rsid w:val="00EC323B"/>
    <w:rsid w:val="00EE20A1"/>
    <w:rsid w:val="00EE5E23"/>
    <w:rsid w:val="00EF4FF0"/>
    <w:rsid w:val="00F029DD"/>
    <w:rsid w:val="00F1075C"/>
    <w:rsid w:val="00F1515F"/>
    <w:rsid w:val="00F15FBA"/>
    <w:rsid w:val="00F202DC"/>
    <w:rsid w:val="00F42DC6"/>
    <w:rsid w:val="00F4477D"/>
    <w:rsid w:val="00F465F7"/>
    <w:rsid w:val="00F62606"/>
    <w:rsid w:val="00F71D17"/>
    <w:rsid w:val="00F74CEA"/>
    <w:rsid w:val="00F802EF"/>
    <w:rsid w:val="00F85B78"/>
    <w:rsid w:val="00F97A17"/>
    <w:rsid w:val="00FC2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customStyle="1" w:styleId="paragraph">
    <w:name w:val="paragraph"/>
    <w:basedOn w:val="Normal"/>
    <w:rsid w:val="006024A3"/>
    <w:pPr>
      <w:spacing w:before="100" w:beforeAutospacing="1" w:after="100" w:afterAutospacing="1"/>
    </w:pPr>
    <w:rPr>
      <w:lang w:val="es-MX" w:eastAsia="es-MX"/>
    </w:rPr>
  </w:style>
  <w:style w:type="character" w:customStyle="1" w:styleId="normaltextrun">
    <w:name w:val="normaltextrun"/>
    <w:basedOn w:val="Fuentedeprrafopredeter"/>
    <w:rsid w:val="006024A3"/>
  </w:style>
  <w:style w:type="character" w:customStyle="1" w:styleId="eop">
    <w:name w:val="eop"/>
    <w:basedOn w:val="Fuentedeprrafopredeter"/>
    <w:rsid w:val="006024A3"/>
  </w:style>
  <w:style w:type="character" w:customStyle="1" w:styleId="PrrafodelistaCar">
    <w:name w:val="Párrafo de lista Car"/>
    <w:aliases w:val="Number List 1 Car"/>
    <w:link w:val="Prrafodelista"/>
    <w:uiPriority w:val="34"/>
    <w:rsid w:val="003A7726"/>
    <w:rPr>
      <w:rFonts w:ascii="Times New Roman" w:eastAsia="Times New Roman" w:hAnsi="Times New Roman" w:cs="Times New Roman"/>
      <w:sz w:val="24"/>
      <w:szCs w:val="24"/>
      <w:lang w:val="es-ES" w:eastAsia="es-ES"/>
    </w:rPr>
  </w:style>
  <w:style w:type="paragraph" w:customStyle="1" w:styleId="Default">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customStyle="1" w:styleId="xmsonormal">
    <w:name w:val="x_msonormal"/>
    <w:basedOn w:val="Normal"/>
    <w:rsid w:val="003E4270"/>
    <w:rPr>
      <w:rFonts w:ascii="Calibri" w:eastAsiaTheme="minorHAnsi" w:hAnsi="Calibri" w:cs="Calibr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B87642E-28CC-490C-9E1D-6A869ED3468C}"/>
</file>

<file path=customXml/itemProps3.xml><?xml version="1.0" encoding="utf-8"?>
<ds:datastoreItem xmlns:ds="http://schemas.openxmlformats.org/officeDocument/2006/customXml" ds:itemID="{ED13BD15-3170-40C7-A39A-29E582AB8098}"/>
</file>

<file path=customXml/itemProps4.xml><?xml version="1.0" encoding="utf-8"?>
<ds:datastoreItem xmlns:ds="http://schemas.openxmlformats.org/officeDocument/2006/customXml" ds:itemID="{341500F4-C579-428F-B4A1-16218B5AB741}"/>
</file>

<file path=docProps/app.xml><?xml version="1.0" encoding="utf-8"?>
<Properties xmlns="http://schemas.openxmlformats.org/officeDocument/2006/extended-properties" xmlns:vt="http://schemas.openxmlformats.org/officeDocument/2006/docPropsVTypes">
  <Template>Normal</Template>
  <TotalTime>252</TotalTime>
  <Pages>5</Pages>
  <Words>2112</Words>
  <Characters>11618</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65</cp:revision>
  <cp:lastPrinted>2021-07-19T14:00:00Z</cp:lastPrinted>
  <dcterms:created xsi:type="dcterms:W3CDTF">2020-12-18T20:09:00Z</dcterms:created>
  <dcterms:modified xsi:type="dcterms:W3CDTF">2025-04-15T15:47:00Z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