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ody>
    <w:p w:rsidRPr="004832BF" w:rsidR="00F15FBA" w:rsidP="00026017" w:rsidRDefault="00F15FBA" w14:paraId="6EF5AEAB" w14:textId="54C2F33D">
      <w:pPr>
        <w:pStyle w:val="Ttulo"/>
        <w:outlineLvl w:val="0"/>
        <w:rPr>
          <w:lang w:val="es-PE"/>
        </w:rPr>
      </w:pPr>
      <w:r w:rsidRPr="21CB6B92" w:rsidR="00F15FBA">
        <w:rPr>
          <w:lang w:val="es-PE"/>
        </w:rPr>
        <w:t xml:space="preserve">RESOLUCIÓN </w:t>
      </w:r>
      <w:proofErr w:type="spellStart"/>
      <w:r w:rsidRPr="21CB6B92" w:rsidR="00F15FBA">
        <w:rPr>
          <w:lang w:val="es-PE"/>
        </w:rPr>
        <w:t>N</w:t>
      </w:r>
      <w:r w:rsidRPr="21CB6B92" w:rsidR="001631D6">
        <w:rPr>
          <w:lang w:val="es-PE"/>
        </w:rPr>
        <w:t>°</w:t>
      </w:r>
      <w:proofErr w:type="spellEnd"/>
      <w:r w:rsidRPr="21CB6B92" w:rsidR="001631D6">
        <w:rPr>
          <w:lang w:val="es-PE"/>
        </w:rPr>
        <w:t xml:space="preserve"> </w:t>
      </w:r>
      <w:r w:rsidRPr="21CB6B92" w:rsidR="003E6BA6">
        <w:rPr>
          <w:lang w:val="es-PE"/>
        </w:rPr>
        <w:t>0</w:t>
      </w:r>
      <w:r w:rsidRPr="21CB6B92" w:rsidR="004832BF">
        <w:rPr>
          <w:lang w:val="es-PE"/>
        </w:rPr>
        <w:t>92</w:t>
      </w:r>
      <w:r w:rsidRPr="21CB6B92" w:rsidR="001631D6">
        <w:rPr>
          <w:lang w:val="es-PE"/>
        </w:rPr>
        <w:t>/2</w:t>
      </w:r>
      <w:r w:rsidRPr="21CB6B92" w:rsidR="003E6BA6">
        <w:rPr>
          <w:lang w:val="es-PE"/>
        </w:rPr>
        <w:t>1</w:t>
      </w:r>
    </w:p>
    <w:p w:rsidR="21CB6B92" w:rsidP="21CB6B92" w:rsidRDefault="21CB6B92" w14:paraId="7B0E5DA1" w14:textId="3F001E14">
      <w:pPr>
        <w:jc w:val="both"/>
        <w:outlineLvl w:val="0"/>
        <w:rPr>
          <w:b w:val="1"/>
          <w:bCs w:val="1"/>
          <w:lang w:val="es-PE"/>
        </w:rPr>
      </w:pPr>
    </w:p>
    <w:p w:rsidR="004832BF" w:rsidP="21CB6B92" w:rsidRDefault="004832BF" w14:paraId="216C65A5" w14:textId="704EB290">
      <w:pPr>
        <w:jc w:val="both"/>
        <w:outlineLvl w:val="0"/>
      </w:pPr>
      <w:r w:rsidRPr="21CB6B92" w:rsidR="004832BF">
        <w:rPr>
          <w:b w:val="1"/>
          <w:bCs w:val="1"/>
          <w:lang w:val="es-PE"/>
        </w:rPr>
        <w:t>Vistos:</w:t>
      </w:r>
    </w:p>
    <w:p w:rsidRPr="004832BF" w:rsidR="004832BF" w:rsidP="004832BF" w:rsidRDefault="004832BF" w14:paraId="5606D665" w14:textId="77777777">
      <w:pPr>
        <w:jc w:val="both"/>
        <w:rPr>
          <w:b/>
          <w:bCs/>
          <w:lang w:val="es-PE"/>
        </w:rPr>
      </w:pPr>
    </w:p>
    <w:p w:rsidRPr="004832BF" w:rsidR="004832BF" w:rsidP="004832BF" w:rsidRDefault="004832BF" w14:paraId="5F5BB5CF" w14:textId="429800D5">
      <w:pPr>
        <w:tabs>
          <w:tab w:val="left" w:pos="0"/>
          <w:tab w:val="left" w:pos="708"/>
          <w:tab w:val="left" w:pos="1416"/>
          <w:tab w:val="left" w:pos="2160"/>
          <w:tab w:val="left" w:pos="3540"/>
          <w:tab w:val="left" w:pos="4248"/>
          <w:tab w:val="left" w:pos="4956"/>
          <w:tab w:val="left" w:pos="5664"/>
          <w:tab w:val="left" w:pos="6372"/>
          <w:tab w:val="left" w:pos="7125"/>
        </w:tabs>
        <w:jc w:val="both"/>
        <w:rPr>
          <w:lang w:val="es-PE"/>
        </w:rPr>
      </w:pPr>
      <w:r w:rsidRPr="4174E2A2" w:rsidR="004832BF">
        <w:rPr>
          <w:lang w:val="es-PE"/>
        </w:rPr>
        <w:t xml:space="preserve">Que, el 05 de abril de 2021 doña </w:t>
      </w:r>
      <w:r w:rsidRPr="4174E2A2" w:rsidR="5917BDFB">
        <w:rPr>
          <w:lang w:val="es-PE"/>
        </w:rPr>
        <w:t>...............................................................................................</w:t>
      </w:r>
      <w:r w:rsidRPr="4174E2A2" w:rsidR="004832BF">
        <w:rPr>
          <w:lang w:val="es-PE"/>
        </w:rPr>
        <w:t xml:space="preserve"> interpone reclamación ante esta Defensoría del Asegurado (DEFASEG) solicitando que </w:t>
      </w:r>
      <w:r w:rsidRPr="4174E2A2" w:rsidR="171C1841">
        <w:rPr>
          <w:lang w:val="es-PE"/>
        </w:rPr>
        <w:t>.......................................................................................</w:t>
      </w:r>
      <w:r w:rsidRPr="4174E2A2" w:rsidR="004832BF">
        <w:rPr>
          <w:lang w:val="es-PE"/>
        </w:rPr>
        <w:t xml:space="preserve"> </w:t>
      </w:r>
      <w:r w:rsidR="004832BF">
        <w:rPr/>
        <w:t>(</w:t>
      </w:r>
      <w:r w:rsidR="7D87E0BD">
        <w:rPr/>
        <w:t>................</w:t>
      </w:r>
      <w:r w:rsidR="004832BF">
        <w:rPr/>
        <w:t>)</w:t>
      </w:r>
      <w:r w:rsidRPr="4174E2A2" w:rsidR="004832BF">
        <w:rPr>
          <w:lang w:val="es-PE"/>
        </w:rPr>
        <w:t xml:space="preserve"> otorga cobertura de seguro por el fallecimiento de su cónyuge </w:t>
      </w:r>
      <w:r w:rsidRPr="4174E2A2" w:rsidR="4F7A1CBD">
        <w:rPr>
          <w:lang w:val="es-PE"/>
        </w:rPr>
        <w:t>........................................................................</w:t>
      </w:r>
      <w:r w:rsidRPr="4174E2A2" w:rsidR="004832BF">
        <w:rPr>
          <w:lang w:val="es-PE"/>
        </w:rPr>
        <w:t xml:space="preserve">, conforme a la Póliza de Seguro </w:t>
      </w:r>
      <w:r w:rsidR="004832BF">
        <w:rPr/>
        <w:t xml:space="preserve">Protección Familiar Plus (Plan PJ) </w:t>
      </w:r>
      <w:r w:rsidR="004832BF">
        <w:rPr/>
        <w:t>N°</w:t>
      </w:r>
      <w:r w:rsidR="004832BF">
        <w:rPr/>
        <w:t xml:space="preserve"> </w:t>
      </w:r>
      <w:r w:rsidR="3A03A3D7">
        <w:rPr/>
        <w:t>.........................</w:t>
      </w:r>
      <w:r w:rsidR="004832BF">
        <w:rPr/>
        <w:t>.</w:t>
      </w:r>
    </w:p>
    <w:p w:rsidRPr="004832BF" w:rsidR="004832BF" w:rsidP="004832BF" w:rsidRDefault="004832BF" w14:paraId="5C5AAD39" w14:textId="77777777">
      <w:pPr>
        <w:tabs>
          <w:tab w:val="left" w:pos="0"/>
          <w:tab w:val="left" w:pos="708"/>
          <w:tab w:val="left" w:pos="1416"/>
          <w:tab w:val="left" w:pos="2160"/>
          <w:tab w:val="left" w:pos="3540"/>
          <w:tab w:val="left" w:pos="4248"/>
          <w:tab w:val="left" w:pos="4956"/>
          <w:tab w:val="left" w:pos="5664"/>
          <w:tab w:val="left" w:pos="6372"/>
          <w:tab w:val="left" w:pos="7125"/>
        </w:tabs>
        <w:jc w:val="both"/>
        <w:rPr>
          <w:lang w:val="es-PE"/>
        </w:rPr>
      </w:pPr>
    </w:p>
    <w:p w:rsidRPr="004832BF" w:rsidR="004832BF" w:rsidP="004832BF" w:rsidRDefault="004832BF" w14:paraId="1DB45A8C" w14:textId="77777777">
      <w:pPr>
        <w:jc w:val="both"/>
        <w:rPr>
          <w:rFonts w:eastAsia="Arial Unicode MS"/>
          <w:lang w:val="es-PE"/>
        </w:rPr>
      </w:pPr>
      <w:r w:rsidRPr="004832BF">
        <w:rPr>
          <w:rFonts w:eastAsia="Arial Unicode MS"/>
          <w:lang w:val="es-PE"/>
        </w:rPr>
        <w:t>Que, la señalada reclamación cumple con los requisitos de materia, cuantía y oportunidad establecidos en el Reglamento de la DEFASEG (http://www.defaseg.com.pe/reglamento.html);</w:t>
      </w:r>
    </w:p>
    <w:p w:rsidRPr="004832BF" w:rsidR="004832BF" w:rsidP="004832BF" w:rsidRDefault="004832BF" w14:paraId="2B02637C" w14:textId="77777777">
      <w:pPr>
        <w:tabs>
          <w:tab w:val="left" w:pos="2160"/>
        </w:tabs>
        <w:jc w:val="both"/>
        <w:rPr>
          <w:lang w:val="es-PE"/>
        </w:rPr>
      </w:pPr>
    </w:p>
    <w:p w:rsidRPr="004832BF" w:rsidR="004832BF" w:rsidP="004832BF" w:rsidRDefault="004832BF" w14:paraId="15AF4F7C" w14:textId="77777777">
      <w:pPr>
        <w:tabs>
          <w:tab w:val="left" w:pos="0"/>
          <w:tab w:val="left" w:pos="708"/>
          <w:tab w:val="left" w:pos="1416"/>
          <w:tab w:val="left" w:pos="2160"/>
          <w:tab w:val="left" w:pos="3540"/>
          <w:tab w:val="left" w:pos="4248"/>
          <w:tab w:val="left" w:pos="4956"/>
          <w:tab w:val="left" w:pos="5664"/>
          <w:tab w:val="left" w:pos="6372"/>
          <w:tab w:val="left" w:pos="7125"/>
        </w:tabs>
        <w:jc w:val="both"/>
        <w:rPr>
          <w:lang w:val="es-PE"/>
        </w:rPr>
      </w:pPr>
      <w:r w:rsidRPr="004832BF">
        <w:rPr>
          <w:lang w:val="es-PE"/>
        </w:rPr>
        <w:t xml:space="preserve">Que, habiéndosele corrido traslado de la respectiva reclamación, la aseguradora presentó sus descargos el mismo de la audiencia de vista, de la cual se corrió traslado a la parte reclamante;  </w:t>
      </w:r>
    </w:p>
    <w:p w:rsidRPr="004832BF" w:rsidR="004832BF" w:rsidP="004832BF" w:rsidRDefault="004832BF" w14:paraId="01890DCF" w14:textId="77777777">
      <w:pPr>
        <w:tabs>
          <w:tab w:val="left" w:pos="0"/>
          <w:tab w:val="left" w:pos="708"/>
          <w:tab w:val="left" w:pos="1416"/>
          <w:tab w:val="left" w:pos="2160"/>
          <w:tab w:val="left" w:pos="3540"/>
          <w:tab w:val="left" w:pos="4248"/>
          <w:tab w:val="left" w:pos="4956"/>
          <w:tab w:val="left" w:pos="5664"/>
          <w:tab w:val="left" w:pos="6372"/>
          <w:tab w:val="left" w:pos="7125"/>
        </w:tabs>
        <w:jc w:val="both"/>
        <w:rPr>
          <w:lang w:val="es-PE"/>
        </w:rPr>
      </w:pPr>
    </w:p>
    <w:p w:rsidRPr="004832BF" w:rsidR="004832BF" w:rsidP="004832BF" w:rsidRDefault="004832BF" w14:paraId="01E375CD" w14:textId="77777777">
      <w:pPr>
        <w:tabs>
          <w:tab w:val="left" w:pos="0"/>
          <w:tab w:val="left" w:pos="708"/>
          <w:tab w:val="left" w:pos="1416"/>
          <w:tab w:val="left" w:pos="2160"/>
          <w:tab w:val="left" w:pos="3540"/>
          <w:tab w:val="left" w:pos="4248"/>
          <w:tab w:val="left" w:pos="4956"/>
          <w:tab w:val="left" w:pos="5664"/>
          <w:tab w:val="left" w:pos="6372"/>
          <w:tab w:val="left" w:pos="7125"/>
        </w:tabs>
        <w:jc w:val="both"/>
        <w:rPr>
          <w:lang w:val="es-PE"/>
        </w:rPr>
      </w:pPr>
      <w:r w:rsidRPr="004832BF">
        <w:rPr>
          <w:lang w:val="es-PE"/>
        </w:rPr>
        <w:t>Que el 28 de junio se realizó la correspondiente audiencia de vista con la asistencia virtual de ambas partes, las mismas que sustentaron sus respectivas posiciones, absolviendo las diversas preguntas formuladas;</w:t>
      </w:r>
    </w:p>
    <w:p w:rsidRPr="004832BF" w:rsidR="004832BF" w:rsidP="004832BF" w:rsidRDefault="004832BF" w14:paraId="0E2AE469" w14:textId="77777777">
      <w:pPr>
        <w:tabs>
          <w:tab w:val="left" w:pos="0"/>
          <w:tab w:val="left" w:pos="708"/>
          <w:tab w:val="left" w:pos="1416"/>
          <w:tab w:val="left" w:pos="2160"/>
          <w:tab w:val="left" w:pos="3540"/>
          <w:tab w:val="left" w:pos="4248"/>
          <w:tab w:val="left" w:pos="4956"/>
          <w:tab w:val="left" w:pos="5664"/>
          <w:tab w:val="left" w:pos="6372"/>
          <w:tab w:val="left" w:pos="7125"/>
        </w:tabs>
        <w:jc w:val="both"/>
        <w:rPr>
          <w:lang w:val="es-PE"/>
        </w:rPr>
      </w:pPr>
    </w:p>
    <w:p w:rsidRPr="004832BF" w:rsidR="004832BF" w:rsidP="004832BF" w:rsidRDefault="004832BF" w14:paraId="1E895232" w14:textId="5085DCA2">
      <w:pPr>
        <w:jc w:val="both"/>
      </w:pPr>
      <w:r w:rsidRPr="4174E2A2" w:rsidR="004832BF">
        <w:rPr>
          <w:lang w:val="es-PE"/>
        </w:rPr>
        <w:t xml:space="preserve">Que, la reclamante sustenta su reclamo resumidamente en lo siguiente: </w:t>
      </w:r>
      <w:r w:rsidR="004832BF">
        <w:rPr/>
        <w:t xml:space="preserve">a) su cónyuge adquirió un seguro de Protección Familiar con 64 años de edad, el 1 de setiembre de 2014 habiendo estado pagando las primas por aproximadamente 7 años; b) conforme consta en el certificado de defunción falleció el 14 de junio de 2020, de un infarto cerebral y como último lugar de una emergencia hipertensiva; por ello solicitó a </w:t>
      </w:r>
      <w:r w:rsidR="7D87E0BD">
        <w:rPr/>
        <w:t>................</w:t>
      </w:r>
      <w:r w:rsidR="004832BF">
        <w:rPr/>
        <w:t xml:space="preserve"> la cobertura de fallecimiento; c) transcurrieron 8 meses en los cuales presentó toda la documentación requerida por la aseguradora, siendo que mediante carta de fecha 25 de marzo de 2021 rechazaron el seguro por enfermedad preexistente no declarada al momento de afiliarse al seguro, lo cual se aleja de la realidad, dado que los diagnósticos realizados a su cónyuge fueron posteriores a la afiliación al seguro, siendo que no fallece de HTA sino de un infarto cerebral lo cual no es una enfermedad preexistente.</w:t>
      </w:r>
    </w:p>
    <w:p w:rsidRPr="004832BF" w:rsidR="004832BF" w:rsidP="004832BF" w:rsidRDefault="004832BF" w14:paraId="1522FC48" w14:textId="77777777">
      <w:pPr>
        <w:jc w:val="both"/>
        <w:rPr>
          <w:lang w:val="es-PE"/>
        </w:rPr>
      </w:pPr>
    </w:p>
    <w:p w:rsidRPr="004832BF" w:rsidR="004832BF" w:rsidP="004832BF" w:rsidRDefault="004832BF" w14:paraId="7A350326" w14:textId="7FCE880F">
      <w:pPr>
        <w:ind w:right="-5"/>
        <w:jc w:val="both"/>
        <w:rPr>
          <w:lang w:val="es-PE"/>
        </w:rPr>
      </w:pPr>
      <w:r w:rsidRPr="4174E2A2" w:rsidR="004832BF">
        <w:rPr>
          <w:lang w:val="es-PE"/>
        </w:rPr>
        <w:t xml:space="preserve">Que, por su parte la aseguradora expresa resumidamente lo siguiente: a) </w:t>
      </w:r>
      <w:r w:rsidR="004832BF">
        <w:rPr/>
        <w:t xml:space="preserve">en setiembre de 2014, el Sr. </w:t>
      </w:r>
      <w:r w:rsidR="14D82A60">
        <w:rPr/>
        <w:t>....................................................................</w:t>
      </w:r>
      <w:r w:rsidR="004832BF">
        <w:rPr/>
        <w:t xml:space="preserve">, quien en vida fuera cónyuge de la reclamante, suscribió un contrato con </w:t>
      </w:r>
      <w:r w:rsidR="7D87E0BD">
        <w:rPr/>
        <w:t>................</w:t>
      </w:r>
      <w:r w:rsidR="004832BF">
        <w:rPr/>
        <w:t xml:space="preserve"> emitiéndose la Póliza Protección Familiar Plus (Plan PJ) </w:t>
      </w:r>
      <w:r w:rsidR="004832BF">
        <w:rPr/>
        <w:t>N°</w:t>
      </w:r>
      <w:r w:rsidR="004832BF">
        <w:rPr/>
        <w:t xml:space="preserve"> </w:t>
      </w:r>
      <w:r w:rsidR="3A03A3D7">
        <w:rPr/>
        <w:t>.........................</w:t>
      </w:r>
      <w:r w:rsidR="004832BF">
        <w:rPr/>
        <w:t xml:space="preserve">; b) el 14 de junio de 2020, se produjo el lamentable fallecimiento del asegurado producto de una “Emergencia Hipertensiva”; c) mediante carta de feca 25 de marzo de 2021 rechazaron el siniestro por enfermedad preexistente, debido a que de la revisión de la historia clínica del asegurado emitida por el Hospital Cayetano Heredia, se verificaron los siguientes diagnósticos: 23/04/2018 consulta médica: antecedente de HTA tratado con </w:t>
      </w:r>
      <w:r w:rsidR="004832BF">
        <w:rPr/>
        <w:t>enaplapril</w:t>
      </w:r>
      <w:r w:rsidR="004832BF">
        <w:rPr/>
        <w:t xml:space="preserve"> y atenolol hace más o menos 10 años; esto es antes de la contratación del seguro; asimismo la cobertura no solo resulta excluida por enfermedad preexistente sino también por contravenir el principio de buena fe ya que tenía conocimiento de sus antecedentes médicos, siendo además que la ley no ampara el abuso del derecho</w:t>
      </w:r>
      <w:r w:rsidRPr="4174E2A2" w:rsidR="004832BF">
        <w:rPr>
          <w:lang w:val="es-PE"/>
        </w:rPr>
        <w:t>.</w:t>
      </w:r>
    </w:p>
    <w:p w:rsidRPr="004832BF" w:rsidR="004832BF" w:rsidP="004832BF" w:rsidRDefault="004832BF" w14:paraId="5EC6B8B5" w14:textId="77777777">
      <w:pPr>
        <w:ind w:right="-5"/>
        <w:jc w:val="both"/>
        <w:rPr>
          <w:lang w:val="es-PE"/>
        </w:rPr>
      </w:pPr>
    </w:p>
    <w:p w:rsidRPr="004832BF" w:rsidR="004832BF" w:rsidP="004832BF" w:rsidRDefault="004832BF" w14:paraId="08A8EF91" w14:textId="06F08F28">
      <w:pPr>
        <w:ind w:right="-5"/>
        <w:jc w:val="both"/>
        <w:rPr>
          <w:lang w:val="es-PE"/>
        </w:rPr>
      </w:pPr>
      <w:r w:rsidRPr="4174E2A2" w:rsidR="004832BF">
        <w:rPr>
          <w:lang w:val="es-PE"/>
        </w:rPr>
        <w:t xml:space="preserve">Que, en la audiencia de vista se concedió a </w:t>
      </w:r>
      <w:r w:rsidRPr="4174E2A2" w:rsidR="7D87E0BD">
        <w:rPr>
          <w:lang w:val="es-PE"/>
        </w:rPr>
        <w:t>................</w:t>
      </w:r>
      <w:r w:rsidRPr="4174E2A2" w:rsidR="004832BF">
        <w:rPr>
          <w:lang w:val="es-PE"/>
        </w:rPr>
        <w:t xml:space="preserve"> el plazo de tres (3) días hábiles para que </w:t>
      </w:r>
      <w:r w:rsidRPr="4174E2A2" w:rsidR="004832BF">
        <w:rPr>
          <w:lang w:val="es-PE"/>
        </w:rPr>
        <w:t>presente  la</w:t>
      </w:r>
      <w:r w:rsidRPr="4174E2A2" w:rsidR="004832BF">
        <w:rPr>
          <w:lang w:val="es-PE"/>
        </w:rPr>
        <w:t xml:space="preserve"> solicitud del seguro, el cargo de entrega del certificado de seguro y parte </w:t>
      </w:r>
      <w:r w:rsidRPr="4174E2A2" w:rsidR="004832BF">
        <w:rPr>
          <w:lang w:val="es-PE"/>
        </w:rPr>
        <w:t>pertinente de la historia clínica donde conste la preexistencia invocada en fecha anterior a la contratación del seguro, siendo que ha vencido dicho plazo sin que cumpla con lo requerido.</w:t>
      </w:r>
    </w:p>
    <w:p w:rsidRPr="004832BF" w:rsidR="004832BF" w:rsidP="004832BF" w:rsidRDefault="004832BF" w14:paraId="53FB5229" w14:textId="77777777">
      <w:pPr>
        <w:ind w:right="-5"/>
        <w:jc w:val="both"/>
        <w:rPr>
          <w:lang w:val="es-PE"/>
        </w:rPr>
      </w:pPr>
    </w:p>
    <w:p w:rsidRPr="004832BF" w:rsidR="004832BF" w:rsidP="004832BF" w:rsidRDefault="004832BF" w14:paraId="6B8BC97B" w14:textId="77777777">
      <w:pPr>
        <w:jc w:val="both"/>
        <w:outlineLvl w:val="0"/>
        <w:rPr>
          <w:lang w:val="es-PE"/>
        </w:rPr>
      </w:pPr>
      <w:r w:rsidRPr="004832BF">
        <w:rPr>
          <w:rStyle w:val="Textoennegrita"/>
          <w:lang w:val="es-PE"/>
        </w:rPr>
        <w:t>Considerando:</w:t>
      </w:r>
    </w:p>
    <w:p w:rsidRPr="004832BF" w:rsidR="004832BF" w:rsidP="004832BF" w:rsidRDefault="004832BF" w14:paraId="6CBD64AC" w14:textId="77777777">
      <w:pPr>
        <w:jc w:val="both"/>
        <w:rPr>
          <w:lang w:val="es-PE"/>
        </w:rPr>
      </w:pPr>
    </w:p>
    <w:p w:rsidRPr="004832BF" w:rsidR="004832BF" w:rsidP="004832BF" w:rsidRDefault="004832BF" w14:paraId="38CC1764" w14:textId="77777777">
      <w:pPr>
        <w:jc w:val="both"/>
        <w:rPr>
          <w:lang w:val="es-PE"/>
        </w:rPr>
      </w:pPr>
      <w:r w:rsidRPr="004832BF">
        <w:rPr>
          <w:b/>
          <w:u w:val="single"/>
          <w:lang w:val="es-PE"/>
        </w:rPr>
        <w:t>Primero</w:t>
      </w:r>
      <w:r w:rsidRPr="004832BF">
        <w:rPr>
          <w:b/>
          <w:lang w:val="es-PE"/>
        </w:rPr>
        <w:t xml:space="preserve">: </w:t>
      </w:r>
      <w:r w:rsidRPr="004832BF">
        <w:rPr>
          <w:lang w:val="es-PE"/>
        </w:rPr>
        <w:t>Conforme a su Reglamento, la</w:t>
      </w:r>
      <w:r w:rsidRPr="004832BF">
        <w:rPr>
          <w:b/>
          <w:bCs/>
          <w:lang w:val="es-PE"/>
        </w:rPr>
        <w:t xml:space="preserve"> </w:t>
      </w:r>
      <w:r w:rsidRPr="004832BF">
        <w:rPr>
          <w:lang w:val="es-PE"/>
        </w:rPr>
        <w:t xml:space="preserve">DEFASEG está orientada a la protección de los derechos de los asegurados o usuarios de los servicios del seguro privado contratados en el país, mediante la solución de controversias que se susciten con las empresas aseguradoras, respecto de rechazos o liquidación de cobertura de siniestros; entendiéndose por “asegurados” y “usuarios de seguros” a los asegurados propiamente dichos, a los contratantes del respectivo seguro y/o a los beneficiarios nombrados en las pólizas. </w:t>
      </w:r>
    </w:p>
    <w:p w:rsidRPr="004832BF" w:rsidR="004832BF" w:rsidP="004832BF" w:rsidRDefault="004832BF" w14:paraId="08AA2961" w14:textId="77777777">
      <w:pPr>
        <w:jc w:val="both"/>
        <w:rPr>
          <w:bCs/>
        </w:rPr>
      </w:pPr>
    </w:p>
    <w:p w:rsidRPr="004832BF" w:rsidR="004832BF" w:rsidP="004832BF" w:rsidRDefault="004832BF" w14:paraId="03021DBF" w14:textId="77777777">
      <w:pPr>
        <w:jc w:val="both"/>
        <w:rPr>
          <w:bCs/>
          <w:lang w:val="es-PE"/>
        </w:rPr>
      </w:pPr>
      <w:r w:rsidRPr="004832BF">
        <w:rPr>
          <w:b/>
          <w:bCs/>
          <w:u w:val="single"/>
          <w:lang w:val="es-PE"/>
        </w:rPr>
        <w:t>Segundo</w:t>
      </w:r>
      <w:r w:rsidRPr="004832BF">
        <w:rPr>
          <w:b/>
          <w:bCs/>
          <w:lang w:val="es-PE"/>
        </w:rPr>
        <w:t>:</w:t>
      </w:r>
      <w:r w:rsidRPr="004832BF">
        <w:rPr>
          <w:bCs/>
          <w:lang w:val="es-PE"/>
        </w:rPr>
        <w:t xml:space="preserve"> </w:t>
      </w:r>
      <w:r w:rsidRPr="004832BF">
        <w:rPr>
          <w:lang w:val="es-PE"/>
        </w:rPr>
        <w:t xml:space="preserve">Asimismo, de acuerdo a </w:t>
      </w:r>
      <w:r w:rsidRPr="004832BF">
        <w:rPr>
          <w:bCs/>
          <w:lang w:val="es-PE"/>
        </w:rPr>
        <w:t>su Reglamento, 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cuantía y oportunidad, de manera que las reclamaciones por materias distintas al otorgamiento de cobertura, como pueden las pretensiones indemnizatorias por daños y perjuicios, por reembolso de gastos, o idoneidad de servicios, son ajenas a la competencia funcional de esta Defensoría.</w:t>
      </w:r>
    </w:p>
    <w:p w:rsidRPr="004832BF" w:rsidR="004832BF" w:rsidP="004832BF" w:rsidRDefault="004832BF" w14:paraId="033BE203" w14:textId="77777777">
      <w:pPr>
        <w:jc w:val="both"/>
        <w:rPr>
          <w:lang w:val="es-PE"/>
        </w:rPr>
      </w:pPr>
    </w:p>
    <w:p w:rsidRPr="004832BF" w:rsidR="004832BF" w:rsidP="004832BF" w:rsidRDefault="004832BF" w14:paraId="2B5A345B" w14:textId="77777777">
      <w:pPr>
        <w:jc w:val="both"/>
      </w:pPr>
      <w:r w:rsidRPr="004832BF">
        <w:rPr>
          <w:b/>
          <w:bCs/>
          <w:u w:val="single"/>
          <w:lang w:val="es-PE"/>
        </w:rPr>
        <w:t>Tercero</w:t>
      </w:r>
      <w:r w:rsidRPr="004832BF">
        <w:rPr>
          <w:b/>
          <w:bCs/>
          <w:lang w:val="es-PE"/>
        </w:rPr>
        <w:t>:</w:t>
      </w:r>
      <w:r w:rsidRPr="004832BF">
        <w:rPr>
          <w:lang w:val="es-PE"/>
        </w:rPr>
        <w:t xml:space="preserve"> Que, de acuerdo a la Ley Nro. </w:t>
      </w:r>
      <w:r w:rsidRPr="004832BF">
        <w:t xml:space="preserve">29946 – Ley del Contrato de Seguro, norma legal vigente con ocasión de la celebración del contrato al cual se contrae el presente caso, </w:t>
      </w:r>
      <w:r w:rsidRPr="004832BF">
        <w:rPr>
          <w:lang w:val="es-PE"/>
        </w:rPr>
        <w:t>todas las cuestiones jurídicas se rigen por lo dispuesto en dicha ley y por las que reglas que se acuerden convencionalmente, en cuanto no vulneren los principios esenciales de la naturaleza jurídica del seguro, siendo que sólo se aplica el derecho común a falta de disposiciones del derecho de seguros o de protección al consumidor.</w:t>
      </w:r>
    </w:p>
    <w:p w:rsidRPr="004832BF" w:rsidR="004832BF" w:rsidP="004832BF" w:rsidRDefault="004832BF" w14:paraId="3E97586D" w14:textId="77777777">
      <w:pPr>
        <w:jc w:val="both"/>
        <w:rPr>
          <w:b/>
          <w:u w:val="single"/>
          <w:lang w:val="es-PE"/>
        </w:rPr>
      </w:pPr>
    </w:p>
    <w:p w:rsidRPr="004832BF" w:rsidR="004832BF" w:rsidP="004832BF" w:rsidRDefault="004832BF" w14:paraId="4F2829D5" w14:textId="77777777">
      <w:pPr>
        <w:jc w:val="both"/>
        <w:rPr>
          <w:lang w:val="es-PE"/>
        </w:rPr>
      </w:pPr>
      <w:r w:rsidRPr="004832BF">
        <w:rPr>
          <w:b/>
          <w:u w:val="single"/>
          <w:lang w:val="es-PE"/>
        </w:rPr>
        <w:t>Cuarto</w:t>
      </w:r>
      <w:r w:rsidRPr="004832BF">
        <w:rPr>
          <w:b/>
          <w:lang w:val="es-PE"/>
        </w:rPr>
        <w:t>:</w:t>
      </w:r>
      <w:r w:rsidRPr="004832BF">
        <w:rPr>
          <w:lang w:val="es-PE"/>
        </w:rPr>
        <w:t xml:space="preserve"> Que, el artículo 1361 del Código Civil dispone que los contratos son obligatorios en cuanto se haya expresado en ellos, presumiéndose que lo declarado es lo querido por ambas partes, de manera que la parte que sostenga lo contrario debe probarlo.  </w:t>
      </w:r>
    </w:p>
    <w:p w:rsidRPr="004832BF" w:rsidR="004832BF" w:rsidP="004832BF" w:rsidRDefault="004832BF" w14:paraId="52D9C138" w14:textId="77777777">
      <w:pPr>
        <w:jc w:val="both"/>
        <w:rPr>
          <w:rStyle w:val="Textoennegrita"/>
          <w:b w:val="0"/>
        </w:rPr>
      </w:pPr>
    </w:p>
    <w:p w:rsidRPr="004832BF" w:rsidR="004832BF" w:rsidP="004832BF" w:rsidRDefault="004832BF" w14:paraId="06D67051" w14:textId="77777777">
      <w:pPr>
        <w:jc w:val="both"/>
      </w:pPr>
      <w:r w:rsidRPr="004832BF">
        <w:rPr>
          <w:rStyle w:val="Textoennegrita"/>
          <w:u w:val="single"/>
          <w:lang w:val="es-PE"/>
        </w:rPr>
        <w:t>Quinto</w:t>
      </w:r>
      <w:r w:rsidRPr="004832BF">
        <w:rPr>
          <w:rStyle w:val="Textoennegrita"/>
          <w:lang w:val="es-PE"/>
        </w:rPr>
        <w:t xml:space="preserve">: </w:t>
      </w:r>
      <w:r w:rsidRPr="004832BF">
        <w:rPr>
          <w:rStyle w:val="Textoennegrita"/>
          <w:b w:val="0"/>
          <w:lang w:val="es-PE"/>
        </w:rPr>
        <w:t xml:space="preserve">Que, conforme al </w:t>
      </w:r>
      <w:r w:rsidRPr="004832BF">
        <w:rPr>
          <w:lang w:val="es-PE"/>
        </w:rPr>
        <w:t>artículo 196 del Código Procesal Civil, corresponde a quien invoca hechos probar su existencia, así como a quien los contradice invocando nuevos hechos, salvo que aquel que esté sujeto a dicha carga procesal se acoja a alguna presunción legal de carácter relativo o absoluto.</w:t>
      </w:r>
    </w:p>
    <w:p w:rsidRPr="004832BF" w:rsidR="004832BF" w:rsidP="004832BF" w:rsidRDefault="004832BF" w14:paraId="6B9F8746" w14:textId="77777777">
      <w:pPr>
        <w:tabs>
          <w:tab w:val="left" w:pos="2160"/>
        </w:tabs>
        <w:jc w:val="both"/>
      </w:pPr>
    </w:p>
    <w:p w:rsidRPr="004832BF" w:rsidR="004832BF" w:rsidP="004832BF" w:rsidRDefault="004832BF" w14:paraId="62157CF1" w14:textId="77777777">
      <w:pPr>
        <w:tabs>
          <w:tab w:val="left" w:pos="2160"/>
        </w:tabs>
        <w:jc w:val="both"/>
        <w:rPr>
          <w:lang w:val="es-PE"/>
        </w:rPr>
      </w:pPr>
      <w:r w:rsidRPr="004832BF">
        <w:rPr>
          <w:b/>
          <w:u w:val="single"/>
        </w:rPr>
        <w:t>Sexto</w:t>
      </w:r>
      <w:r w:rsidRPr="004832BF">
        <w:rPr>
          <w:b/>
        </w:rPr>
        <w:t>:</w:t>
      </w:r>
      <w:r w:rsidRPr="004832BF">
        <w:rPr>
          <w:b/>
          <w:lang w:val="es-PE"/>
        </w:rPr>
        <w:t xml:space="preserve"> </w:t>
      </w:r>
      <w:r w:rsidRPr="004832BF">
        <w:rPr>
          <w:lang w:val="es-PE"/>
        </w:rPr>
        <w:t xml:space="preserve">Sobre la base de los términos contenidos en la reclamación y en la absolución de </w:t>
      </w:r>
      <w:proofErr w:type="gramStart"/>
      <w:r w:rsidRPr="004832BF">
        <w:rPr>
          <w:lang w:val="es-PE"/>
        </w:rPr>
        <w:t>la misma</w:t>
      </w:r>
      <w:proofErr w:type="gramEnd"/>
      <w:r w:rsidRPr="004832BF">
        <w:rPr>
          <w:lang w:val="es-PE"/>
        </w:rPr>
        <w:t xml:space="preserve">, y a lo tratado en la audiencia de vista, la cuestión controvertida radica en determinar si el rechazo de cobertura basado en enfermedad preexistente es legítimo o no. </w:t>
      </w:r>
    </w:p>
    <w:p w:rsidRPr="004832BF" w:rsidR="004832BF" w:rsidP="004832BF" w:rsidRDefault="004832BF" w14:paraId="6D6714C5" w14:textId="77777777">
      <w:pPr>
        <w:tabs>
          <w:tab w:val="left" w:pos="2160"/>
        </w:tabs>
        <w:jc w:val="both"/>
        <w:rPr>
          <w:lang w:val="es-PE"/>
        </w:rPr>
      </w:pPr>
    </w:p>
    <w:p w:rsidRPr="004832BF" w:rsidR="004832BF" w:rsidP="004832BF" w:rsidRDefault="004832BF" w14:paraId="2694C700" w14:textId="77777777">
      <w:pPr>
        <w:tabs>
          <w:tab w:val="left" w:pos="2160"/>
        </w:tabs>
        <w:jc w:val="both"/>
        <w:rPr>
          <w:lang w:val="es-PE"/>
        </w:rPr>
      </w:pPr>
      <w:r w:rsidRPr="004832BF">
        <w:rPr>
          <w:b/>
          <w:u w:val="single"/>
          <w:lang w:val="es-PE"/>
        </w:rPr>
        <w:t>Séptimo</w:t>
      </w:r>
      <w:r w:rsidRPr="004832BF">
        <w:rPr>
          <w:b/>
          <w:lang w:val="es-PE"/>
        </w:rPr>
        <w:t>:</w:t>
      </w:r>
      <w:r w:rsidRPr="004832BF">
        <w:rPr>
          <w:lang w:val="es-PE"/>
        </w:rPr>
        <w:t xml:space="preserve"> La aseguradora ha rechazado el seguro indicando expresamente en la carta de rechazo de fecha 25 de marzo de 2021, lo siguiente: </w:t>
      </w:r>
    </w:p>
    <w:p w:rsidRPr="004832BF" w:rsidR="004832BF" w:rsidP="004832BF" w:rsidRDefault="004832BF" w14:paraId="34A3012D" w14:textId="77777777">
      <w:pPr>
        <w:tabs>
          <w:tab w:val="left" w:pos="2160"/>
        </w:tabs>
        <w:jc w:val="both"/>
        <w:rPr>
          <w:lang w:val="es-PE"/>
        </w:rPr>
      </w:pPr>
    </w:p>
    <w:p w:rsidRPr="004832BF" w:rsidR="004832BF" w:rsidP="004832BF" w:rsidRDefault="004832BF" w14:paraId="6C70DB56" w14:textId="18E03B2F">
      <w:pPr>
        <w:tabs>
          <w:tab w:val="left" w:pos="2160"/>
        </w:tabs>
        <w:jc w:val="both"/>
      </w:pPr>
      <w:r w:rsidR="2605504E">
        <w:rPr/>
        <w:t>...........................................................................................................................</w:t>
      </w:r>
    </w:p>
    <w:p w:rsidR="4174E2A2" w:rsidP="4174E2A2" w:rsidRDefault="4174E2A2" w14:paraId="10283E48" w14:textId="4D3504BD">
      <w:pPr>
        <w:tabs>
          <w:tab w:val="left" w:leader="none" w:pos="2160"/>
        </w:tabs>
        <w:jc w:val="both"/>
      </w:pPr>
    </w:p>
    <w:p w:rsidRPr="004832BF" w:rsidR="004832BF" w:rsidP="004832BF" w:rsidRDefault="004832BF" w14:paraId="409B50BA" w14:textId="590BCC90">
      <w:pPr>
        <w:tabs>
          <w:tab w:val="left" w:pos="2160"/>
        </w:tabs>
        <w:jc w:val="both"/>
      </w:pPr>
      <w:r w:rsidR="2605504E">
        <w:rPr/>
        <w:t>.............................................................................................................................</w:t>
      </w:r>
    </w:p>
    <w:p w:rsidR="4174E2A2" w:rsidP="4174E2A2" w:rsidRDefault="4174E2A2" w14:paraId="103E160B" w14:textId="65791620">
      <w:pPr>
        <w:tabs>
          <w:tab w:val="left" w:leader="none" w:pos="2160"/>
        </w:tabs>
        <w:jc w:val="both"/>
      </w:pPr>
    </w:p>
    <w:p w:rsidRPr="004832BF" w:rsidR="004832BF" w:rsidP="004832BF" w:rsidRDefault="004832BF" w14:paraId="2174CB5C" w14:textId="77777777">
      <w:pPr>
        <w:tabs>
          <w:tab w:val="left" w:pos="426"/>
        </w:tabs>
        <w:jc w:val="both"/>
        <w:rPr>
          <w:lang w:val="es-PE"/>
        </w:rPr>
      </w:pPr>
      <w:r w:rsidRPr="004832BF">
        <w:rPr>
          <w:lang w:val="es-PE"/>
        </w:rPr>
        <w:tab/>
      </w:r>
      <w:r w:rsidRPr="004832BF">
        <w:rPr>
          <w:lang w:val="es-PE"/>
        </w:rPr>
        <w:t xml:space="preserve"> deviene en improcedente. Cabe mencionar que dicho antecedente no fue puesto en </w:t>
      </w:r>
    </w:p>
    <w:p w:rsidRPr="004832BF" w:rsidR="004832BF" w:rsidP="004832BF" w:rsidRDefault="004832BF" w14:paraId="18AA4F75" w14:textId="77777777">
      <w:pPr>
        <w:tabs>
          <w:tab w:val="left" w:pos="426"/>
        </w:tabs>
        <w:jc w:val="both"/>
        <w:rPr>
          <w:lang w:val="es-PE"/>
        </w:rPr>
      </w:pPr>
      <w:r w:rsidRPr="004832BF">
        <w:rPr>
          <w:lang w:val="es-PE"/>
        </w:rPr>
        <w:tab/>
      </w:r>
      <w:r w:rsidRPr="004832BF">
        <w:rPr>
          <w:lang w:val="es-PE"/>
        </w:rPr>
        <w:t xml:space="preserve"> conocimiento de la compañía al contratar el seguro.</w:t>
      </w:r>
    </w:p>
    <w:p w:rsidRPr="004832BF" w:rsidR="004832BF" w:rsidP="004832BF" w:rsidRDefault="004832BF" w14:paraId="58B6F679" w14:textId="77777777">
      <w:pPr>
        <w:tabs>
          <w:tab w:val="left" w:pos="426"/>
        </w:tabs>
        <w:jc w:val="both"/>
        <w:rPr>
          <w:lang w:val="es-PE"/>
        </w:rPr>
      </w:pPr>
    </w:p>
    <w:p w:rsidRPr="004832BF" w:rsidR="004832BF" w:rsidP="004832BF" w:rsidRDefault="004832BF" w14:paraId="7E1A57EB" w14:textId="77777777">
      <w:pPr>
        <w:tabs>
          <w:tab w:val="left" w:pos="2160"/>
        </w:tabs>
        <w:jc w:val="both"/>
        <w:rPr>
          <w:lang w:val="es-PE"/>
        </w:rPr>
      </w:pPr>
      <w:r w:rsidRPr="004832BF">
        <w:rPr>
          <w:lang w:val="es-PE"/>
        </w:rPr>
        <w:t>Este colegiado no ha podido verificar el contenido la redacción de la exclusión por cuanto la póliza completa no obra en el expediente. No obstante, asumiendo que la exclusión está redactada en los términos que refiere la aseguradora, no bastaría que estemos ante una enfermedad preexistente para que proceda el rechazo de cobertura de seguro, sino que debería tratarse de una enfermedad preexistente “NO DECLARADA” al momento de afiliarse al seguro, y a efectos de verificar dicha falta de declaración, la aseguradora debería presentar la solicitud de seguro, lo que no ha cumplido hasta la fecha.</w:t>
      </w:r>
    </w:p>
    <w:p w:rsidRPr="004832BF" w:rsidR="004832BF" w:rsidP="004832BF" w:rsidRDefault="004832BF" w14:paraId="53ABDC03" w14:textId="77777777">
      <w:pPr>
        <w:tabs>
          <w:tab w:val="left" w:pos="2160"/>
        </w:tabs>
        <w:jc w:val="both"/>
        <w:rPr>
          <w:lang w:val="es-PE"/>
        </w:rPr>
      </w:pPr>
    </w:p>
    <w:p w:rsidRPr="004832BF" w:rsidR="004832BF" w:rsidP="004832BF" w:rsidRDefault="004832BF" w14:paraId="032452DC" w14:textId="77777777">
      <w:pPr>
        <w:tabs>
          <w:tab w:val="left" w:pos="2160"/>
        </w:tabs>
        <w:jc w:val="both"/>
        <w:rPr>
          <w:lang w:val="es-PE"/>
        </w:rPr>
      </w:pPr>
      <w:r w:rsidRPr="004832BF">
        <w:rPr>
          <w:lang w:val="es-PE"/>
        </w:rPr>
        <w:t>En el presente caso, no solo no se ha presentado la póliza ni certificado de seguro, lo cual tampoco permite acreditar que la exclusión invocada fue puesta en conocimiento del asegurado en forma previa al siniestro, sino que tampoco se ha acreditado que se hubiera configurado la exclusión conforme a lo antes indicado.</w:t>
      </w:r>
    </w:p>
    <w:p w:rsidRPr="004832BF" w:rsidR="004832BF" w:rsidP="004832BF" w:rsidRDefault="004832BF" w14:paraId="238B6763" w14:textId="77777777">
      <w:pPr>
        <w:tabs>
          <w:tab w:val="left" w:pos="2160"/>
        </w:tabs>
        <w:jc w:val="both"/>
        <w:rPr>
          <w:lang w:val="es-PE"/>
        </w:rPr>
      </w:pPr>
    </w:p>
    <w:p w:rsidRPr="004832BF" w:rsidR="004832BF" w:rsidP="004832BF" w:rsidRDefault="004832BF" w14:paraId="360A13EA" w14:textId="77777777">
      <w:pPr>
        <w:tabs>
          <w:tab w:val="left" w:pos="2160"/>
        </w:tabs>
        <w:jc w:val="both"/>
        <w:rPr>
          <w:lang w:val="es-PE"/>
        </w:rPr>
      </w:pPr>
      <w:r w:rsidRPr="004832BF">
        <w:rPr>
          <w:lang w:val="es-PE"/>
        </w:rPr>
        <w:t>No obstante, como vía impugnación, la aseguradora podría cumplir con lo requerido, a continuación, analizamos si de los documentos que obran en el expediente se encuentra acreditada dicha condición supuestamente preexistente, es decir previa al año 2014, año de contratación del seguro.</w:t>
      </w:r>
    </w:p>
    <w:p w:rsidRPr="004832BF" w:rsidR="004832BF" w:rsidP="004832BF" w:rsidRDefault="004832BF" w14:paraId="3BAAC569" w14:textId="77777777">
      <w:pPr>
        <w:tabs>
          <w:tab w:val="left" w:pos="2160"/>
        </w:tabs>
        <w:jc w:val="both"/>
        <w:rPr>
          <w:lang w:val="es-PE"/>
        </w:rPr>
      </w:pPr>
    </w:p>
    <w:p w:rsidRPr="004832BF" w:rsidR="004832BF" w:rsidP="004832BF" w:rsidRDefault="004832BF" w14:paraId="216418F9" w14:textId="77777777">
      <w:pPr>
        <w:tabs>
          <w:tab w:val="left" w:pos="2160"/>
        </w:tabs>
        <w:jc w:val="both"/>
        <w:rPr>
          <w:lang w:val="es-PE"/>
        </w:rPr>
      </w:pPr>
      <w:r w:rsidRPr="004832BF">
        <w:rPr>
          <w:lang w:val="es-PE"/>
        </w:rPr>
        <w:t xml:space="preserve">Al respecto, la aseguradora basa la preexistencia en una referencia en la historia clínica, efectuada en fecha posterior a la contratación del seguro, referencia que supuestamente transcribe en su carta de rechazo y que refiere una antigüedad de 10 años; sin embargo, no solo no adjunta parte pertinente de la historia </w:t>
      </w:r>
      <w:proofErr w:type="gramStart"/>
      <w:r w:rsidRPr="004832BF">
        <w:rPr>
          <w:lang w:val="es-PE"/>
        </w:rPr>
        <w:t>clínica</w:t>
      </w:r>
      <w:proofErr w:type="gramEnd"/>
      <w:r w:rsidRPr="004832BF">
        <w:rPr>
          <w:lang w:val="es-PE"/>
        </w:rPr>
        <w:t xml:space="preserve"> sino que tampoco se trata de una referencia realizada en fecha anterior a setiembre de 2014, mes de contratación del seguro.  Tampoco el certificado de defunción hace referencia a antigüedad alguna, todo lo cual no genera convicción en esta Defensoría.</w:t>
      </w:r>
    </w:p>
    <w:p w:rsidRPr="004832BF" w:rsidR="004832BF" w:rsidP="004832BF" w:rsidRDefault="004832BF" w14:paraId="181EDB68" w14:textId="77777777">
      <w:pPr>
        <w:tabs>
          <w:tab w:val="left" w:pos="2160"/>
        </w:tabs>
        <w:jc w:val="both"/>
        <w:rPr>
          <w:lang w:val="es-PE"/>
        </w:rPr>
      </w:pPr>
    </w:p>
    <w:p w:rsidRPr="004832BF" w:rsidR="004832BF" w:rsidP="004832BF" w:rsidRDefault="004832BF" w14:paraId="72D3DB2D" w14:textId="77777777">
      <w:pPr>
        <w:tabs>
          <w:tab w:val="left" w:pos="2160"/>
        </w:tabs>
        <w:jc w:val="both"/>
        <w:rPr>
          <w:lang w:val="es-PE"/>
        </w:rPr>
      </w:pPr>
      <w:r w:rsidRPr="004832BF">
        <w:rPr>
          <w:lang w:val="es-PE"/>
        </w:rPr>
        <w:t xml:space="preserve">Conforme se ha señalado en el quinto considerando de esta resolución, la carga de la prueba corresponde a quien invoca hechos, y en este caso la aseguradora se limita a afirmar hechos sin acreditarlos, lo cual no resulta suficiente para </w:t>
      </w:r>
      <w:proofErr w:type="gramStart"/>
      <w:r w:rsidRPr="004832BF">
        <w:rPr>
          <w:lang w:val="es-PE"/>
        </w:rPr>
        <w:t>proceder a rechazar</w:t>
      </w:r>
      <w:proofErr w:type="gramEnd"/>
      <w:r w:rsidRPr="004832BF">
        <w:rPr>
          <w:lang w:val="es-PE"/>
        </w:rPr>
        <w:t xml:space="preserve"> legítimamente la cobertura de seguro.</w:t>
      </w:r>
    </w:p>
    <w:p w:rsidRPr="004832BF" w:rsidR="004832BF" w:rsidP="004832BF" w:rsidRDefault="004832BF" w14:paraId="448C489B" w14:textId="77777777">
      <w:pPr>
        <w:tabs>
          <w:tab w:val="left" w:pos="2160"/>
        </w:tabs>
        <w:jc w:val="both"/>
        <w:rPr>
          <w:lang w:val="es-PE"/>
        </w:rPr>
      </w:pPr>
    </w:p>
    <w:p w:rsidRPr="004832BF" w:rsidR="004832BF" w:rsidP="004832BF" w:rsidRDefault="004832BF" w14:paraId="54CA3481" w14:textId="77777777">
      <w:pPr>
        <w:tabs>
          <w:tab w:val="left" w:pos="2160"/>
        </w:tabs>
        <w:jc w:val="both"/>
        <w:rPr>
          <w:lang w:val="es-PE"/>
        </w:rPr>
      </w:pPr>
      <w:r w:rsidRPr="004832BF">
        <w:rPr>
          <w:lang w:val="es-PE"/>
        </w:rPr>
        <w:t xml:space="preserve">Atendiendo a lo expresado este colegiado concluye su apreciación razonada y conjunta al amparo de lo establecido en su Reglamento, encontrando que existen razones fundadas para estimar que el rechazo de cobertura al cual se contrae la presente reclamación no resulta legítimo; por lo que   </w:t>
      </w:r>
    </w:p>
    <w:p w:rsidRPr="004832BF" w:rsidR="004832BF" w:rsidP="004832BF" w:rsidRDefault="004832BF" w14:paraId="6C4D1CAA" w14:textId="77777777">
      <w:pPr>
        <w:tabs>
          <w:tab w:val="left" w:pos="2160"/>
        </w:tabs>
        <w:jc w:val="both"/>
        <w:rPr>
          <w:lang w:val="es-PE"/>
        </w:rPr>
      </w:pPr>
    </w:p>
    <w:p w:rsidRPr="004832BF" w:rsidR="004832BF" w:rsidP="004832BF" w:rsidRDefault="004832BF" w14:paraId="6551A3DC" w14:textId="77777777">
      <w:pPr>
        <w:tabs>
          <w:tab w:val="left" w:pos="2160"/>
        </w:tabs>
        <w:jc w:val="both"/>
        <w:rPr>
          <w:b/>
          <w:bCs/>
          <w:lang w:val="es-PE"/>
        </w:rPr>
      </w:pPr>
      <w:r w:rsidRPr="004832BF">
        <w:rPr>
          <w:b/>
          <w:bCs/>
          <w:lang w:val="es-PE"/>
        </w:rPr>
        <w:t xml:space="preserve">RESUELVE: </w:t>
      </w:r>
    </w:p>
    <w:p w:rsidRPr="004832BF" w:rsidR="004832BF" w:rsidP="004832BF" w:rsidRDefault="004832BF" w14:paraId="080823BD" w14:textId="77777777">
      <w:pPr>
        <w:tabs>
          <w:tab w:val="left" w:pos="2160"/>
        </w:tabs>
        <w:jc w:val="both"/>
        <w:rPr>
          <w:lang w:val="es-PE"/>
        </w:rPr>
      </w:pPr>
    </w:p>
    <w:p w:rsidR="00E06DE2" w:rsidP="004832BF" w:rsidRDefault="004832BF" w14:paraId="6FAF90F0" w14:textId="033A6BAD">
      <w:pPr>
        <w:jc w:val="both"/>
        <w:outlineLvl w:val="0"/>
      </w:pPr>
      <w:r w:rsidRPr="4174E2A2" w:rsidR="004832BF">
        <w:rPr>
          <w:lang w:val="es-PE"/>
        </w:rPr>
        <w:t xml:space="preserve">Declarar FUNDADA la reclamación interpuesta por doña </w:t>
      </w:r>
      <w:r w:rsidRPr="4174E2A2" w:rsidR="5917BDFB">
        <w:rPr>
          <w:lang w:val="es-PE"/>
        </w:rPr>
        <w:t>...............................................................................................</w:t>
      </w:r>
      <w:r w:rsidRPr="4174E2A2" w:rsidR="004832BF">
        <w:rPr>
          <w:lang w:val="es-PE"/>
        </w:rPr>
        <w:t xml:space="preserve"> contra </w:t>
      </w:r>
      <w:r w:rsidRPr="4174E2A2" w:rsidR="7D87E0BD">
        <w:rPr>
          <w:lang w:val="es-PE"/>
        </w:rPr>
        <w:t>................</w:t>
      </w:r>
      <w:r w:rsidRPr="4174E2A2" w:rsidR="004832BF">
        <w:rPr>
          <w:lang w:val="es-PE"/>
        </w:rPr>
        <w:t xml:space="preserve">, por lo que corresponde se otorgue la cobertura de seguro por el fallecimiento del asegurado señor </w:t>
      </w:r>
      <w:r w:rsidRPr="4174E2A2" w:rsidR="4F7A1CBD">
        <w:rPr>
          <w:lang w:val="es-PE"/>
        </w:rPr>
        <w:t>........................................................................</w:t>
      </w:r>
      <w:r w:rsidRPr="4174E2A2" w:rsidR="004832BF">
        <w:rPr>
          <w:lang w:val="es-PE"/>
        </w:rPr>
        <w:t xml:space="preserve">, conforme a la Póliza </w:t>
      </w:r>
      <w:r w:rsidR="004832BF">
        <w:rPr/>
        <w:t xml:space="preserve">Protección Familiar Plus (Plan PJ) </w:t>
      </w:r>
      <w:r w:rsidR="004832BF">
        <w:rPr/>
        <w:t>N°</w:t>
      </w:r>
      <w:r w:rsidR="004832BF">
        <w:rPr/>
        <w:t xml:space="preserve"> </w:t>
      </w:r>
      <w:r w:rsidR="3A03A3D7">
        <w:rPr/>
        <w:t>.........................</w:t>
      </w:r>
      <w:r w:rsidR="004832BF">
        <w:rPr/>
        <w:t>.</w:t>
      </w:r>
    </w:p>
    <w:p w:rsidRPr="004832BF" w:rsidR="004832BF" w:rsidP="004832BF" w:rsidRDefault="004832BF" w14:paraId="0EA9D493" w14:textId="77777777">
      <w:pPr>
        <w:outlineLvl w:val="0"/>
        <w:rPr>
          <w:lang w:val="es-PE"/>
        </w:rPr>
      </w:pPr>
    </w:p>
    <w:p w:rsidR="21CB6B92" w:rsidP="21CB6B92" w:rsidRDefault="21CB6B92" w14:paraId="63BF41B1" w14:textId="3E2E2BDD">
      <w:pPr>
        <w:outlineLvl w:val="0"/>
        <w:rPr>
          <w:lang w:val="es-PE"/>
        </w:rPr>
      </w:pPr>
    </w:p>
    <w:p w:rsidR="21CB6B92" w:rsidP="21CB6B92" w:rsidRDefault="21CB6B92" w14:paraId="79472755" w14:textId="4F7D4D63">
      <w:pPr>
        <w:outlineLvl w:val="0"/>
        <w:rPr>
          <w:lang w:val="es-PE"/>
        </w:rPr>
      </w:pPr>
    </w:p>
    <w:p w:rsidRPr="004832BF" w:rsidR="001631D6" w:rsidP="00401DE3" w:rsidRDefault="00F15FBA" w14:paraId="30F8D459" w14:textId="12FB7D52">
      <w:pPr>
        <w:jc w:val="right"/>
        <w:outlineLvl w:val="0"/>
        <w:rPr>
          <w:lang w:val="es-PE"/>
        </w:rPr>
      </w:pPr>
      <w:r w:rsidRPr="004832BF">
        <w:rPr>
          <w:lang w:val="es-PE"/>
        </w:rPr>
        <w:t xml:space="preserve">Lima, </w:t>
      </w:r>
      <w:r w:rsidRPr="004832BF" w:rsidR="004832BF">
        <w:rPr>
          <w:lang w:val="es-PE"/>
        </w:rPr>
        <w:t>26</w:t>
      </w:r>
      <w:r w:rsidRPr="004832BF" w:rsidR="006B75CA">
        <w:rPr>
          <w:lang w:val="es-PE"/>
        </w:rPr>
        <w:t xml:space="preserve"> </w:t>
      </w:r>
      <w:r w:rsidRPr="004832BF" w:rsidR="00F62606">
        <w:t>d</w:t>
      </w:r>
      <w:proofErr w:type="spellStart"/>
      <w:r w:rsidRPr="004832BF">
        <w:rPr>
          <w:lang w:val="es-PE"/>
        </w:rPr>
        <w:t>e</w:t>
      </w:r>
      <w:proofErr w:type="spellEnd"/>
      <w:r w:rsidRPr="004832BF" w:rsidR="00026017">
        <w:rPr>
          <w:lang w:val="es-PE"/>
        </w:rPr>
        <w:t xml:space="preserve"> </w:t>
      </w:r>
      <w:r w:rsidRPr="004832BF" w:rsidR="003E4270">
        <w:rPr>
          <w:lang w:val="es-PE"/>
        </w:rPr>
        <w:t>ju</w:t>
      </w:r>
      <w:r w:rsidRPr="004832BF" w:rsidR="003361A7">
        <w:rPr>
          <w:lang w:val="es-PE"/>
        </w:rPr>
        <w:t>l</w:t>
      </w:r>
      <w:r w:rsidRPr="004832BF" w:rsidR="003E4270">
        <w:rPr>
          <w:lang w:val="es-PE"/>
        </w:rPr>
        <w:t>io</w:t>
      </w:r>
      <w:r w:rsidRPr="004832BF" w:rsidR="001631D6">
        <w:rPr>
          <w:lang w:val="es-PE"/>
        </w:rPr>
        <w:t xml:space="preserve"> </w:t>
      </w:r>
      <w:r w:rsidRPr="004832BF">
        <w:rPr>
          <w:lang w:val="es-PE"/>
        </w:rPr>
        <w:t>de 20</w:t>
      </w:r>
      <w:r w:rsidRPr="004832BF" w:rsidR="001631D6">
        <w:rPr>
          <w:lang w:val="es-PE"/>
        </w:rPr>
        <w:t>2</w:t>
      </w:r>
      <w:r w:rsidRPr="004832BF" w:rsidR="003E6BA6">
        <w:rPr>
          <w:lang w:val="es-PE"/>
        </w:rPr>
        <w:t>1</w:t>
      </w:r>
    </w:p>
    <w:p w:rsidRPr="004832BF" w:rsidR="00C01AB2" w:rsidP="00B5211F" w:rsidRDefault="00C01AB2" w14:paraId="37DB6607" w14:textId="77777777"/>
    <w:p w:rsidRPr="004832BF" w:rsidR="000D588E" w:rsidP="000D588E" w:rsidRDefault="000D588E" w14:paraId="2E675B6E" w14:textId="77777777">
      <w:pPr>
        <w:jc w:val="both"/>
        <w:rPr>
          <w:b/>
          <w:bCs/>
          <w:i/>
          <w:iCs/>
          <w:lang w:val="es-ES_tradnl"/>
        </w:rPr>
      </w:pPr>
      <w:r w:rsidRPr="004832BF">
        <w:rPr>
          <w:b/>
          <w:bCs/>
          <w:i/>
          <w:iCs/>
          <w:lang w:val="es-ES_tradnl"/>
        </w:rPr>
        <w:t>La Secretaría Técnica certifica que la presente resolución cuenta con el voto de los vocales cuyos nombres figuran en el presente documento.</w:t>
      </w:r>
    </w:p>
    <w:p w:rsidRPr="004832BF" w:rsidR="000D588E" w:rsidP="000D588E" w:rsidRDefault="000D588E" w14:paraId="4E2B6639" w14:textId="77777777">
      <w:pPr>
        <w:jc w:val="both"/>
        <w:rPr>
          <w:b/>
          <w:bCs/>
          <w:i/>
          <w:iCs/>
          <w:lang w:val="es-ES_tradnl"/>
        </w:rPr>
      </w:pPr>
    </w:p>
    <w:p w:rsidRPr="004832BF" w:rsidR="000D588E" w:rsidP="000D588E" w:rsidRDefault="000D588E" w14:paraId="71FD7BAF" w14:textId="77777777">
      <w:pPr>
        <w:spacing w:line="360" w:lineRule="auto"/>
        <w:jc w:val="center"/>
        <w:rPr>
          <w:b/>
          <w:bCs/>
        </w:rPr>
      </w:pPr>
      <w:r w:rsidRPr="004832BF">
        <w:rPr>
          <w:b/>
          <w:bCs/>
        </w:rPr>
        <w:t xml:space="preserve">Marco Antonio Ortega Piana – </w:t>
      </w:r>
      <w:proofErr w:type="gramStart"/>
      <w:r w:rsidRPr="004832BF">
        <w:rPr>
          <w:b/>
          <w:bCs/>
        </w:rPr>
        <w:t>Presidente</w:t>
      </w:r>
      <w:proofErr w:type="gramEnd"/>
    </w:p>
    <w:p w:rsidRPr="004832BF" w:rsidR="000D588E" w:rsidP="000D588E" w:rsidRDefault="000D588E" w14:paraId="247EE6C1" w14:textId="77777777">
      <w:pPr>
        <w:spacing w:line="360" w:lineRule="auto"/>
        <w:jc w:val="center"/>
        <w:rPr>
          <w:b/>
          <w:bCs/>
        </w:rPr>
      </w:pPr>
      <w:r w:rsidRPr="004832BF">
        <w:rPr>
          <w:b/>
          <w:bCs/>
        </w:rPr>
        <w:t>María Eugenia Valdez Fernández Baca – Vocal</w:t>
      </w:r>
    </w:p>
    <w:p w:rsidRPr="004832BF" w:rsidR="000D588E" w:rsidP="000D588E" w:rsidRDefault="000D588E" w14:paraId="33674F75" w14:textId="77777777">
      <w:pPr>
        <w:spacing w:line="360" w:lineRule="auto"/>
        <w:jc w:val="center"/>
        <w:rPr>
          <w:b/>
          <w:bCs/>
        </w:rPr>
      </w:pPr>
      <w:r w:rsidRPr="004832BF">
        <w:rPr>
          <w:b/>
          <w:bCs/>
        </w:rPr>
        <w:t xml:space="preserve">Rolando Eyzaguirre </w:t>
      </w:r>
      <w:proofErr w:type="spellStart"/>
      <w:r w:rsidRPr="004832BF">
        <w:rPr>
          <w:b/>
          <w:bCs/>
        </w:rPr>
        <w:t>Maccan</w:t>
      </w:r>
      <w:proofErr w:type="spellEnd"/>
      <w:r w:rsidRPr="004832BF">
        <w:rPr>
          <w:b/>
          <w:bCs/>
        </w:rPr>
        <w:t xml:space="preserve"> – Vocal</w:t>
      </w:r>
    </w:p>
    <w:p w:rsidRPr="004832BF" w:rsidR="000D588E" w:rsidP="000D588E" w:rsidRDefault="000D588E" w14:paraId="1D601113" w14:textId="77777777">
      <w:pPr>
        <w:spacing w:line="360" w:lineRule="auto"/>
        <w:jc w:val="center"/>
        <w:rPr>
          <w:lang w:val="es-MX"/>
        </w:rPr>
      </w:pPr>
      <w:r w:rsidRPr="004832BF">
        <w:rPr>
          <w:b/>
          <w:bCs/>
        </w:rPr>
        <w:t>Gonzalo Abad del Busto - Vocal</w:t>
      </w:r>
    </w:p>
    <w:p w:rsidRPr="004832BF" w:rsidR="001631D6" w:rsidP="00F15FBA" w:rsidRDefault="001631D6" w14:paraId="0DA96C46" w14:textId="77777777">
      <w:pPr>
        <w:jc w:val="both"/>
        <w:rPr>
          <w:lang w:val="es-PE"/>
        </w:rPr>
      </w:pPr>
    </w:p>
    <w:p w:rsidRPr="004832BF" w:rsidR="00F15FBA" w:rsidP="00F15FBA" w:rsidRDefault="00F15FBA" w14:paraId="22C77427" w14:textId="77777777"/>
    <w:p w:rsidRPr="001631D6" w:rsidR="00F15FBA" w:rsidP="00F15FBA" w:rsidRDefault="00F15FBA" w14:paraId="58BFC23A" w14:textId="77777777"/>
    <w:p w:rsidRPr="001631D6" w:rsidR="00517989" w:rsidRDefault="008B4F97" w14:paraId="164CAA9F" w14:textId="77777777"/>
    <w:sectPr w:rsidRPr="001631D6" w:rsidR="00517989" w:rsidSect="00F552B2">
      <w:headerReference w:type="default" r:id="rId9"/>
      <w:footerReference w:type="default" r:id="rId10"/>
      <w:pgSz w:w="11907" w:h="16840" w:orient="portrait" w:code="9"/>
      <w:pgMar w:top="1985" w:right="1418"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8B4F97" w:rsidP="005F148C" w:rsidRDefault="008B4F97" w14:paraId="12431930" w14:textId="77777777">
      <w:r>
        <w:separator/>
      </w:r>
    </w:p>
  </w:endnote>
  <w:endnote w:type="continuationSeparator" w:id="0">
    <w:p w:rsidR="008B4F97" w:rsidP="005F148C" w:rsidRDefault="008B4F97" w14:paraId="6E50E190"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Arial">
    <w:panose1 w:val="020B0604020202020204"/>
    <w:charset w:val="00"/>
    <w:family w:val="swiss"/>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18"/>
        <w:szCs w:val="18"/>
      </w:rPr>
      <w:id w:val="1679697348"/>
      <w:docPartObj>
        <w:docPartGallery w:val="Page Numbers (Bottom of Page)"/>
        <w:docPartUnique/>
      </w:docPartObj>
    </w:sdtPr>
    <w:sdtEndPr>
      <w:rPr>
        <w:sz w:val="18"/>
        <w:szCs w:val="18"/>
      </w:rPr>
    </w:sdtEndPr>
    <w:sdtContent>
      <w:sdt>
        <w:sdtPr>
          <w:rPr>
            <w:sz w:val="18"/>
            <w:szCs w:val="18"/>
          </w:rPr>
          <w:id w:val="-1769616900"/>
          <w:docPartObj>
            <w:docPartGallery w:val="Page Numbers (Top of Page)"/>
            <w:docPartUnique/>
          </w:docPartObj>
        </w:sdtPr>
        <w:sdtEndPr>
          <w:rPr>
            <w:sz w:val="18"/>
            <w:szCs w:val="18"/>
          </w:rPr>
        </w:sdtEndPr>
        <w:sdtContent>
          <w:p w:rsidRPr="001631D6" w:rsidR="001631D6" w:rsidRDefault="001631D6" w14:paraId="01AF7AB7" w14:textId="530997BF">
            <w:pPr>
              <w:pStyle w:val="Piedepgina"/>
              <w:jc w:val="right"/>
              <w:rPr>
                <w:sz w:val="18"/>
                <w:szCs w:val="18"/>
              </w:rPr>
            </w:pPr>
            <w:r w:rsidRPr="00045C71">
              <w:rPr>
                <w:sz w:val="20"/>
                <w:szCs w:val="20"/>
              </w:rPr>
              <w:t>Página</w:t>
            </w:r>
            <w:r w:rsidRPr="001F1C40">
              <w:rPr>
                <w:sz w:val="18"/>
                <w:szCs w:val="18"/>
              </w:rPr>
              <w:t xml:space="preserve"> </w:t>
            </w:r>
            <w:r w:rsidRPr="001F1C40">
              <w:rPr>
                <w:b/>
                <w:bCs/>
                <w:sz w:val="18"/>
                <w:szCs w:val="18"/>
              </w:rPr>
              <w:fldChar w:fldCharType="begin"/>
            </w:r>
            <w:r w:rsidRPr="001F1C40">
              <w:rPr>
                <w:b/>
                <w:bCs/>
                <w:sz w:val="18"/>
                <w:szCs w:val="18"/>
              </w:rPr>
              <w:instrText>PAGE</w:instrText>
            </w:r>
            <w:r w:rsidRPr="001F1C40">
              <w:rPr>
                <w:b/>
                <w:bCs/>
                <w:sz w:val="18"/>
                <w:szCs w:val="18"/>
              </w:rPr>
              <w:fldChar w:fldCharType="separate"/>
            </w:r>
            <w:r w:rsidRPr="001F1C40">
              <w:rPr>
                <w:b/>
                <w:bCs/>
                <w:sz w:val="18"/>
                <w:szCs w:val="18"/>
              </w:rPr>
              <w:t>2</w:t>
            </w:r>
            <w:r w:rsidRPr="001F1C40">
              <w:rPr>
                <w:b/>
                <w:bCs/>
                <w:sz w:val="18"/>
                <w:szCs w:val="18"/>
              </w:rPr>
              <w:fldChar w:fldCharType="end"/>
            </w:r>
            <w:r w:rsidRPr="001F1C40">
              <w:rPr>
                <w:sz w:val="18"/>
                <w:szCs w:val="18"/>
              </w:rPr>
              <w:t xml:space="preserve"> de </w:t>
            </w:r>
            <w:r w:rsidRPr="001F1C40">
              <w:rPr>
                <w:b/>
                <w:bCs/>
                <w:sz w:val="18"/>
                <w:szCs w:val="18"/>
              </w:rPr>
              <w:fldChar w:fldCharType="begin"/>
            </w:r>
            <w:r w:rsidRPr="001F1C40">
              <w:rPr>
                <w:b/>
                <w:bCs/>
                <w:sz w:val="18"/>
                <w:szCs w:val="18"/>
              </w:rPr>
              <w:instrText>NUMPAGES</w:instrText>
            </w:r>
            <w:r w:rsidRPr="001F1C40">
              <w:rPr>
                <w:b/>
                <w:bCs/>
                <w:sz w:val="18"/>
                <w:szCs w:val="18"/>
              </w:rPr>
              <w:fldChar w:fldCharType="separate"/>
            </w:r>
            <w:r w:rsidRPr="001F1C40">
              <w:rPr>
                <w:b/>
                <w:bCs/>
                <w:sz w:val="18"/>
                <w:szCs w:val="18"/>
              </w:rPr>
              <w:t>2</w:t>
            </w:r>
            <w:r w:rsidRPr="001F1C40">
              <w:rPr>
                <w:b/>
                <w:bCs/>
                <w:sz w:val="18"/>
                <w:szCs w:val="18"/>
              </w:rPr>
              <w:fldChar w:fldCharType="end"/>
            </w:r>
          </w:p>
        </w:sdtContent>
      </w:sdt>
    </w:sdtContent>
  </w:sdt>
  <w:p w:rsidR="001631D6" w:rsidRDefault="001631D6" w14:paraId="5E55DA88"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8B4F97" w:rsidP="005F148C" w:rsidRDefault="008B4F97" w14:paraId="1AEE4C31" w14:textId="77777777">
      <w:r>
        <w:separator/>
      </w:r>
    </w:p>
  </w:footnote>
  <w:footnote w:type="continuationSeparator" w:id="0">
    <w:p w:rsidR="008B4F97" w:rsidP="005F148C" w:rsidRDefault="008B4F97" w14:paraId="316549E8"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1631D6" w:rsidRDefault="001631D6" w14:paraId="7E38E125" w14:textId="2F2F027B">
    <w:pPr>
      <w:pStyle w:val="Encabezado"/>
    </w:pPr>
    <w:r>
      <w:rPr>
        <w:noProof/>
      </w:rPr>
      <w:drawing>
        <wp:inline distT="0" distB="0" distL="0" distR="0" wp14:anchorId="2EECEDB8" wp14:editId="52687486">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1631D6" w:rsidRDefault="001631D6" w14:paraId="322E2FE4"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BF21D7"/>
    <w:multiLevelType w:val="hybridMultilevel"/>
    <w:tmpl w:val="5E8CA37A"/>
    <w:lvl w:ilvl="0" w:tplc="2D662614">
      <w:start w:val="1"/>
      <w:numFmt w:val="lowerLetter"/>
      <w:lvlText w:val="%1)"/>
      <w:lvlJc w:val="left"/>
      <w:pPr>
        <w:ind w:left="720" w:hanging="360"/>
      </w:pPr>
      <w:rPr>
        <w:rFonts w:ascii="Times New Roman" w:hAnsi="Times New Roman" w:cs="Times New Roman" w:eastAsiaTheme="minorHAnsi"/>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 w15:restartNumberingAfterBreak="0">
    <w:nsid w:val="06CF71EF"/>
    <w:multiLevelType w:val="hybridMultilevel"/>
    <w:tmpl w:val="441EC25C"/>
    <w:lvl w:ilvl="0" w:tplc="DD0A6D2E">
      <w:start w:val="1"/>
      <w:numFmt w:val="decimal"/>
      <w:lvlText w:val="%1)"/>
      <w:lvlJc w:val="left"/>
      <w:pPr>
        <w:ind w:left="720" w:hanging="360"/>
      </w:pPr>
      <w:rPr>
        <w:rFonts w:ascii="Arial" w:hAnsi="Arial" w:cs="Arial" w:eastAsiaTheme="minorHAnsi"/>
        <w:b w:val="0"/>
        <w:bCs w:val="0"/>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 w15:restartNumberingAfterBreak="0">
    <w:nsid w:val="087E05E9"/>
    <w:multiLevelType w:val="hybridMultilevel"/>
    <w:tmpl w:val="30024A86"/>
    <w:lvl w:ilvl="0" w:tplc="678A7B06">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 w15:restartNumberingAfterBreak="0">
    <w:nsid w:val="0A645E98"/>
    <w:multiLevelType w:val="hybridMultilevel"/>
    <w:tmpl w:val="30024A86"/>
    <w:lvl w:ilvl="0" w:tplc="678A7B06">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 w15:restartNumberingAfterBreak="0">
    <w:nsid w:val="0F48610F"/>
    <w:multiLevelType w:val="hybridMultilevel"/>
    <w:tmpl w:val="3BA8022A"/>
    <w:lvl w:ilvl="0" w:tplc="7C66EBAE">
      <w:start w:val="1"/>
      <w:numFmt w:val="lowerLetter"/>
      <w:lvlText w:val="%1)"/>
      <w:lvlJc w:val="left"/>
      <w:pPr>
        <w:ind w:left="1070" w:hanging="360"/>
      </w:pPr>
      <w:rPr>
        <w:rFonts w:hint="default"/>
      </w:rPr>
    </w:lvl>
    <w:lvl w:ilvl="1" w:tplc="280A0019" w:tentative="1">
      <w:start w:val="1"/>
      <w:numFmt w:val="lowerLetter"/>
      <w:lvlText w:val="%2."/>
      <w:lvlJc w:val="left"/>
      <w:pPr>
        <w:ind w:left="1790" w:hanging="360"/>
      </w:pPr>
    </w:lvl>
    <w:lvl w:ilvl="2" w:tplc="280A001B" w:tentative="1">
      <w:start w:val="1"/>
      <w:numFmt w:val="lowerRoman"/>
      <w:lvlText w:val="%3."/>
      <w:lvlJc w:val="right"/>
      <w:pPr>
        <w:ind w:left="2510" w:hanging="180"/>
      </w:pPr>
    </w:lvl>
    <w:lvl w:ilvl="3" w:tplc="280A000F" w:tentative="1">
      <w:start w:val="1"/>
      <w:numFmt w:val="decimal"/>
      <w:lvlText w:val="%4."/>
      <w:lvlJc w:val="left"/>
      <w:pPr>
        <w:ind w:left="3230" w:hanging="360"/>
      </w:pPr>
    </w:lvl>
    <w:lvl w:ilvl="4" w:tplc="280A0019" w:tentative="1">
      <w:start w:val="1"/>
      <w:numFmt w:val="lowerLetter"/>
      <w:lvlText w:val="%5."/>
      <w:lvlJc w:val="left"/>
      <w:pPr>
        <w:ind w:left="3950" w:hanging="360"/>
      </w:pPr>
    </w:lvl>
    <w:lvl w:ilvl="5" w:tplc="280A001B" w:tentative="1">
      <w:start w:val="1"/>
      <w:numFmt w:val="lowerRoman"/>
      <w:lvlText w:val="%6."/>
      <w:lvlJc w:val="right"/>
      <w:pPr>
        <w:ind w:left="4670" w:hanging="180"/>
      </w:pPr>
    </w:lvl>
    <w:lvl w:ilvl="6" w:tplc="280A000F" w:tentative="1">
      <w:start w:val="1"/>
      <w:numFmt w:val="decimal"/>
      <w:lvlText w:val="%7."/>
      <w:lvlJc w:val="left"/>
      <w:pPr>
        <w:ind w:left="5390" w:hanging="360"/>
      </w:pPr>
    </w:lvl>
    <w:lvl w:ilvl="7" w:tplc="280A0019" w:tentative="1">
      <w:start w:val="1"/>
      <w:numFmt w:val="lowerLetter"/>
      <w:lvlText w:val="%8."/>
      <w:lvlJc w:val="left"/>
      <w:pPr>
        <w:ind w:left="6110" w:hanging="360"/>
      </w:pPr>
    </w:lvl>
    <w:lvl w:ilvl="8" w:tplc="280A001B" w:tentative="1">
      <w:start w:val="1"/>
      <w:numFmt w:val="lowerRoman"/>
      <w:lvlText w:val="%9."/>
      <w:lvlJc w:val="right"/>
      <w:pPr>
        <w:ind w:left="6830" w:hanging="180"/>
      </w:pPr>
    </w:lvl>
  </w:abstractNum>
  <w:abstractNum w:abstractNumId="5" w15:restartNumberingAfterBreak="0">
    <w:nsid w:val="123C46E1"/>
    <w:multiLevelType w:val="hybridMultilevel"/>
    <w:tmpl w:val="D7D24C54"/>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6" w15:restartNumberingAfterBreak="0">
    <w:nsid w:val="1E1D7FF1"/>
    <w:multiLevelType w:val="hybridMultilevel"/>
    <w:tmpl w:val="32A408B4"/>
    <w:lvl w:ilvl="0" w:tplc="9B688DFA">
      <w:start w:val="1"/>
      <w:numFmt w:val="upp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7" w15:restartNumberingAfterBreak="0">
    <w:nsid w:val="26B2264B"/>
    <w:multiLevelType w:val="hybridMultilevel"/>
    <w:tmpl w:val="14E020C6"/>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8" w15:restartNumberingAfterBreak="0">
    <w:nsid w:val="2FE05F7D"/>
    <w:multiLevelType w:val="hybridMultilevel"/>
    <w:tmpl w:val="E0524E1C"/>
    <w:lvl w:ilvl="0" w:tplc="1CF2E48E">
      <w:start w:val="9"/>
      <w:numFmt w:val="lowerLetter"/>
      <w:lvlText w:val="%1)"/>
      <w:lvlJc w:val="left"/>
      <w:pPr>
        <w:ind w:left="1069" w:hanging="360"/>
      </w:pPr>
    </w:lvl>
    <w:lvl w:ilvl="1" w:tplc="280A0019">
      <w:start w:val="1"/>
      <w:numFmt w:val="lowerLetter"/>
      <w:lvlText w:val="%2."/>
      <w:lvlJc w:val="left"/>
      <w:pPr>
        <w:ind w:left="1789" w:hanging="360"/>
      </w:pPr>
    </w:lvl>
    <w:lvl w:ilvl="2" w:tplc="280A001B">
      <w:start w:val="1"/>
      <w:numFmt w:val="lowerRoman"/>
      <w:lvlText w:val="%3."/>
      <w:lvlJc w:val="right"/>
      <w:pPr>
        <w:ind w:left="2509" w:hanging="180"/>
      </w:pPr>
    </w:lvl>
    <w:lvl w:ilvl="3" w:tplc="280A000F">
      <w:start w:val="1"/>
      <w:numFmt w:val="decimal"/>
      <w:lvlText w:val="%4."/>
      <w:lvlJc w:val="left"/>
      <w:pPr>
        <w:ind w:left="3229" w:hanging="360"/>
      </w:pPr>
    </w:lvl>
    <w:lvl w:ilvl="4" w:tplc="280A0019">
      <w:start w:val="1"/>
      <w:numFmt w:val="lowerLetter"/>
      <w:lvlText w:val="%5."/>
      <w:lvlJc w:val="left"/>
      <w:pPr>
        <w:ind w:left="3949" w:hanging="360"/>
      </w:pPr>
    </w:lvl>
    <w:lvl w:ilvl="5" w:tplc="280A001B">
      <w:start w:val="1"/>
      <w:numFmt w:val="lowerRoman"/>
      <w:lvlText w:val="%6."/>
      <w:lvlJc w:val="right"/>
      <w:pPr>
        <w:ind w:left="4669" w:hanging="180"/>
      </w:pPr>
    </w:lvl>
    <w:lvl w:ilvl="6" w:tplc="280A000F">
      <w:start w:val="1"/>
      <w:numFmt w:val="decimal"/>
      <w:lvlText w:val="%7."/>
      <w:lvlJc w:val="left"/>
      <w:pPr>
        <w:ind w:left="5389" w:hanging="360"/>
      </w:pPr>
    </w:lvl>
    <w:lvl w:ilvl="7" w:tplc="280A0019">
      <w:start w:val="1"/>
      <w:numFmt w:val="lowerLetter"/>
      <w:lvlText w:val="%8."/>
      <w:lvlJc w:val="left"/>
      <w:pPr>
        <w:ind w:left="6109" w:hanging="360"/>
      </w:pPr>
    </w:lvl>
    <w:lvl w:ilvl="8" w:tplc="280A001B">
      <w:start w:val="1"/>
      <w:numFmt w:val="lowerRoman"/>
      <w:lvlText w:val="%9."/>
      <w:lvlJc w:val="right"/>
      <w:pPr>
        <w:ind w:left="6829" w:hanging="180"/>
      </w:pPr>
    </w:lvl>
  </w:abstractNum>
  <w:abstractNum w:abstractNumId="9" w15:restartNumberingAfterBreak="0">
    <w:nsid w:val="38FB313C"/>
    <w:multiLevelType w:val="hybridMultilevel"/>
    <w:tmpl w:val="EBFCDB5A"/>
    <w:lvl w:ilvl="0" w:tplc="D4C887D8">
      <w:start w:val="1"/>
      <w:numFmt w:val="low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0" w15:restartNumberingAfterBreak="0">
    <w:nsid w:val="3FE318C4"/>
    <w:multiLevelType w:val="multilevel"/>
    <w:tmpl w:val="86B42FE8"/>
    <w:lvl w:ilvl="0">
      <w:start w:val="6"/>
      <w:numFmt w:val="decimal"/>
      <w:lvlText w:val="%1."/>
      <w:lvlJc w:val="left"/>
      <w:pPr>
        <w:ind w:left="360" w:hanging="360"/>
      </w:pPr>
      <w:rPr>
        <w:rFonts w:hint="default"/>
      </w:rPr>
    </w:lvl>
    <w:lvl w:ilvl="1">
      <w:start w:val="9"/>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4940536F"/>
    <w:multiLevelType w:val="hybridMultilevel"/>
    <w:tmpl w:val="252EA214"/>
    <w:lvl w:ilvl="0" w:tplc="280A000D">
      <w:start w:val="1"/>
      <w:numFmt w:val="bullet"/>
      <w:lvlText w:val=""/>
      <w:lvlJc w:val="left"/>
      <w:pPr>
        <w:ind w:left="720" w:hanging="360"/>
      </w:pPr>
      <w:rPr>
        <w:rFonts w:hint="default" w:ascii="Wingdings" w:hAnsi="Wingdings"/>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2" w15:restartNumberingAfterBreak="0">
    <w:nsid w:val="4AF431AD"/>
    <w:multiLevelType w:val="multilevel"/>
    <w:tmpl w:val="F04E959E"/>
    <w:lvl w:ilvl="0">
      <w:start w:val="6"/>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4B2A492E"/>
    <w:multiLevelType w:val="multilevel"/>
    <w:tmpl w:val="62B63FC2"/>
    <w:lvl w:ilvl="0">
      <w:start w:val="6"/>
      <w:numFmt w:val="decimal"/>
      <w:lvlText w:val="%1."/>
      <w:lvlJc w:val="left"/>
      <w:pPr>
        <w:ind w:left="360" w:hanging="360"/>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4EDB638B"/>
    <w:multiLevelType w:val="hybridMultilevel"/>
    <w:tmpl w:val="CE74B51A"/>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5" w15:restartNumberingAfterBreak="0">
    <w:nsid w:val="506F06DC"/>
    <w:multiLevelType w:val="hybridMultilevel"/>
    <w:tmpl w:val="58ECE9A4"/>
    <w:lvl w:ilvl="0" w:tplc="B57CE202">
      <w:start w:val="1"/>
      <w:numFmt w:val="lowerLetter"/>
      <w:lvlText w:val="%1)"/>
      <w:lvlJc w:val="left"/>
      <w:pPr>
        <w:ind w:left="720" w:hanging="360"/>
      </w:pPr>
      <w:rPr>
        <w:rFonts w:ascii="Times New Roman" w:hAnsi="Times New Roman" w:eastAsia="Times New Roman" w:cs="Times New Roman"/>
        <w:color w:val="auto"/>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6" w15:restartNumberingAfterBreak="0">
    <w:nsid w:val="520422B5"/>
    <w:multiLevelType w:val="hybridMultilevel"/>
    <w:tmpl w:val="5CDA9C62"/>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7" w15:restartNumberingAfterBreak="0">
    <w:nsid w:val="525D0C93"/>
    <w:multiLevelType w:val="hybridMultilevel"/>
    <w:tmpl w:val="565222EE"/>
    <w:lvl w:ilvl="0" w:tplc="D5F46800">
      <w:start w:val="2"/>
      <w:numFmt w:val="lowerRoman"/>
      <w:lvlText w:val="%1)"/>
      <w:lvlJc w:val="left"/>
      <w:pPr>
        <w:ind w:left="1429" w:hanging="720"/>
      </w:pPr>
    </w:lvl>
    <w:lvl w:ilvl="1" w:tplc="280A0019">
      <w:start w:val="1"/>
      <w:numFmt w:val="lowerLetter"/>
      <w:lvlText w:val="%2."/>
      <w:lvlJc w:val="left"/>
      <w:pPr>
        <w:ind w:left="1789" w:hanging="360"/>
      </w:pPr>
    </w:lvl>
    <w:lvl w:ilvl="2" w:tplc="280A001B">
      <w:start w:val="1"/>
      <w:numFmt w:val="lowerRoman"/>
      <w:lvlText w:val="%3."/>
      <w:lvlJc w:val="right"/>
      <w:pPr>
        <w:ind w:left="2509" w:hanging="180"/>
      </w:pPr>
    </w:lvl>
    <w:lvl w:ilvl="3" w:tplc="280A000F">
      <w:start w:val="1"/>
      <w:numFmt w:val="decimal"/>
      <w:lvlText w:val="%4."/>
      <w:lvlJc w:val="left"/>
      <w:pPr>
        <w:ind w:left="3229" w:hanging="360"/>
      </w:pPr>
    </w:lvl>
    <w:lvl w:ilvl="4" w:tplc="280A0019">
      <w:start w:val="1"/>
      <w:numFmt w:val="lowerLetter"/>
      <w:lvlText w:val="%5."/>
      <w:lvlJc w:val="left"/>
      <w:pPr>
        <w:ind w:left="3949" w:hanging="360"/>
      </w:pPr>
    </w:lvl>
    <w:lvl w:ilvl="5" w:tplc="280A001B">
      <w:start w:val="1"/>
      <w:numFmt w:val="lowerRoman"/>
      <w:lvlText w:val="%6."/>
      <w:lvlJc w:val="right"/>
      <w:pPr>
        <w:ind w:left="4669" w:hanging="180"/>
      </w:pPr>
    </w:lvl>
    <w:lvl w:ilvl="6" w:tplc="280A000F">
      <w:start w:val="1"/>
      <w:numFmt w:val="decimal"/>
      <w:lvlText w:val="%7."/>
      <w:lvlJc w:val="left"/>
      <w:pPr>
        <w:ind w:left="5389" w:hanging="360"/>
      </w:pPr>
    </w:lvl>
    <w:lvl w:ilvl="7" w:tplc="280A0019">
      <w:start w:val="1"/>
      <w:numFmt w:val="lowerLetter"/>
      <w:lvlText w:val="%8."/>
      <w:lvlJc w:val="left"/>
      <w:pPr>
        <w:ind w:left="6109" w:hanging="360"/>
      </w:pPr>
    </w:lvl>
    <w:lvl w:ilvl="8" w:tplc="280A001B">
      <w:start w:val="1"/>
      <w:numFmt w:val="lowerRoman"/>
      <w:lvlText w:val="%9."/>
      <w:lvlJc w:val="right"/>
      <w:pPr>
        <w:ind w:left="6829" w:hanging="180"/>
      </w:pPr>
    </w:lvl>
  </w:abstractNum>
  <w:abstractNum w:abstractNumId="18" w15:restartNumberingAfterBreak="0">
    <w:nsid w:val="54840F77"/>
    <w:multiLevelType w:val="hybridMultilevel"/>
    <w:tmpl w:val="00DA0EF6"/>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9" w15:restartNumberingAfterBreak="0">
    <w:nsid w:val="57B9116D"/>
    <w:multiLevelType w:val="hybridMultilevel"/>
    <w:tmpl w:val="5B9E20E4"/>
    <w:lvl w:ilvl="0" w:tplc="280A0001">
      <w:start w:val="1"/>
      <w:numFmt w:val="bullet"/>
      <w:lvlText w:val=""/>
      <w:lvlJc w:val="left"/>
      <w:pPr>
        <w:ind w:left="1069" w:hanging="360"/>
      </w:pPr>
      <w:rPr>
        <w:rFonts w:hint="default" w:ascii="Symbol" w:hAnsi="Symbol"/>
      </w:rPr>
    </w:lvl>
    <w:lvl w:ilvl="1" w:tplc="280A0003" w:tentative="1">
      <w:start w:val="1"/>
      <w:numFmt w:val="bullet"/>
      <w:lvlText w:val="o"/>
      <w:lvlJc w:val="left"/>
      <w:pPr>
        <w:ind w:left="1789" w:hanging="360"/>
      </w:pPr>
      <w:rPr>
        <w:rFonts w:hint="default" w:ascii="Courier New" w:hAnsi="Courier New" w:cs="Courier New"/>
      </w:rPr>
    </w:lvl>
    <w:lvl w:ilvl="2" w:tplc="280A0005" w:tentative="1">
      <w:start w:val="1"/>
      <w:numFmt w:val="bullet"/>
      <w:lvlText w:val=""/>
      <w:lvlJc w:val="left"/>
      <w:pPr>
        <w:ind w:left="2509" w:hanging="360"/>
      </w:pPr>
      <w:rPr>
        <w:rFonts w:hint="default" w:ascii="Wingdings" w:hAnsi="Wingdings"/>
      </w:rPr>
    </w:lvl>
    <w:lvl w:ilvl="3" w:tplc="280A0001" w:tentative="1">
      <w:start w:val="1"/>
      <w:numFmt w:val="bullet"/>
      <w:lvlText w:val=""/>
      <w:lvlJc w:val="left"/>
      <w:pPr>
        <w:ind w:left="3229" w:hanging="360"/>
      </w:pPr>
      <w:rPr>
        <w:rFonts w:hint="default" w:ascii="Symbol" w:hAnsi="Symbol"/>
      </w:rPr>
    </w:lvl>
    <w:lvl w:ilvl="4" w:tplc="280A0003" w:tentative="1">
      <w:start w:val="1"/>
      <w:numFmt w:val="bullet"/>
      <w:lvlText w:val="o"/>
      <w:lvlJc w:val="left"/>
      <w:pPr>
        <w:ind w:left="3949" w:hanging="360"/>
      </w:pPr>
      <w:rPr>
        <w:rFonts w:hint="default" w:ascii="Courier New" w:hAnsi="Courier New" w:cs="Courier New"/>
      </w:rPr>
    </w:lvl>
    <w:lvl w:ilvl="5" w:tplc="280A0005" w:tentative="1">
      <w:start w:val="1"/>
      <w:numFmt w:val="bullet"/>
      <w:lvlText w:val=""/>
      <w:lvlJc w:val="left"/>
      <w:pPr>
        <w:ind w:left="4669" w:hanging="360"/>
      </w:pPr>
      <w:rPr>
        <w:rFonts w:hint="default" w:ascii="Wingdings" w:hAnsi="Wingdings"/>
      </w:rPr>
    </w:lvl>
    <w:lvl w:ilvl="6" w:tplc="280A0001" w:tentative="1">
      <w:start w:val="1"/>
      <w:numFmt w:val="bullet"/>
      <w:lvlText w:val=""/>
      <w:lvlJc w:val="left"/>
      <w:pPr>
        <w:ind w:left="5389" w:hanging="360"/>
      </w:pPr>
      <w:rPr>
        <w:rFonts w:hint="default" w:ascii="Symbol" w:hAnsi="Symbol"/>
      </w:rPr>
    </w:lvl>
    <w:lvl w:ilvl="7" w:tplc="280A0003" w:tentative="1">
      <w:start w:val="1"/>
      <w:numFmt w:val="bullet"/>
      <w:lvlText w:val="o"/>
      <w:lvlJc w:val="left"/>
      <w:pPr>
        <w:ind w:left="6109" w:hanging="360"/>
      </w:pPr>
      <w:rPr>
        <w:rFonts w:hint="default" w:ascii="Courier New" w:hAnsi="Courier New" w:cs="Courier New"/>
      </w:rPr>
    </w:lvl>
    <w:lvl w:ilvl="8" w:tplc="280A0005" w:tentative="1">
      <w:start w:val="1"/>
      <w:numFmt w:val="bullet"/>
      <w:lvlText w:val=""/>
      <w:lvlJc w:val="left"/>
      <w:pPr>
        <w:ind w:left="6829" w:hanging="360"/>
      </w:pPr>
      <w:rPr>
        <w:rFonts w:hint="default" w:ascii="Wingdings" w:hAnsi="Wingdings"/>
      </w:rPr>
    </w:lvl>
  </w:abstractNum>
  <w:abstractNum w:abstractNumId="20" w15:restartNumberingAfterBreak="0">
    <w:nsid w:val="591B1696"/>
    <w:multiLevelType w:val="multilevel"/>
    <w:tmpl w:val="7666A58C"/>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5EA77DA8"/>
    <w:multiLevelType w:val="hybridMultilevel"/>
    <w:tmpl w:val="2EC82652"/>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2" w15:restartNumberingAfterBreak="0">
    <w:nsid w:val="61A36FA4"/>
    <w:multiLevelType w:val="hybridMultilevel"/>
    <w:tmpl w:val="27C4D7C6"/>
    <w:lvl w:ilvl="0" w:tplc="E116B2C0">
      <w:start w:val="1"/>
      <w:numFmt w:val="decimal"/>
      <w:lvlText w:val="%1)"/>
      <w:lvlJc w:val="left"/>
      <w:pPr>
        <w:ind w:left="362" w:hanging="360"/>
      </w:pPr>
      <w:rPr>
        <w:rFonts w:hint="default"/>
      </w:rPr>
    </w:lvl>
    <w:lvl w:ilvl="1" w:tplc="280A0019" w:tentative="1">
      <w:start w:val="1"/>
      <w:numFmt w:val="lowerLetter"/>
      <w:lvlText w:val="%2."/>
      <w:lvlJc w:val="left"/>
      <w:pPr>
        <w:ind w:left="1082" w:hanging="360"/>
      </w:pPr>
    </w:lvl>
    <w:lvl w:ilvl="2" w:tplc="280A001B" w:tentative="1">
      <w:start w:val="1"/>
      <w:numFmt w:val="lowerRoman"/>
      <w:lvlText w:val="%3."/>
      <w:lvlJc w:val="right"/>
      <w:pPr>
        <w:ind w:left="1802" w:hanging="180"/>
      </w:pPr>
    </w:lvl>
    <w:lvl w:ilvl="3" w:tplc="280A000F" w:tentative="1">
      <w:start w:val="1"/>
      <w:numFmt w:val="decimal"/>
      <w:lvlText w:val="%4."/>
      <w:lvlJc w:val="left"/>
      <w:pPr>
        <w:ind w:left="2522" w:hanging="360"/>
      </w:pPr>
    </w:lvl>
    <w:lvl w:ilvl="4" w:tplc="280A0019" w:tentative="1">
      <w:start w:val="1"/>
      <w:numFmt w:val="lowerLetter"/>
      <w:lvlText w:val="%5."/>
      <w:lvlJc w:val="left"/>
      <w:pPr>
        <w:ind w:left="3242" w:hanging="360"/>
      </w:pPr>
    </w:lvl>
    <w:lvl w:ilvl="5" w:tplc="280A001B" w:tentative="1">
      <w:start w:val="1"/>
      <w:numFmt w:val="lowerRoman"/>
      <w:lvlText w:val="%6."/>
      <w:lvlJc w:val="right"/>
      <w:pPr>
        <w:ind w:left="3962" w:hanging="180"/>
      </w:pPr>
    </w:lvl>
    <w:lvl w:ilvl="6" w:tplc="280A000F" w:tentative="1">
      <w:start w:val="1"/>
      <w:numFmt w:val="decimal"/>
      <w:lvlText w:val="%7."/>
      <w:lvlJc w:val="left"/>
      <w:pPr>
        <w:ind w:left="4682" w:hanging="360"/>
      </w:pPr>
    </w:lvl>
    <w:lvl w:ilvl="7" w:tplc="280A0019" w:tentative="1">
      <w:start w:val="1"/>
      <w:numFmt w:val="lowerLetter"/>
      <w:lvlText w:val="%8."/>
      <w:lvlJc w:val="left"/>
      <w:pPr>
        <w:ind w:left="5402" w:hanging="360"/>
      </w:pPr>
    </w:lvl>
    <w:lvl w:ilvl="8" w:tplc="280A001B" w:tentative="1">
      <w:start w:val="1"/>
      <w:numFmt w:val="lowerRoman"/>
      <w:lvlText w:val="%9."/>
      <w:lvlJc w:val="right"/>
      <w:pPr>
        <w:ind w:left="6122" w:hanging="180"/>
      </w:pPr>
    </w:lvl>
  </w:abstractNum>
  <w:abstractNum w:abstractNumId="23" w15:restartNumberingAfterBreak="0">
    <w:nsid w:val="68C771CA"/>
    <w:multiLevelType w:val="multilevel"/>
    <w:tmpl w:val="2D4C3C20"/>
    <w:lvl w:ilvl="0">
      <w:start w:val="6"/>
      <w:numFmt w:val="decimal"/>
      <w:lvlText w:val="%1."/>
      <w:lvlJc w:val="left"/>
      <w:pPr>
        <w:ind w:left="360" w:hanging="360"/>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4" w15:restartNumberingAfterBreak="0">
    <w:nsid w:val="7676708B"/>
    <w:multiLevelType w:val="hybridMultilevel"/>
    <w:tmpl w:val="8A708CDE"/>
    <w:lvl w:ilvl="0" w:tplc="280A000F">
      <w:start w:val="1"/>
      <w:numFmt w:val="decimal"/>
      <w:lvlText w:val="%1."/>
      <w:lvlJc w:val="left"/>
      <w:pPr>
        <w:ind w:left="360" w:hanging="360"/>
      </w:pPr>
      <w:rPr>
        <w:rFonts w:hint="default"/>
      </w:rPr>
    </w:lvl>
    <w:lvl w:ilvl="1" w:tplc="280A0019" w:tentative="1">
      <w:start w:val="1"/>
      <w:numFmt w:val="lowerLetter"/>
      <w:lvlText w:val="%2."/>
      <w:lvlJc w:val="left"/>
      <w:pPr>
        <w:ind w:left="1080" w:hanging="360"/>
      </w:pPr>
    </w:lvl>
    <w:lvl w:ilvl="2" w:tplc="280A001B" w:tentative="1">
      <w:start w:val="1"/>
      <w:numFmt w:val="lowerRoman"/>
      <w:lvlText w:val="%3."/>
      <w:lvlJc w:val="right"/>
      <w:pPr>
        <w:ind w:left="1800" w:hanging="180"/>
      </w:pPr>
    </w:lvl>
    <w:lvl w:ilvl="3" w:tplc="280A000F" w:tentative="1">
      <w:start w:val="1"/>
      <w:numFmt w:val="decimal"/>
      <w:lvlText w:val="%4."/>
      <w:lvlJc w:val="left"/>
      <w:pPr>
        <w:ind w:left="2520" w:hanging="360"/>
      </w:pPr>
    </w:lvl>
    <w:lvl w:ilvl="4" w:tplc="280A0019" w:tentative="1">
      <w:start w:val="1"/>
      <w:numFmt w:val="lowerLetter"/>
      <w:lvlText w:val="%5."/>
      <w:lvlJc w:val="left"/>
      <w:pPr>
        <w:ind w:left="3240" w:hanging="360"/>
      </w:pPr>
    </w:lvl>
    <w:lvl w:ilvl="5" w:tplc="280A001B" w:tentative="1">
      <w:start w:val="1"/>
      <w:numFmt w:val="lowerRoman"/>
      <w:lvlText w:val="%6."/>
      <w:lvlJc w:val="right"/>
      <w:pPr>
        <w:ind w:left="3960" w:hanging="180"/>
      </w:pPr>
    </w:lvl>
    <w:lvl w:ilvl="6" w:tplc="280A000F" w:tentative="1">
      <w:start w:val="1"/>
      <w:numFmt w:val="decimal"/>
      <w:lvlText w:val="%7."/>
      <w:lvlJc w:val="left"/>
      <w:pPr>
        <w:ind w:left="4680" w:hanging="360"/>
      </w:pPr>
    </w:lvl>
    <w:lvl w:ilvl="7" w:tplc="280A0019" w:tentative="1">
      <w:start w:val="1"/>
      <w:numFmt w:val="lowerLetter"/>
      <w:lvlText w:val="%8."/>
      <w:lvlJc w:val="left"/>
      <w:pPr>
        <w:ind w:left="5400" w:hanging="360"/>
      </w:pPr>
    </w:lvl>
    <w:lvl w:ilvl="8" w:tplc="280A001B" w:tentative="1">
      <w:start w:val="1"/>
      <w:numFmt w:val="lowerRoman"/>
      <w:lvlText w:val="%9."/>
      <w:lvlJc w:val="right"/>
      <w:pPr>
        <w:ind w:left="6120" w:hanging="180"/>
      </w:pPr>
    </w:lvl>
  </w:abstractNum>
  <w:abstractNum w:abstractNumId="25" w15:restartNumberingAfterBreak="0">
    <w:nsid w:val="77FA0B1F"/>
    <w:multiLevelType w:val="hybridMultilevel"/>
    <w:tmpl w:val="9D30C69C"/>
    <w:lvl w:ilvl="0" w:tplc="280A000F">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6" w15:restartNumberingAfterBreak="0">
    <w:nsid w:val="7EC22469"/>
    <w:multiLevelType w:val="hybridMultilevel"/>
    <w:tmpl w:val="393890B8"/>
    <w:lvl w:ilvl="0" w:tplc="B08EA87C">
      <w:start w:val="1"/>
      <w:numFmt w:val="lowerLetter"/>
      <w:lvlText w:val="%1)"/>
      <w:lvlJc w:val="left"/>
      <w:pPr>
        <w:ind w:left="362" w:hanging="360"/>
      </w:pPr>
      <w:rPr>
        <w:rFonts w:hint="default"/>
      </w:rPr>
    </w:lvl>
    <w:lvl w:ilvl="1" w:tplc="280A0019" w:tentative="1">
      <w:start w:val="1"/>
      <w:numFmt w:val="lowerLetter"/>
      <w:lvlText w:val="%2."/>
      <w:lvlJc w:val="left"/>
      <w:pPr>
        <w:ind w:left="1082" w:hanging="360"/>
      </w:pPr>
    </w:lvl>
    <w:lvl w:ilvl="2" w:tplc="280A001B" w:tentative="1">
      <w:start w:val="1"/>
      <w:numFmt w:val="lowerRoman"/>
      <w:lvlText w:val="%3."/>
      <w:lvlJc w:val="right"/>
      <w:pPr>
        <w:ind w:left="1802" w:hanging="180"/>
      </w:pPr>
    </w:lvl>
    <w:lvl w:ilvl="3" w:tplc="280A000F" w:tentative="1">
      <w:start w:val="1"/>
      <w:numFmt w:val="decimal"/>
      <w:lvlText w:val="%4."/>
      <w:lvlJc w:val="left"/>
      <w:pPr>
        <w:ind w:left="2522" w:hanging="360"/>
      </w:pPr>
    </w:lvl>
    <w:lvl w:ilvl="4" w:tplc="280A0019" w:tentative="1">
      <w:start w:val="1"/>
      <w:numFmt w:val="lowerLetter"/>
      <w:lvlText w:val="%5."/>
      <w:lvlJc w:val="left"/>
      <w:pPr>
        <w:ind w:left="3242" w:hanging="360"/>
      </w:pPr>
    </w:lvl>
    <w:lvl w:ilvl="5" w:tplc="280A001B" w:tentative="1">
      <w:start w:val="1"/>
      <w:numFmt w:val="lowerRoman"/>
      <w:lvlText w:val="%6."/>
      <w:lvlJc w:val="right"/>
      <w:pPr>
        <w:ind w:left="3962" w:hanging="180"/>
      </w:pPr>
    </w:lvl>
    <w:lvl w:ilvl="6" w:tplc="280A000F" w:tentative="1">
      <w:start w:val="1"/>
      <w:numFmt w:val="decimal"/>
      <w:lvlText w:val="%7."/>
      <w:lvlJc w:val="left"/>
      <w:pPr>
        <w:ind w:left="4682" w:hanging="360"/>
      </w:pPr>
    </w:lvl>
    <w:lvl w:ilvl="7" w:tplc="280A0019" w:tentative="1">
      <w:start w:val="1"/>
      <w:numFmt w:val="lowerLetter"/>
      <w:lvlText w:val="%8."/>
      <w:lvlJc w:val="left"/>
      <w:pPr>
        <w:ind w:left="5402" w:hanging="360"/>
      </w:pPr>
    </w:lvl>
    <w:lvl w:ilvl="8" w:tplc="280A001B" w:tentative="1">
      <w:start w:val="1"/>
      <w:numFmt w:val="lowerRoman"/>
      <w:lvlText w:val="%9."/>
      <w:lvlJc w:val="right"/>
      <w:pPr>
        <w:ind w:left="6122" w:hanging="180"/>
      </w:pPr>
    </w:lvl>
  </w:abstractNum>
  <w:num w:numId="1">
    <w:abstractNumId w:val="4"/>
  </w:num>
  <w:num w:numId="2">
    <w:abstractNumId w:val="19"/>
  </w:num>
  <w:num w:numId="3">
    <w:abstractNumId w:val="9"/>
  </w:num>
  <w:num w:numId="4">
    <w:abstractNumId w:val="21"/>
  </w:num>
  <w:num w:numId="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1"/>
  </w:num>
  <w:num w:numId="7">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8"/>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7"/>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22"/>
  </w:num>
  <w:num w:numId="11">
    <w:abstractNumId w:val="26"/>
  </w:num>
  <w:num w:numId="12">
    <w:abstractNumId w:val="14"/>
  </w:num>
  <w:num w:numId="13">
    <w:abstractNumId w:val="24"/>
  </w:num>
  <w:num w:numId="14">
    <w:abstractNumId w:val="12"/>
  </w:num>
  <w:num w:numId="15">
    <w:abstractNumId w:val="13"/>
  </w:num>
  <w:num w:numId="16">
    <w:abstractNumId w:val="23"/>
  </w:num>
  <w:num w:numId="17">
    <w:abstractNumId w:val="10"/>
  </w:num>
  <w:num w:numId="18">
    <w:abstractNumId w:val="20"/>
  </w:num>
  <w:num w:numId="19">
    <w:abstractNumId w:val="7"/>
  </w:num>
  <w:num w:numId="20">
    <w:abstractNumId w:val="16"/>
  </w:num>
  <w:num w:numId="21">
    <w:abstractNumId w:val="25"/>
  </w:num>
  <w:num w:numId="2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2"/>
  </w:num>
  <w:num w:numId="24">
    <w:abstractNumId w:val="0"/>
  </w:num>
  <w:num w:numId="25">
    <w:abstractNumId w:val="18"/>
  </w:num>
  <w:num w:numId="26">
    <w:abstractNumId w:val="5"/>
  </w:num>
  <w:num w:numId="27">
    <w:abstractNumId w:val="6"/>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p14">
  <w:zoom w:percent="100"/>
  <w:proofState w:spelling="clean" w:grammar="dirty"/>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5FBA"/>
    <w:rsid w:val="00007872"/>
    <w:rsid w:val="0001004C"/>
    <w:rsid w:val="000155B3"/>
    <w:rsid w:val="00020318"/>
    <w:rsid w:val="00026017"/>
    <w:rsid w:val="00032526"/>
    <w:rsid w:val="00035CCC"/>
    <w:rsid w:val="00045C71"/>
    <w:rsid w:val="00046046"/>
    <w:rsid w:val="00052190"/>
    <w:rsid w:val="00084E51"/>
    <w:rsid w:val="00087C49"/>
    <w:rsid w:val="00094DDA"/>
    <w:rsid w:val="000A6362"/>
    <w:rsid w:val="000C443A"/>
    <w:rsid w:val="000D2700"/>
    <w:rsid w:val="000D588E"/>
    <w:rsid w:val="000F2C43"/>
    <w:rsid w:val="00103188"/>
    <w:rsid w:val="00131FAD"/>
    <w:rsid w:val="00140C67"/>
    <w:rsid w:val="001454A5"/>
    <w:rsid w:val="001631D6"/>
    <w:rsid w:val="0019100A"/>
    <w:rsid w:val="00195646"/>
    <w:rsid w:val="001A3593"/>
    <w:rsid w:val="001A6663"/>
    <w:rsid w:val="001B5AC4"/>
    <w:rsid w:val="001B6607"/>
    <w:rsid w:val="001C2B16"/>
    <w:rsid w:val="001D01FD"/>
    <w:rsid w:val="001E1429"/>
    <w:rsid w:val="001E6B7D"/>
    <w:rsid w:val="001F004E"/>
    <w:rsid w:val="001F1C40"/>
    <w:rsid w:val="0020442B"/>
    <w:rsid w:val="00233ED8"/>
    <w:rsid w:val="002370F4"/>
    <w:rsid w:val="00281026"/>
    <w:rsid w:val="002A2188"/>
    <w:rsid w:val="002B14D5"/>
    <w:rsid w:val="002D3B64"/>
    <w:rsid w:val="002E35A4"/>
    <w:rsid w:val="002E708C"/>
    <w:rsid w:val="00304A8F"/>
    <w:rsid w:val="00316A1B"/>
    <w:rsid w:val="0032570B"/>
    <w:rsid w:val="003361A7"/>
    <w:rsid w:val="00395B94"/>
    <w:rsid w:val="003977C8"/>
    <w:rsid w:val="003A7726"/>
    <w:rsid w:val="003B46E3"/>
    <w:rsid w:val="003B4770"/>
    <w:rsid w:val="003B5737"/>
    <w:rsid w:val="003E0C15"/>
    <w:rsid w:val="003E140C"/>
    <w:rsid w:val="003E4270"/>
    <w:rsid w:val="003E6BA6"/>
    <w:rsid w:val="00401DE3"/>
    <w:rsid w:val="00417664"/>
    <w:rsid w:val="00417E23"/>
    <w:rsid w:val="004248A1"/>
    <w:rsid w:val="00455A27"/>
    <w:rsid w:val="00467825"/>
    <w:rsid w:val="00477D05"/>
    <w:rsid w:val="004832BF"/>
    <w:rsid w:val="004854D9"/>
    <w:rsid w:val="004A5F55"/>
    <w:rsid w:val="004E50D6"/>
    <w:rsid w:val="004F1C73"/>
    <w:rsid w:val="00516549"/>
    <w:rsid w:val="00531FBE"/>
    <w:rsid w:val="00577AEB"/>
    <w:rsid w:val="0058358B"/>
    <w:rsid w:val="005C5922"/>
    <w:rsid w:val="005D1456"/>
    <w:rsid w:val="005F1349"/>
    <w:rsid w:val="005F148C"/>
    <w:rsid w:val="006024A3"/>
    <w:rsid w:val="00647AEE"/>
    <w:rsid w:val="00651449"/>
    <w:rsid w:val="00691CFB"/>
    <w:rsid w:val="0069382D"/>
    <w:rsid w:val="006A1077"/>
    <w:rsid w:val="006B6FAF"/>
    <w:rsid w:val="006B75CA"/>
    <w:rsid w:val="006D33B8"/>
    <w:rsid w:val="007224F7"/>
    <w:rsid w:val="00734447"/>
    <w:rsid w:val="00742D07"/>
    <w:rsid w:val="007474DB"/>
    <w:rsid w:val="00782489"/>
    <w:rsid w:val="007906A4"/>
    <w:rsid w:val="00791676"/>
    <w:rsid w:val="00793F6A"/>
    <w:rsid w:val="007A3050"/>
    <w:rsid w:val="007B49ED"/>
    <w:rsid w:val="007C2FC5"/>
    <w:rsid w:val="007C3730"/>
    <w:rsid w:val="007D353F"/>
    <w:rsid w:val="00834B23"/>
    <w:rsid w:val="00834DFE"/>
    <w:rsid w:val="00835D6A"/>
    <w:rsid w:val="00852F98"/>
    <w:rsid w:val="00864800"/>
    <w:rsid w:val="00865B73"/>
    <w:rsid w:val="00881041"/>
    <w:rsid w:val="00892A1F"/>
    <w:rsid w:val="008930FB"/>
    <w:rsid w:val="00895FF5"/>
    <w:rsid w:val="008A1DAB"/>
    <w:rsid w:val="008A67AB"/>
    <w:rsid w:val="008B4F97"/>
    <w:rsid w:val="008D0547"/>
    <w:rsid w:val="0092266A"/>
    <w:rsid w:val="00923C62"/>
    <w:rsid w:val="009262B6"/>
    <w:rsid w:val="00934888"/>
    <w:rsid w:val="009767BB"/>
    <w:rsid w:val="00977F56"/>
    <w:rsid w:val="009A7580"/>
    <w:rsid w:val="009B3934"/>
    <w:rsid w:val="009C28AE"/>
    <w:rsid w:val="009C4A1C"/>
    <w:rsid w:val="00A14315"/>
    <w:rsid w:val="00A223FC"/>
    <w:rsid w:val="00A23563"/>
    <w:rsid w:val="00A5654F"/>
    <w:rsid w:val="00A80BAD"/>
    <w:rsid w:val="00A827BD"/>
    <w:rsid w:val="00AC68FA"/>
    <w:rsid w:val="00AC7D5A"/>
    <w:rsid w:val="00AE33DC"/>
    <w:rsid w:val="00AE40BA"/>
    <w:rsid w:val="00B04114"/>
    <w:rsid w:val="00B17F4D"/>
    <w:rsid w:val="00B407AC"/>
    <w:rsid w:val="00B5211F"/>
    <w:rsid w:val="00B60E25"/>
    <w:rsid w:val="00B773DA"/>
    <w:rsid w:val="00B84B2B"/>
    <w:rsid w:val="00B84F66"/>
    <w:rsid w:val="00BA6133"/>
    <w:rsid w:val="00BC6134"/>
    <w:rsid w:val="00BC633A"/>
    <w:rsid w:val="00BD5FD0"/>
    <w:rsid w:val="00C01AB2"/>
    <w:rsid w:val="00C11655"/>
    <w:rsid w:val="00C168CE"/>
    <w:rsid w:val="00C21994"/>
    <w:rsid w:val="00C41210"/>
    <w:rsid w:val="00C52AF0"/>
    <w:rsid w:val="00C81329"/>
    <w:rsid w:val="00C85630"/>
    <w:rsid w:val="00C9752A"/>
    <w:rsid w:val="00CA4FD6"/>
    <w:rsid w:val="00CB451A"/>
    <w:rsid w:val="00CB7C37"/>
    <w:rsid w:val="00CF3742"/>
    <w:rsid w:val="00D128FF"/>
    <w:rsid w:val="00D15C1E"/>
    <w:rsid w:val="00D86E87"/>
    <w:rsid w:val="00D9006E"/>
    <w:rsid w:val="00D92FA2"/>
    <w:rsid w:val="00E06DE2"/>
    <w:rsid w:val="00E1668B"/>
    <w:rsid w:val="00E206AF"/>
    <w:rsid w:val="00E21C09"/>
    <w:rsid w:val="00E35821"/>
    <w:rsid w:val="00E72B86"/>
    <w:rsid w:val="00E908BC"/>
    <w:rsid w:val="00EB0F07"/>
    <w:rsid w:val="00EE20A1"/>
    <w:rsid w:val="00EE5E23"/>
    <w:rsid w:val="00EF4FF0"/>
    <w:rsid w:val="00F029DD"/>
    <w:rsid w:val="00F07649"/>
    <w:rsid w:val="00F1075C"/>
    <w:rsid w:val="00F1515F"/>
    <w:rsid w:val="00F15FBA"/>
    <w:rsid w:val="00F202DC"/>
    <w:rsid w:val="00F42DC6"/>
    <w:rsid w:val="00F465F7"/>
    <w:rsid w:val="00F62606"/>
    <w:rsid w:val="00F71D17"/>
    <w:rsid w:val="00F74CEA"/>
    <w:rsid w:val="00F802EF"/>
    <w:rsid w:val="00F85B78"/>
    <w:rsid w:val="00F97A17"/>
    <w:rsid w:val="00FC2FA6"/>
    <w:rsid w:val="0C31D992"/>
    <w:rsid w:val="131AD508"/>
    <w:rsid w:val="14D82A60"/>
    <w:rsid w:val="171C1841"/>
    <w:rsid w:val="1ACCF120"/>
    <w:rsid w:val="21CB6B92"/>
    <w:rsid w:val="2605504E"/>
    <w:rsid w:val="2790264D"/>
    <w:rsid w:val="3A03A3D7"/>
    <w:rsid w:val="3F838982"/>
    <w:rsid w:val="4174E2A2"/>
    <w:rsid w:val="424A3265"/>
    <w:rsid w:val="4F7A1CBD"/>
    <w:rsid w:val="5917BDFB"/>
    <w:rsid w:val="5C9A34EB"/>
    <w:rsid w:val="7D87E0B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E208CC"/>
  <w15:chartTrackingRefBased/>
  <w15:docId w15:val="{28E6ABE7-3915-42AC-BE5C-AA8C5B386338}"/>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31FBE"/>
    <w:pPr>
      <w:spacing w:after="0" w:line="240" w:lineRule="auto"/>
    </w:pPr>
    <w:rPr>
      <w:rFonts w:ascii="Times New Roman" w:hAnsi="Times New Roman" w:eastAsia="Times New Roman" w:cs="Times New Roman"/>
      <w:sz w:val="24"/>
      <w:szCs w:val="24"/>
      <w:lang w:val="es-ES" w:eastAsia="es-ES"/>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Ttulo">
    <w:name w:val="Title"/>
    <w:basedOn w:val="Normal"/>
    <w:link w:val="TtuloCar"/>
    <w:qFormat/>
    <w:rsid w:val="00F15FBA"/>
    <w:pPr>
      <w:jc w:val="center"/>
    </w:pPr>
    <w:rPr>
      <w:b/>
      <w:bCs/>
      <w:lang w:val="es-MX"/>
    </w:rPr>
  </w:style>
  <w:style w:type="character" w:styleId="TtuloCar" w:customStyle="1">
    <w:name w:val="Título Car"/>
    <w:basedOn w:val="Fuentedeprrafopredeter"/>
    <w:link w:val="Ttulo"/>
    <w:rsid w:val="00F15FBA"/>
    <w:rPr>
      <w:rFonts w:ascii="Times New Roman" w:hAnsi="Times New Roman" w:eastAsia="Times New Roman" w:cs="Times New Roman"/>
      <w:b/>
      <w:bCs/>
      <w:sz w:val="24"/>
      <w:szCs w:val="24"/>
      <w:lang w:val="es-MX" w:eastAsia="es-ES"/>
    </w:rPr>
  </w:style>
  <w:style w:type="character" w:styleId="Textoennegrita">
    <w:name w:val="Strong"/>
    <w:qFormat/>
    <w:rsid w:val="00F15FBA"/>
    <w:rPr>
      <w:b/>
      <w:bCs/>
    </w:rPr>
  </w:style>
  <w:style w:type="paragraph" w:styleId="Prrafodelista">
    <w:name w:val="List Paragraph"/>
    <w:aliases w:val="Number List 1"/>
    <w:basedOn w:val="Normal"/>
    <w:link w:val="PrrafodelistaCar"/>
    <w:uiPriority w:val="34"/>
    <w:qFormat/>
    <w:rsid w:val="00F15FBA"/>
    <w:pPr>
      <w:ind w:left="720"/>
      <w:contextualSpacing/>
    </w:pPr>
  </w:style>
  <w:style w:type="paragraph" w:styleId="NormalWeb">
    <w:name w:val="Normal (Web)"/>
    <w:basedOn w:val="Normal"/>
    <w:uiPriority w:val="99"/>
    <w:unhideWhenUsed/>
    <w:rsid w:val="00F15FBA"/>
    <w:pPr>
      <w:spacing w:before="100" w:beforeAutospacing="1" w:after="100" w:afterAutospacing="1"/>
    </w:pPr>
  </w:style>
  <w:style w:type="paragraph" w:styleId="Textonotaalfinal">
    <w:name w:val="endnote text"/>
    <w:basedOn w:val="Normal"/>
    <w:link w:val="TextonotaalfinalCar"/>
    <w:uiPriority w:val="99"/>
    <w:semiHidden/>
    <w:unhideWhenUsed/>
    <w:rsid w:val="005F148C"/>
    <w:rPr>
      <w:sz w:val="20"/>
      <w:szCs w:val="20"/>
    </w:rPr>
  </w:style>
  <w:style w:type="character" w:styleId="TextonotaalfinalCar" w:customStyle="1">
    <w:name w:val="Texto nota al final Car"/>
    <w:basedOn w:val="Fuentedeprrafopredeter"/>
    <w:link w:val="Textonotaalfinal"/>
    <w:uiPriority w:val="99"/>
    <w:semiHidden/>
    <w:rsid w:val="005F148C"/>
    <w:rPr>
      <w:rFonts w:ascii="Times New Roman" w:hAnsi="Times New Roman" w:eastAsia="Times New Roman" w:cs="Times New Roman"/>
      <w:sz w:val="20"/>
      <w:szCs w:val="20"/>
      <w:lang w:val="es-ES" w:eastAsia="es-ES"/>
    </w:rPr>
  </w:style>
  <w:style w:type="character" w:styleId="Refdenotaalfinal">
    <w:name w:val="endnote reference"/>
    <w:basedOn w:val="Fuentedeprrafopredeter"/>
    <w:uiPriority w:val="99"/>
    <w:semiHidden/>
    <w:unhideWhenUsed/>
    <w:rsid w:val="005F148C"/>
    <w:rPr>
      <w:vertAlign w:val="superscript"/>
    </w:rPr>
  </w:style>
  <w:style w:type="paragraph" w:styleId="Textonotapie">
    <w:name w:val="footnote text"/>
    <w:basedOn w:val="Normal"/>
    <w:link w:val="TextonotapieCar"/>
    <w:uiPriority w:val="99"/>
    <w:semiHidden/>
    <w:unhideWhenUsed/>
    <w:rsid w:val="005F148C"/>
    <w:rPr>
      <w:sz w:val="20"/>
      <w:szCs w:val="20"/>
    </w:rPr>
  </w:style>
  <w:style w:type="character" w:styleId="TextonotapieCar" w:customStyle="1">
    <w:name w:val="Texto nota pie Car"/>
    <w:basedOn w:val="Fuentedeprrafopredeter"/>
    <w:link w:val="Textonotapie"/>
    <w:uiPriority w:val="99"/>
    <w:semiHidden/>
    <w:rsid w:val="005F148C"/>
    <w:rPr>
      <w:rFonts w:ascii="Times New Roman" w:hAnsi="Times New Roman" w:eastAsia="Times New Roman" w:cs="Times New Roman"/>
      <w:sz w:val="20"/>
      <w:szCs w:val="20"/>
      <w:lang w:val="es-ES" w:eastAsia="es-ES"/>
    </w:rPr>
  </w:style>
  <w:style w:type="character" w:styleId="Refdenotaalpie">
    <w:name w:val="footnote reference"/>
    <w:basedOn w:val="Fuentedeprrafopredeter"/>
    <w:uiPriority w:val="99"/>
    <w:semiHidden/>
    <w:unhideWhenUsed/>
    <w:rsid w:val="005F148C"/>
    <w:rPr>
      <w:vertAlign w:val="superscript"/>
    </w:rPr>
  </w:style>
  <w:style w:type="paragraph" w:styleId="Encabezado">
    <w:name w:val="header"/>
    <w:basedOn w:val="Normal"/>
    <w:link w:val="EncabezadoCar"/>
    <w:uiPriority w:val="99"/>
    <w:unhideWhenUsed/>
    <w:rsid w:val="001631D6"/>
    <w:pPr>
      <w:tabs>
        <w:tab w:val="center" w:pos="4252"/>
        <w:tab w:val="right" w:pos="8504"/>
      </w:tabs>
    </w:pPr>
  </w:style>
  <w:style w:type="character" w:styleId="EncabezadoCar" w:customStyle="1">
    <w:name w:val="Encabezado Car"/>
    <w:basedOn w:val="Fuentedeprrafopredeter"/>
    <w:link w:val="Encabezado"/>
    <w:uiPriority w:val="99"/>
    <w:rsid w:val="001631D6"/>
    <w:rPr>
      <w:rFonts w:ascii="Times New Roman" w:hAnsi="Times New Roman" w:eastAsia="Times New Roman" w:cs="Times New Roman"/>
      <w:sz w:val="24"/>
      <w:szCs w:val="24"/>
      <w:lang w:val="es-ES" w:eastAsia="es-ES"/>
    </w:rPr>
  </w:style>
  <w:style w:type="paragraph" w:styleId="Piedepgina">
    <w:name w:val="footer"/>
    <w:basedOn w:val="Normal"/>
    <w:link w:val="PiedepginaCar"/>
    <w:uiPriority w:val="99"/>
    <w:unhideWhenUsed/>
    <w:rsid w:val="001631D6"/>
    <w:pPr>
      <w:tabs>
        <w:tab w:val="center" w:pos="4252"/>
        <w:tab w:val="right" w:pos="8504"/>
      </w:tabs>
    </w:pPr>
  </w:style>
  <w:style w:type="character" w:styleId="PiedepginaCar" w:customStyle="1">
    <w:name w:val="Pie de página Car"/>
    <w:basedOn w:val="Fuentedeprrafopredeter"/>
    <w:link w:val="Piedepgina"/>
    <w:uiPriority w:val="99"/>
    <w:rsid w:val="001631D6"/>
    <w:rPr>
      <w:rFonts w:ascii="Times New Roman" w:hAnsi="Times New Roman" w:eastAsia="Times New Roman" w:cs="Times New Roman"/>
      <w:sz w:val="24"/>
      <w:szCs w:val="24"/>
      <w:lang w:val="es-ES" w:eastAsia="es-ES"/>
    </w:rPr>
  </w:style>
  <w:style w:type="paragraph" w:styleId="Sinespaciado">
    <w:name w:val="No Spacing"/>
    <w:uiPriority w:val="1"/>
    <w:qFormat/>
    <w:rsid w:val="003E6BA6"/>
    <w:pPr>
      <w:spacing w:after="0" w:line="240" w:lineRule="auto"/>
    </w:pPr>
    <w:rPr>
      <w:lang w:val="es-PE"/>
    </w:rPr>
  </w:style>
  <w:style w:type="character" w:styleId="Hipervnculo">
    <w:name w:val="Hyperlink"/>
    <w:basedOn w:val="Fuentedeprrafopredeter"/>
    <w:uiPriority w:val="99"/>
    <w:unhideWhenUsed/>
    <w:rsid w:val="00F62606"/>
    <w:rPr>
      <w:color w:val="0563C1" w:themeColor="hyperlink"/>
      <w:u w:val="single"/>
    </w:rPr>
  </w:style>
  <w:style w:type="paragraph" w:styleId="paragraph" w:customStyle="1">
    <w:name w:val="paragraph"/>
    <w:basedOn w:val="Normal"/>
    <w:rsid w:val="006024A3"/>
    <w:pPr>
      <w:spacing w:before="100" w:beforeAutospacing="1" w:after="100" w:afterAutospacing="1"/>
    </w:pPr>
    <w:rPr>
      <w:lang w:val="es-MX" w:eastAsia="es-MX"/>
    </w:rPr>
  </w:style>
  <w:style w:type="character" w:styleId="normaltextrun" w:customStyle="1">
    <w:name w:val="normaltextrun"/>
    <w:basedOn w:val="Fuentedeprrafopredeter"/>
    <w:rsid w:val="006024A3"/>
  </w:style>
  <w:style w:type="character" w:styleId="eop" w:customStyle="1">
    <w:name w:val="eop"/>
    <w:basedOn w:val="Fuentedeprrafopredeter"/>
    <w:rsid w:val="006024A3"/>
  </w:style>
  <w:style w:type="character" w:styleId="PrrafodelistaCar" w:customStyle="1">
    <w:name w:val="Párrafo de lista Car"/>
    <w:aliases w:val="Number List 1 Car"/>
    <w:link w:val="Prrafodelista"/>
    <w:uiPriority w:val="34"/>
    <w:rsid w:val="003A7726"/>
    <w:rPr>
      <w:rFonts w:ascii="Times New Roman" w:hAnsi="Times New Roman" w:eastAsia="Times New Roman" w:cs="Times New Roman"/>
      <w:sz w:val="24"/>
      <w:szCs w:val="24"/>
      <w:lang w:val="es-ES" w:eastAsia="es-ES"/>
    </w:rPr>
  </w:style>
  <w:style w:type="paragraph" w:styleId="Default" w:customStyle="1">
    <w:name w:val="Default"/>
    <w:rsid w:val="00C01AB2"/>
    <w:pPr>
      <w:autoSpaceDE w:val="0"/>
      <w:autoSpaceDN w:val="0"/>
      <w:adjustRightInd w:val="0"/>
      <w:spacing w:after="0" w:line="240" w:lineRule="auto"/>
    </w:pPr>
    <w:rPr>
      <w:rFonts w:ascii="Arial" w:hAnsi="Arial" w:cs="Arial"/>
      <w:color w:val="000000"/>
      <w:sz w:val="24"/>
      <w:szCs w:val="24"/>
      <w:lang w:val="es-PE"/>
    </w:rPr>
  </w:style>
  <w:style w:type="character" w:styleId="Mencinsinresolver">
    <w:name w:val="Unresolved Mention"/>
    <w:basedOn w:val="Fuentedeprrafopredeter"/>
    <w:uiPriority w:val="99"/>
    <w:semiHidden/>
    <w:unhideWhenUsed/>
    <w:rsid w:val="00045C71"/>
    <w:rPr>
      <w:color w:val="605E5C"/>
      <w:shd w:val="clear" w:color="auto" w:fill="E1DFDD"/>
    </w:rPr>
  </w:style>
  <w:style w:type="paragraph" w:styleId="xmsonormal" w:customStyle="1">
    <w:name w:val="x_msonormal"/>
    <w:basedOn w:val="Normal"/>
    <w:rsid w:val="003E4270"/>
    <w:rPr>
      <w:rFonts w:ascii="Calibri" w:hAnsi="Calibri" w:cs="Calibri" w:eastAsiaTheme="minorHAnsi"/>
      <w:sz w:val="22"/>
      <w:szCs w:val="22"/>
      <w:lang w:val="es-PE" w:eastAsia="es-P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57959511">
      <w:bodyDiv w:val="1"/>
      <w:marLeft w:val="0"/>
      <w:marRight w:val="0"/>
      <w:marTop w:val="0"/>
      <w:marBottom w:val="0"/>
      <w:divBdr>
        <w:top w:val="none" w:sz="0" w:space="0" w:color="auto"/>
        <w:left w:val="none" w:sz="0" w:space="0" w:color="auto"/>
        <w:bottom w:val="none" w:sz="0" w:space="0" w:color="auto"/>
        <w:right w:val="none" w:sz="0" w:space="0" w:color="auto"/>
      </w:divBdr>
    </w:div>
    <w:div w:id="1752584430">
      <w:bodyDiv w:val="1"/>
      <w:marLeft w:val="0"/>
      <w:marRight w:val="0"/>
      <w:marTop w:val="0"/>
      <w:marBottom w:val="0"/>
      <w:divBdr>
        <w:top w:val="none" w:sz="0" w:space="0" w:color="auto"/>
        <w:left w:val="none" w:sz="0" w:space="0" w:color="auto"/>
        <w:bottom w:val="none" w:sz="0" w:space="0" w:color="auto"/>
        <w:right w:val="none" w:sz="0" w:space="0" w:color="auto"/>
      </w:divBdr>
    </w:div>
    <w:div w:id="21098141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customXml" Target="../customXml/item4.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customXml" Target="../customXml/item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165C6F5-1957-4209-835A-9C1861313F84}">
  <ds:schemaRefs>
    <ds:schemaRef ds:uri="http://schemas.openxmlformats.org/officeDocument/2006/bibliography"/>
  </ds:schemaRefs>
</ds:datastoreItem>
</file>

<file path=customXml/itemProps2.xml><?xml version="1.0" encoding="utf-8"?>
<ds:datastoreItem xmlns:ds="http://schemas.openxmlformats.org/officeDocument/2006/customXml" ds:itemID="{8835561C-55F9-4F23-BDDC-D06C4249685D}"/>
</file>

<file path=customXml/itemProps3.xml><?xml version="1.0" encoding="utf-8"?>
<ds:datastoreItem xmlns:ds="http://schemas.openxmlformats.org/officeDocument/2006/customXml" ds:itemID="{742C0E69-0CE8-4CE4-9938-A17176950E3B}"/>
</file>

<file path=customXml/itemProps4.xml><?xml version="1.0" encoding="utf-8"?>
<ds:datastoreItem xmlns:ds="http://schemas.openxmlformats.org/officeDocument/2006/customXml" ds:itemID="{DD359F3E-6C56-4859-9FA0-2D1981698720}"/>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Eugenia Valdez</dc:creator>
  <cp:keywords/>
  <dc:description/>
  <cp:lastModifiedBy>dserna@apeseg.org.pe</cp:lastModifiedBy>
  <cp:revision>62</cp:revision>
  <cp:lastPrinted>2021-07-26T12:16:00Z</cp:lastPrinted>
  <dcterms:created xsi:type="dcterms:W3CDTF">2020-12-18T20:09:00Z</dcterms:created>
  <dcterms:modified xsi:type="dcterms:W3CDTF">2026-01-15T21:01:05Z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