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C7958" w:rsidR="00F15FBA" w:rsidP="00026017" w:rsidRDefault="00F15FBA" w14:paraId="6EF5AEAB" w14:textId="1E670AD5">
      <w:pPr>
        <w:pStyle w:val="Ttulo"/>
        <w:outlineLvl w:val="0"/>
        <w:rPr>
          <w:lang w:val="es-PE"/>
        </w:rPr>
      </w:pPr>
      <w:r w:rsidRPr="00DC7958">
        <w:rPr>
          <w:lang w:val="es-PE"/>
        </w:rPr>
        <w:t xml:space="preserve">RESOLUCIÓN </w:t>
      </w:r>
      <w:proofErr w:type="spellStart"/>
      <w:r w:rsidRPr="00DC7958">
        <w:rPr>
          <w:lang w:val="es-PE"/>
        </w:rPr>
        <w:t>N</w:t>
      </w:r>
      <w:r w:rsidRPr="00DC7958" w:rsidR="001631D6">
        <w:rPr>
          <w:lang w:val="es-PE"/>
        </w:rPr>
        <w:t>°</w:t>
      </w:r>
      <w:proofErr w:type="spellEnd"/>
      <w:r w:rsidRPr="00DC7958" w:rsidR="001631D6">
        <w:rPr>
          <w:lang w:val="es-PE"/>
        </w:rPr>
        <w:t xml:space="preserve"> </w:t>
      </w:r>
      <w:r w:rsidRPr="00DC7958" w:rsidR="003E6BA6">
        <w:rPr>
          <w:lang w:val="es-PE"/>
        </w:rPr>
        <w:t>0</w:t>
      </w:r>
      <w:r w:rsidRPr="00DC7958" w:rsidR="004832BF">
        <w:rPr>
          <w:lang w:val="es-PE"/>
        </w:rPr>
        <w:t>9</w:t>
      </w:r>
      <w:r w:rsidRPr="00DC7958" w:rsidR="00DC7958">
        <w:rPr>
          <w:lang w:val="es-PE"/>
        </w:rPr>
        <w:t>6</w:t>
      </w:r>
      <w:r w:rsidRPr="00DC7958" w:rsidR="001631D6">
        <w:rPr>
          <w:lang w:val="es-PE"/>
        </w:rPr>
        <w:t>/2</w:t>
      </w:r>
      <w:r w:rsidRPr="00DC7958" w:rsidR="003E6BA6">
        <w:rPr>
          <w:lang w:val="es-PE"/>
        </w:rPr>
        <w:t>1</w:t>
      </w:r>
    </w:p>
    <w:p w:rsidRPr="00DC7958" w:rsidR="00DC7958" w:rsidP="00DC7958" w:rsidRDefault="00DC7958" w14:paraId="002BB58B" w14:textId="581A2C8E">
      <w:pPr>
        <w:rPr>
          <w:b/>
        </w:rPr>
      </w:pPr>
      <w:r w:rsidRPr="00DC7958">
        <w:rPr>
          <w:b/>
        </w:rPr>
        <w:t>VISTOS:</w:t>
      </w:r>
    </w:p>
    <w:p w:rsidRPr="00DC7958" w:rsidR="00DC7958" w:rsidP="00DC7958" w:rsidRDefault="00DC7958" w14:paraId="7F2C2D02" w14:textId="77777777">
      <w:pPr>
        <w:rPr>
          <w:b/>
          <w:lang w:val="es-PE" w:eastAsia="en-US"/>
        </w:rPr>
      </w:pPr>
    </w:p>
    <w:p w:rsidRPr="00DC7958" w:rsidR="00DC7958" w:rsidP="00DC7958" w:rsidRDefault="00DC7958" w14:paraId="27E047B3" w14:textId="7C55C506">
      <w:pPr>
        <w:jc w:val="both"/>
      </w:pPr>
      <w:r w:rsidR="00DC7958">
        <w:rPr/>
        <w:t xml:space="preserve">La reclamación presentada ante esta Defensoría del Asegurado (DEFASEG) por </w:t>
      </w:r>
      <w:r w:rsidRPr="3005A7C8" w:rsidR="4CFFFAFD">
        <w:rPr>
          <w:b w:val="1"/>
          <w:bCs w:val="1"/>
          <w:lang w:val="es-MX"/>
        </w:rPr>
        <w:t>...........................................................................................</w:t>
      </w:r>
      <w:r w:rsidRPr="3005A7C8" w:rsidR="00DC7958">
        <w:rPr>
          <w:b w:val="1"/>
          <w:bCs w:val="1"/>
          <w:lang w:val="es-MX"/>
        </w:rPr>
        <w:t xml:space="preserve"> </w:t>
      </w:r>
      <w:r w:rsidR="00DC7958">
        <w:rPr/>
        <w:t xml:space="preserve">contra </w:t>
      </w:r>
      <w:r w:rsidRPr="3005A7C8" w:rsidR="55B7275F">
        <w:rPr>
          <w:b w:val="1"/>
          <w:bCs w:val="1"/>
          <w:lang w:val="es-MX"/>
        </w:rPr>
        <w:t>.....................................</w:t>
      </w:r>
      <w:r w:rsidRPr="3005A7C8" w:rsidR="00DC7958">
        <w:rPr>
          <w:b w:val="1"/>
          <w:bCs w:val="1"/>
          <w:lang w:val="es-MX"/>
        </w:rPr>
        <w:t xml:space="preserve"> </w:t>
      </w:r>
      <w:r w:rsidR="00DC7958">
        <w:rPr/>
        <w:t xml:space="preserve">en la que solicita se </w:t>
      </w:r>
      <w:r w:rsidR="00DC7958">
        <w:rPr/>
        <w:t>de</w:t>
      </w:r>
      <w:r w:rsidR="00DC7958">
        <w:rPr/>
        <w:t xml:space="preserve"> cobertura al siniestro de la unidad asegurada conforme al de robo del </w:t>
      </w:r>
      <w:r w:rsidRPr="3005A7C8" w:rsidR="00DC7958">
        <w:rPr>
          <w:b w:val="1"/>
          <w:bCs w:val="1"/>
          <w:lang w:val="es-MX"/>
        </w:rPr>
        <w:t xml:space="preserve">SEGURO VEHICULAR - PÓLIZA No </w:t>
      </w:r>
      <w:r w:rsidRPr="3005A7C8" w:rsidR="0BD22814">
        <w:rPr>
          <w:b w:val="1"/>
          <w:bCs w:val="1"/>
          <w:lang w:val="es-MX"/>
        </w:rPr>
        <w:t>................................</w:t>
      </w:r>
      <w:r w:rsidR="00DC7958">
        <w:rPr/>
        <w:t>;</w:t>
      </w:r>
    </w:p>
    <w:p w:rsidRPr="00DC7958" w:rsidR="00DC7958" w:rsidP="00DC7958" w:rsidRDefault="00DC7958" w14:paraId="7171F600" w14:textId="77777777">
      <w:pPr>
        <w:jc w:val="both"/>
      </w:pPr>
    </w:p>
    <w:p w:rsidRPr="00DC7958" w:rsidR="00DC7958" w:rsidP="00DC7958" w:rsidRDefault="00DC7958" w14:paraId="622B6C54" w14:textId="30C46570">
      <w:pPr>
        <w:jc w:val="both"/>
        <w:rPr>
          <w:rFonts w:eastAsia="Arial Unicode MS"/>
        </w:rPr>
      </w:pPr>
      <w:r w:rsidRPr="00DC7958">
        <w:rPr>
          <w:rFonts w:eastAsia="Arial Unicode MS"/>
        </w:rPr>
        <w:t>Que, la señalada reclamación cumple con los requisitos de materia, cuantía y oportunidad establecidos en el Reglamento de la DEFASEG (</w:t>
      </w:r>
      <w:hyperlink w:history="1" r:id="rId8">
        <w:r w:rsidRPr="00DC7958">
          <w:rPr>
            <w:rStyle w:val="Hipervnculo"/>
            <w:rFonts w:eastAsia="Arial Unicode MS"/>
          </w:rPr>
          <w:t>http://www.defaseg.com.pe/reglamento</w:t>
        </w:r>
      </w:hyperlink>
      <w:r w:rsidRPr="00DC7958">
        <w:rPr>
          <w:rFonts w:eastAsia="Arial Unicode MS"/>
        </w:rPr>
        <w:t>);</w:t>
      </w:r>
    </w:p>
    <w:p w:rsidRPr="00DC7958" w:rsidR="00DC7958" w:rsidP="00DC7958" w:rsidRDefault="00DC7958" w14:paraId="18E08581" w14:textId="77777777">
      <w:pPr>
        <w:jc w:val="both"/>
        <w:rPr>
          <w:rFonts w:eastAsia="Arial Unicode MS"/>
        </w:rPr>
      </w:pPr>
    </w:p>
    <w:p w:rsidRPr="00DC7958" w:rsidR="00DC7958" w:rsidP="00DC7958" w:rsidRDefault="00DC7958" w14:paraId="36E7B3A0" w14:textId="7FFBE6EF">
      <w:pPr>
        <w:tabs>
          <w:tab w:val="num" w:pos="720"/>
        </w:tabs>
        <w:jc w:val="both"/>
      </w:pPr>
      <w:r w:rsidR="00DC7958">
        <w:rPr/>
        <w:t xml:space="preserve">Que, habiéndosele corrido traslado de la respectiva reclamación, </w:t>
      </w:r>
      <w:r w:rsidR="612D25E7">
        <w:rPr/>
        <w:t>...................</w:t>
      </w:r>
      <w:r w:rsidR="00DC7958">
        <w:rPr/>
        <w:t xml:space="preserve">   cumplió con presentar sus respectivos descargos y la documentación solicitada;</w:t>
      </w:r>
    </w:p>
    <w:p w:rsidRPr="00DC7958" w:rsidR="00DC7958" w:rsidP="00DC7958" w:rsidRDefault="00DC7958" w14:paraId="14C90455" w14:textId="77777777">
      <w:pPr>
        <w:tabs>
          <w:tab w:val="num" w:pos="720"/>
        </w:tabs>
        <w:jc w:val="both"/>
        <w:rPr>
          <w:rFonts w:eastAsia="Calibri"/>
        </w:rPr>
      </w:pPr>
    </w:p>
    <w:p w:rsidRPr="00DC7958" w:rsidR="00DC7958" w:rsidP="00DC7958" w:rsidRDefault="00DC7958" w14:paraId="71E2C42F" w14:textId="7EB7DFEE">
      <w:pPr>
        <w:tabs>
          <w:tab w:val="num" w:pos="720"/>
        </w:tabs>
        <w:jc w:val="both"/>
      </w:pPr>
      <w:r w:rsidRPr="00DC7958">
        <w:t>Que, el 7 de junio de 2021 se realizó la audiencia de vista virtual con la participación de las partes, las que tuvieron oportunidad de exponer su posición tratándose de la materia reclamada, absolviendo las diversas preguntas que les fueron formuladas;</w:t>
      </w:r>
    </w:p>
    <w:p w:rsidRPr="00DC7958" w:rsidR="00DC7958" w:rsidP="00DC7958" w:rsidRDefault="00DC7958" w14:paraId="6F16B05C" w14:textId="77777777">
      <w:pPr>
        <w:tabs>
          <w:tab w:val="num" w:pos="720"/>
        </w:tabs>
        <w:jc w:val="both"/>
      </w:pPr>
    </w:p>
    <w:p w:rsidRPr="00DC7958" w:rsidR="00DC7958" w:rsidP="00DC7958" w:rsidRDefault="00DC7958" w14:paraId="238D2EB8" w14:textId="2B71E8B1">
      <w:pPr>
        <w:jc w:val="both"/>
      </w:pPr>
      <w:r w:rsidR="00DC7958">
        <w:rPr/>
        <w:t>Que, la reclamación se sustenta considerando los antecedentes y fundamentos enunciados resumidamente a continuación: (1)</w:t>
      </w:r>
      <w:r w:rsidRPr="3005A7C8" w:rsidR="00DC7958">
        <w:rPr>
          <w:lang w:val="es-MX"/>
        </w:rPr>
        <w:t xml:space="preserve"> el</w:t>
      </w:r>
      <w:r w:rsidR="00DC7958">
        <w:rPr/>
        <w:t xml:space="preserve"> 27 de diciembre 2018 el Banco de Crédito del Perú (BCP) le otorgó un crédito vehicular a su favor. Para el desembolso del dinero; el banco exigió la contratación de un seguro vehicular, por lo que se </w:t>
      </w:r>
      <w:r w:rsidR="00DC7958">
        <w:rPr/>
        <w:t>se</w:t>
      </w:r>
      <w:r w:rsidR="00DC7958">
        <w:rPr/>
        <w:t xml:space="preserve"> contrató a </w:t>
      </w:r>
      <w:r w:rsidR="612D25E7">
        <w:rPr/>
        <w:t>...................</w:t>
      </w:r>
      <w:r w:rsidR="00DC7958">
        <w:rPr/>
        <w:t xml:space="preserve">; (2) renovó nuevamente la póliza con </w:t>
      </w:r>
      <w:r w:rsidR="612D25E7">
        <w:rPr/>
        <w:t>...................</w:t>
      </w:r>
      <w:r w:rsidR="00DC7958">
        <w:rPr/>
        <w:t xml:space="preserve"> el año siguiente, lo que también vine pagándola puntualmente; (3) explica que el banco se atribuyó a cargarle una póliza arbitrariamente con Pacifico Seguros. Lo que informó a </w:t>
      </w:r>
      <w:r w:rsidR="612D25E7">
        <w:rPr/>
        <w:t>...................</w:t>
      </w:r>
      <w:r w:rsidR="00DC7958">
        <w:rPr/>
        <w:t xml:space="preserve"> para ver qué gestiones debería proceder; (4) el BCP negó la póliza de </w:t>
      </w:r>
      <w:r w:rsidR="612D25E7">
        <w:rPr/>
        <w:t>...................</w:t>
      </w:r>
      <w:r w:rsidR="00DC7958">
        <w:rPr/>
        <w:t xml:space="preserve"> y le cargo una propia a conveniencias del mismo banco con altos intereses y costos; (5) contaba con dos pólizas las cuales se le estaban cobrando (en paralelo una pagaba a </w:t>
      </w:r>
      <w:r w:rsidR="612D25E7">
        <w:rPr/>
        <w:t>...................</w:t>
      </w:r>
      <w:r w:rsidR="00DC7958">
        <w:rPr/>
        <w:t xml:space="preserve"> y otra a </w:t>
      </w:r>
      <w:r w:rsidR="57EB9B6E">
        <w:rPr/>
        <w:t>....................</w:t>
      </w:r>
      <w:r w:rsidR="00DC7958">
        <w:rPr/>
        <w:t xml:space="preserve">); (6) se le cobró por parte de </w:t>
      </w:r>
      <w:r w:rsidR="612D25E7">
        <w:rPr/>
        <w:t>...................</w:t>
      </w:r>
      <w:r w:rsidR="00DC7958">
        <w:rPr/>
        <w:t xml:space="preserve"> un seguro que hoy no está cumpliendo y no estaría faltándose al artículo 88 de la Ley del Contrato de Seguro; (7) sufrió el robo de la unidad asegurada, y reconoce que Pacifico se hizo responsable de siniestro, pero al hacer el pago de la indemnización, este fue directo al banco; y el banco cobro todo lo que pudo del crédito; (8) Solicita que </w:t>
      </w:r>
      <w:r w:rsidR="612D25E7">
        <w:rPr/>
        <w:t>...................</w:t>
      </w:r>
      <w:r w:rsidR="00DC7958">
        <w:rPr/>
        <w:t xml:space="preserve"> cumpla con la póliza que también le cobro. </w:t>
      </w:r>
    </w:p>
    <w:p w:rsidRPr="00DC7958" w:rsidR="00DC7958" w:rsidP="00DC7958" w:rsidRDefault="00DC7958" w14:paraId="32992D5C" w14:textId="77777777">
      <w:pPr>
        <w:jc w:val="both"/>
      </w:pPr>
    </w:p>
    <w:p w:rsidRPr="00DC7958" w:rsidR="00DC7958" w:rsidP="00DC7958" w:rsidRDefault="00DC7958" w14:paraId="7A461531" w14:textId="20516428">
      <w:pPr>
        <w:jc w:val="both"/>
        <w:rPr>
          <w:lang w:eastAsia="es-PE"/>
        </w:rPr>
      </w:pPr>
      <w:r w:rsidR="00DC7958">
        <w:rPr/>
        <w:t xml:space="preserve">Que, por su parte, </w:t>
      </w:r>
      <w:r w:rsidR="612D25E7">
        <w:rPr/>
        <w:t>...................</w:t>
      </w:r>
      <w:r w:rsidR="00DC7958">
        <w:rPr/>
        <w:t xml:space="preserve"> solicita que la reclamación sea declarada infundada, atendiendo resumidamente a lo siguiente: (1)</w:t>
      </w:r>
      <w:r w:rsidRPr="3005A7C8" w:rsidR="00DC7958">
        <w:rPr>
          <w:lang w:val="es-MX"/>
        </w:rPr>
        <w:t xml:space="preserve"> </w:t>
      </w:r>
      <w:r w:rsidR="00DC7958">
        <w:rPr/>
        <w:t xml:space="preserve">el rechazo de cobertura del siniestro a la unidad asegurada es debido a que </w:t>
      </w:r>
      <w:r w:rsidRPr="3005A7C8" w:rsidR="00DC7958">
        <w:rPr>
          <w:color w:val="000000" w:themeColor="text1" w:themeTint="FF" w:themeShade="FF"/>
          <w:lang w:eastAsia="es-PE"/>
        </w:rPr>
        <w:t xml:space="preserve">la pérdida reportada ya habría sido resarcida en su totalidad por la Compañía de </w:t>
      </w:r>
      <w:r w:rsidRPr="3005A7C8" w:rsidR="024B0DFF">
        <w:rPr>
          <w:color w:val="000000" w:themeColor="text1" w:themeTint="FF" w:themeShade="FF"/>
          <w:lang w:eastAsia="es-PE"/>
        </w:rPr>
        <w:t>.................................</w:t>
      </w:r>
      <w:r w:rsidRPr="3005A7C8" w:rsidR="00DC7958">
        <w:rPr>
          <w:color w:val="000000" w:themeColor="text1" w:themeTint="FF" w:themeShade="FF"/>
          <w:lang w:eastAsia="es-PE"/>
        </w:rPr>
        <w:t xml:space="preserve">, con quien también tenía contratada una póliza vehicular, es decir, se habría configurado una pluralidad de seguros; (2) </w:t>
      </w:r>
      <w:r w:rsidR="00DC7958">
        <w:rPr/>
        <w:t>la Ley del Contrato de Seguro en su artículo 88 establece que “</w:t>
      </w:r>
      <w:r w:rsidRPr="3005A7C8" w:rsidR="00DC7958">
        <w:rPr>
          <w:i w:val="1"/>
          <w:iCs w:val="1"/>
        </w:rPr>
        <w:t>el contratante que asegura el mismo interés y el mismo riesgo con más de un asegurador, debe notificar sin demora a cada uno de ellos los demás contratos celebrados, con indicación del asegurador y la suma asegurada</w:t>
      </w:r>
      <w:r w:rsidR="00DC7958">
        <w:rPr/>
        <w:t xml:space="preserve">”; (3) el artículo </w:t>
      </w:r>
      <w:r w:rsidR="00DC7958">
        <w:rPr/>
        <w:t>N°</w:t>
      </w:r>
      <w:r w:rsidR="00DC7958">
        <w:rPr/>
        <w:t xml:space="preserve"> 10.17 de las Cláusulas Generales de Contratación, señala que, si se omite la declaración del doble seguro, la Compañía no estará obligada al pago de la indemnización; (4) </w:t>
      </w:r>
      <w:r w:rsidRPr="3005A7C8" w:rsidR="00DC7958">
        <w:rPr>
          <w:color w:val="000000" w:themeColor="text1" w:themeTint="FF" w:themeShade="FF"/>
          <w:lang w:eastAsia="es-PE"/>
        </w:rPr>
        <w:t>al no haberse notificado debidamente de la existencia de otro seguro vehicular, no se puede pretender una indemnización, menos aun cuando el daño que la sustenta ya fue resarcido en su totalidad, toda vez que al hacerlo, el contratante estaría manifestando su intención de enriquecerse ilícitamente, conforme al artículo 85 de la Ley del Contrato de Seguro; (5)</w:t>
      </w:r>
      <w:r w:rsidR="00DC7958">
        <w:rPr/>
        <w:t xml:space="preserve">  el reclamante no </w:t>
      </w:r>
      <w:r w:rsidR="00DC7958">
        <w:rPr/>
        <w:t xml:space="preserve">ha cumplido con las cargas y obligaciones que le corresponde como asegurado, las cuales se encuentran establecidas en artículo 7.9 de las Cláusulas Generales de Contratación, al no haber entregado a la Compañía la entrevista efectuada ante los efectivos de la PNP; (6) </w:t>
      </w:r>
      <w:r w:rsidRPr="3005A7C8" w:rsidR="00DC7958">
        <w:rPr>
          <w:lang w:eastAsia="es-PE"/>
        </w:rPr>
        <w:t xml:space="preserve">el rechazó de cobertura se fundamenta en que  </w:t>
      </w:r>
      <w:r w:rsidRPr="3005A7C8" w:rsidR="57EB9B6E">
        <w:rPr>
          <w:lang w:eastAsia="es-PE"/>
        </w:rPr>
        <w:t>....................</w:t>
      </w:r>
      <w:r w:rsidRPr="3005A7C8" w:rsidR="00DC7958">
        <w:rPr>
          <w:lang w:eastAsia="es-PE"/>
        </w:rPr>
        <w:t xml:space="preserve"> ya había activado la cobertura de pérdida total, pagando de manera íntegra la indemnización por la pérdida total del bien a raíz del siniestro de robo; (7) la finalidad del seguro es reponer la pérdida evitando el lucro, pero el reclamante pretende que se le otorgue la cobertura del Seguro contratado con </w:t>
      </w:r>
      <w:r w:rsidRPr="3005A7C8" w:rsidR="612D25E7">
        <w:rPr>
          <w:lang w:eastAsia="es-PE"/>
        </w:rPr>
        <w:t>...................</w:t>
      </w:r>
      <w:r w:rsidRPr="3005A7C8" w:rsidR="00DC7958">
        <w:rPr>
          <w:lang w:eastAsia="es-PE"/>
        </w:rPr>
        <w:t xml:space="preserve">, pese a que no niega </w:t>
      </w:r>
      <w:r w:rsidRPr="3005A7C8" w:rsidR="57EB9B6E">
        <w:rPr>
          <w:lang w:eastAsia="es-PE"/>
        </w:rPr>
        <w:t>....................</w:t>
      </w:r>
      <w:r w:rsidRPr="3005A7C8" w:rsidR="00DC7958">
        <w:rPr>
          <w:lang w:eastAsia="es-PE"/>
        </w:rPr>
        <w:t xml:space="preserve"> pagó la pérdida total, indemnizando el importe de US$46,500 el 01 de febrero de 2021; (8) no se ha probado que el reclamante haya informado a </w:t>
      </w:r>
      <w:r w:rsidRPr="3005A7C8" w:rsidR="612D25E7">
        <w:rPr>
          <w:lang w:eastAsia="es-PE"/>
        </w:rPr>
        <w:t>...................</w:t>
      </w:r>
      <w:r w:rsidRPr="3005A7C8" w:rsidR="00DC7958">
        <w:rPr>
          <w:lang w:eastAsia="es-PE"/>
        </w:rPr>
        <w:t xml:space="preserve"> de la contratación de varías pólizas de seguro; (9) el doble cobro indemnizatorio de un mismo riesgo asegurado por dos pólizas, pretendido por el reclamante, resulta improcedente, pues es contrario a las nociones elementales del seguro, que proscriben el enriquecimiento y el afán de lucro con el seguro; (10) el seguro sólo cubre el importe de la pérdida y en el presente caso ésta ya fue indemnizada, por lo que, no existe obligación de pagar el doble o abonar importes en exceso de la suma asegurada ya cubierta.</w:t>
      </w:r>
    </w:p>
    <w:p w:rsidRPr="00DC7958" w:rsidR="00DC7958" w:rsidP="00DC7958" w:rsidRDefault="00DC7958" w14:paraId="4C287FDD" w14:textId="77777777">
      <w:pPr>
        <w:jc w:val="both"/>
        <w:rPr>
          <w:lang w:eastAsia="es-PE"/>
        </w:rPr>
      </w:pPr>
    </w:p>
    <w:p w:rsidRPr="00DC7958" w:rsidR="00DC7958" w:rsidP="00DC7958" w:rsidRDefault="00DC7958" w14:paraId="6DA7FC86" w14:textId="48BE2397">
      <w:pPr>
        <w:jc w:val="both"/>
        <w:rPr>
          <w:b/>
        </w:rPr>
      </w:pPr>
      <w:r w:rsidRPr="00DC7958">
        <w:rPr>
          <w:b/>
        </w:rPr>
        <w:t xml:space="preserve">CONSIDERANDO: </w:t>
      </w:r>
    </w:p>
    <w:p w:rsidRPr="00DC7958" w:rsidR="00DC7958" w:rsidP="00DC7958" w:rsidRDefault="00DC7958" w14:paraId="41683DAF" w14:textId="77777777">
      <w:pPr>
        <w:jc w:val="both"/>
        <w:rPr>
          <w:b/>
          <w:lang w:eastAsia="en-US"/>
        </w:rPr>
      </w:pPr>
    </w:p>
    <w:p w:rsidRPr="00DC7958" w:rsidR="00DC7958" w:rsidP="00DC7958" w:rsidRDefault="00DC7958" w14:paraId="608F871B" w14:textId="571336A5">
      <w:pPr>
        <w:jc w:val="both"/>
      </w:pPr>
      <w:r w:rsidRPr="00DC7958">
        <w:rPr>
          <w:b/>
          <w:u w:val="single"/>
        </w:rPr>
        <w:t>PRIMERO</w:t>
      </w:r>
      <w:r w:rsidRPr="00DC7958">
        <w:t>: Conforme a su reglamento, la</w:t>
      </w:r>
      <w:r w:rsidRPr="00DC7958">
        <w:rPr>
          <w:b/>
          <w:bCs/>
        </w:rPr>
        <w:t xml:space="preserve"> </w:t>
      </w:r>
      <w:r w:rsidRPr="00DC7958">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C7958" w:rsidR="00DC7958" w:rsidP="00DC7958" w:rsidRDefault="00DC7958" w14:paraId="17242A24" w14:textId="77777777">
      <w:pPr>
        <w:jc w:val="both"/>
      </w:pPr>
    </w:p>
    <w:p w:rsidRPr="00DC7958" w:rsidR="00DC7958" w:rsidP="00DC7958" w:rsidRDefault="00DC7958" w14:paraId="7D3EFC55" w14:textId="61716485">
      <w:pPr>
        <w:jc w:val="both"/>
        <w:rPr>
          <w:rStyle w:val="Textoennegrita"/>
          <w:b w:val="0"/>
        </w:rPr>
      </w:pPr>
      <w:r w:rsidRPr="00DC7958">
        <w:rPr>
          <w:b/>
          <w:u w:val="single"/>
        </w:rPr>
        <w:t>SEGUNDO</w:t>
      </w:r>
      <w:r w:rsidRPr="00DC7958">
        <w:t xml:space="preserve">: Asimismo, </w:t>
      </w:r>
      <w:proofErr w:type="gramStart"/>
      <w:r w:rsidRPr="00DC7958">
        <w:t>de acuerdo a</w:t>
      </w:r>
      <w:proofErr w:type="gramEnd"/>
      <w:r w:rsidRPr="00DC7958">
        <w:t xml:space="preserve"> </w:t>
      </w:r>
      <w:r w:rsidRPr="00DC795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DC7958" w:rsidR="00DC7958" w:rsidP="00DC7958" w:rsidRDefault="00DC7958" w14:paraId="562A1A0E" w14:textId="77777777">
      <w:pPr>
        <w:jc w:val="both"/>
        <w:rPr>
          <w:rStyle w:val="Textoennegrita"/>
          <w:b w:val="0"/>
        </w:rPr>
      </w:pPr>
    </w:p>
    <w:p w:rsidRPr="00DC7958" w:rsidR="00DC7958" w:rsidP="00DC7958" w:rsidRDefault="00DC7958" w14:paraId="74634DCD" w14:textId="28367FD3">
      <w:pPr>
        <w:jc w:val="both"/>
      </w:pPr>
      <w:r w:rsidRPr="00DC7958">
        <w:rPr>
          <w:rStyle w:val="Textoennegrita"/>
          <w:u w:val="single"/>
        </w:rPr>
        <w:t>TERCERO</w:t>
      </w:r>
      <w:r w:rsidRPr="00DC7958">
        <w:rPr>
          <w:rStyle w:val="Textoennegrita"/>
        </w:rPr>
        <w:t>:</w:t>
      </w:r>
      <w:r w:rsidRPr="00DC7958">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C7958" w:rsidR="00DC7958" w:rsidP="00DC7958" w:rsidRDefault="00DC7958" w14:paraId="4DD29B57" w14:textId="77777777">
      <w:pPr>
        <w:jc w:val="both"/>
      </w:pPr>
    </w:p>
    <w:p w:rsidRPr="00DC7958" w:rsidR="00DC7958" w:rsidP="00DC7958" w:rsidRDefault="00DC7958" w14:paraId="20AC944E" w14:textId="77777777">
      <w:pPr>
        <w:contextualSpacing/>
        <w:jc w:val="both"/>
      </w:pPr>
      <w:r w:rsidRPr="00DC7958">
        <w:rPr>
          <w:b/>
          <w:u w:val="single"/>
        </w:rPr>
        <w:t>CUARTO</w:t>
      </w:r>
      <w:r w:rsidRPr="00DC7958">
        <w:rPr>
          <w:b/>
        </w:rPr>
        <w:t>:</w:t>
      </w:r>
      <w:r w:rsidRPr="00DC7958">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C7958" w:rsidR="00DC7958" w:rsidP="00DC7958" w:rsidRDefault="00DC7958" w14:paraId="17C23E4B" w14:textId="77777777">
      <w:pPr>
        <w:contextualSpacing/>
        <w:jc w:val="both"/>
        <w:rPr>
          <w:b/>
          <w:u w:val="single"/>
        </w:rPr>
      </w:pPr>
    </w:p>
    <w:p w:rsidRPr="00DC7958" w:rsidR="00DC7958" w:rsidP="00DC7958" w:rsidRDefault="00DC7958" w14:paraId="11DC8171" w14:textId="77777777">
      <w:pPr>
        <w:jc w:val="both"/>
      </w:pPr>
      <w:r w:rsidRPr="00DC7958">
        <w:rPr>
          <w:rStyle w:val="Textoennegrita"/>
          <w:u w:val="single"/>
        </w:rPr>
        <w:t>QUINTO</w:t>
      </w:r>
      <w:r w:rsidRPr="00DC7958">
        <w:rPr>
          <w:rStyle w:val="Textoennegrita"/>
        </w:rPr>
        <w:t>:</w:t>
      </w:r>
      <w:r w:rsidRPr="00DC7958">
        <w:rPr>
          <w:rStyle w:val="Textoennegrita"/>
          <w:b w:val="0"/>
        </w:rPr>
        <w:t xml:space="preserve"> Que, de acuerdo con el ar</w:t>
      </w:r>
      <w:r w:rsidRPr="00DC7958">
        <w:t>tículo 196 del Código Procesal Civil, la carga de la prueba corresponde a quien afirma hechos que configuran su pretensión, o a quien los contradice alegando nuevos hechos, salvo disposición legal diferente.</w:t>
      </w:r>
    </w:p>
    <w:p w:rsidRPr="00DC7958" w:rsidR="00DC7958" w:rsidP="00DC7958" w:rsidRDefault="00DC7958" w14:paraId="535E7662" w14:textId="68AF4F77">
      <w:pPr>
        <w:jc w:val="both"/>
      </w:pPr>
      <w:r w:rsidRPr="3005A7C8" w:rsidR="00DC7958">
        <w:rPr>
          <w:b w:val="1"/>
          <w:bCs w:val="1"/>
          <w:u w:val="single"/>
        </w:rPr>
        <w:t>SEXTO</w:t>
      </w:r>
      <w:r w:rsidRPr="3005A7C8" w:rsidR="00DC7958">
        <w:rPr>
          <w:b w:val="1"/>
          <w:bCs w:val="1"/>
        </w:rPr>
        <w:t xml:space="preserve">: </w:t>
      </w:r>
      <w:r w:rsidR="00DC7958">
        <w:rPr/>
        <w:t xml:space="preserve">Que, sobre la base de los términos contenidos en la reclamación, la absolución y lo tratado en la audiencia de vista, la cuestión controvertida radica en determinar si corresponde o no la liquidación de cobertura realizada por la aseguradora es legítima o no que </w:t>
      </w:r>
      <w:r w:rsidR="612D25E7">
        <w:rPr/>
        <w:t>...................</w:t>
      </w:r>
      <w:r w:rsidR="00DC7958">
        <w:rPr/>
        <w:t xml:space="preserve"> de cobertura a un siniestro de una unidad asegurada cuya pérdida ya fue indemnizada por otra aseguradora.</w:t>
      </w:r>
    </w:p>
    <w:p w:rsidRPr="00DC7958" w:rsidR="00DC7958" w:rsidP="00DC7958" w:rsidRDefault="00DC7958" w14:paraId="0971D507" w14:textId="77777777">
      <w:pPr>
        <w:jc w:val="both"/>
      </w:pPr>
    </w:p>
    <w:p w:rsidRPr="00DC7958" w:rsidR="00DC7958" w:rsidP="00DC7958" w:rsidRDefault="00DC7958" w14:paraId="69F07F7E" w14:textId="264037DD">
      <w:pPr>
        <w:jc w:val="both"/>
        <w:rPr>
          <w:bCs/>
        </w:rPr>
      </w:pPr>
      <w:r w:rsidRPr="00DC7958">
        <w:rPr>
          <w:b/>
          <w:u w:val="single"/>
        </w:rPr>
        <w:t>SÉPTIMO</w:t>
      </w:r>
      <w:r w:rsidRPr="00DC7958">
        <w:rPr>
          <w:b/>
        </w:rPr>
        <w:t xml:space="preserve">: </w:t>
      </w:r>
      <w:r w:rsidRPr="00DC7958">
        <w:rPr>
          <w:bCs/>
        </w:rPr>
        <w:t>Que, en el presente caso, es un hecho probado que respecto de la unidad asegurada se contrató dos seguros vehiculares con distintas aseguradoras.</w:t>
      </w:r>
    </w:p>
    <w:p w:rsidRPr="00DC7958" w:rsidR="00DC7958" w:rsidP="00DC7958" w:rsidRDefault="00DC7958" w14:paraId="08ABEF02" w14:textId="77777777">
      <w:pPr>
        <w:jc w:val="both"/>
        <w:rPr>
          <w:bCs/>
        </w:rPr>
      </w:pPr>
    </w:p>
    <w:p w:rsidRPr="00DC7958" w:rsidR="00DC7958" w:rsidP="00DC7958" w:rsidRDefault="00DC7958" w14:paraId="7F006522" w14:textId="29712065">
      <w:pPr>
        <w:jc w:val="both"/>
      </w:pPr>
      <w:r w:rsidR="00DC7958">
        <w:rPr/>
        <w:t xml:space="preserve">Igualmente, es un hecho no controvertido que </w:t>
      </w:r>
    </w:p>
    <w:p w:rsidRPr="00DC7958" w:rsidR="00DC7958" w:rsidP="00DC7958" w:rsidRDefault="00DC7958" w14:paraId="4A57E235" w14:textId="641F71DB">
      <w:pPr>
        <w:jc w:val="both"/>
      </w:pPr>
      <w:r w:rsidR="57EB9B6E">
        <w:rPr/>
        <w:t>............</w:t>
      </w:r>
      <w:r w:rsidR="00DC7958">
        <w:rPr/>
        <w:t xml:space="preserve"> cubrió la pérdida por robo de la unidad asegurada.</w:t>
      </w:r>
    </w:p>
    <w:p w:rsidRPr="00DC7958" w:rsidR="00DC7958" w:rsidP="00DC7958" w:rsidRDefault="00DC7958" w14:paraId="575343D3" w14:textId="77777777">
      <w:pPr>
        <w:jc w:val="both"/>
        <w:rPr>
          <w:bCs/>
        </w:rPr>
      </w:pPr>
    </w:p>
    <w:p w:rsidRPr="00DC7958" w:rsidR="00DC7958" w:rsidP="00DC7958" w:rsidRDefault="00DC7958" w14:paraId="288DF880" w14:textId="46FCCB69">
      <w:pPr>
        <w:jc w:val="both"/>
        <w:rPr>
          <w:bCs/>
        </w:rPr>
      </w:pPr>
      <w:r w:rsidRPr="00DC7958">
        <w:rPr>
          <w:bCs/>
        </w:rPr>
        <w:t xml:space="preserve">De acuerdo con el literal b) del artículo II de la Ley 29946, el contrato de seguro se rige por el principio de indemnización, en virtud del cual lo que reciba el asegurado por cobertura del siniestro, no puede exceder el valor del interés asegurable, ya que en el exceso no existiría este interés, elemento esencial del contrato de seguro. </w:t>
      </w:r>
    </w:p>
    <w:p w:rsidRPr="00DC7958" w:rsidR="00DC7958" w:rsidP="00DC7958" w:rsidRDefault="00DC7958" w14:paraId="6B145103" w14:textId="77777777">
      <w:pPr>
        <w:jc w:val="both"/>
        <w:rPr>
          <w:bCs/>
        </w:rPr>
      </w:pPr>
    </w:p>
    <w:p w:rsidRPr="00DC7958" w:rsidR="00DC7958" w:rsidP="00DC7958" w:rsidRDefault="00DC7958" w14:paraId="698319E5" w14:textId="0574C014">
      <w:pPr>
        <w:jc w:val="both"/>
        <w:rPr>
          <w:bCs/>
        </w:rPr>
      </w:pPr>
      <w:r w:rsidRPr="00DC7958">
        <w:rPr>
          <w:bCs/>
        </w:rPr>
        <w:t>Por ello, la indemnización no puede exceder en ningún caso la suma asegurada que refleja ese interés, de lo contrario el asegurado estaría lucrando con el seguro y no se le repararía un daño o perjuicio, sino que se enriquecería.</w:t>
      </w:r>
    </w:p>
    <w:p w:rsidRPr="00DC7958" w:rsidR="00DC7958" w:rsidP="00DC7958" w:rsidRDefault="00DC7958" w14:paraId="6AF9669A" w14:textId="77777777">
      <w:pPr>
        <w:jc w:val="both"/>
        <w:rPr>
          <w:bCs/>
        </w:rPr>
      </w:pPr>
    </w:p>
    <w:p w:rsidRPr="00DC7958" w:rsidR="00DC7958" w:rsidP="00DC7958" w:rsidRDefault="00DC7958" w14:paraId="65854666" w14:textId="7CE209A5">
      <w:pPr>
        <w:jc w:val="both"/>
        <w:rPr>
          <w:bCs/>
        </w:rPr>
      </w:pPr>
      <w:r w:rsidRPr="00DC7958">
        <w:rPr>
          <w:bCs/>
        </w:rPr>
        <w:t xml:space="preserve">En ese sentido, la indemnización en un seguro de daños no puede exceder el menoscabo patrimonial que cause el siniestro. </w:t>
      </w:r>
    </w:p>
    <w:p w:rsidRPr="00DC7958" w:rsidR="00DC7958" w:rsidP="00DC7958" w:rsidRDefault="00DC7958" w14:paraId="0698E7C5" w14:textId="77777777">
      <w:pPr>
        <w:jc w:val="both"/>
        <w:rPr>
          <w:bCs/>
        </w:rPr>
      </w:pPr>
    </w:p>
    <w:p w:rsidRPr="00DC7958" w:rsidR="00DC7958" w:rsidP="00DC7958" w:rsidRDefault="00DC7958" w14:paraId="44EA9996" w14:textId="3300288A">
      <w:pPr>
        <w:jc w:val="both"/>
        <w:rPr>
          <w:bCs/>
        </w:rPr>
      </w:pPr>
      <w:r w:rsidRPr="00DC7958">
        <w:rPr>
          <w:bCs/>
        </w:rPr>
        <w:t>Por tanto, siguiendo ese principio indemnizatorio, en caso de pluralidad de seguros la medida de la cobertura sigue estando limitada a la indemnización debida, esto es, el resarcimiento del menoscabo patrimonial sufrido, de manera que la indemnización no puede exceder el monto efectivo del perjuicio sufrido por el asegurado.</w:t>
      </w:r>
    </w:p>
    <w:p w:rsidRPr="00DC7958" w:rsidR="00DC7958" w:rsidP="00DC7958" w:rsidRDefault="00DC7958" w14:paraId="282003E9" w14:textId="77777777">
      <w:pPr>
        <w:jc w:val="both"/>
        <w:rPr>
          <w:bCs/>
        </w:rPr>
      </w:pPr>
    </w:p>
    <w:p w:rsidRPr="00DC7958" w:rsidR="00DC7958" w:rsidP="00DC7958" w:rsidRDefault="00DC7958" w14:paraId="7712E3DC" w14:textId="6F42C9F3">
      <w:pPr>
        <w:jc w:val="both"/>
        <w:rPr>
          <w:bCs/>
        </w:rPr>
      </w:pPr>
      <w:r w:rsidRPr="00DC7958">
        <w:rPr>
          <w:bCs/>
        </w:rPr>
        <w:t xml:space="preserve">Es por esa razón que, para el caso de pluralidad de seguros, esto es, cuando el contratante asegura el </w:t>
      </w:r>
      <w:proofErr w:type="gramStart"/>
      <w:r w:rsidRPr="00DC7958">
        <w:rPr>
          <w:bCs/>
        </w:rPr>
        <w:t>mismo interés y el mismo riesgo</w:t>
      </w:r>
      <w:proofErr w:type="gramEnd"/>
      <w:r w:rsidRPr="00DC7958">
        <w:rPr>
          <w:bCs/>
        </w:rPr>
        <w:t xml:space="preserve"> con más de un asegurador, en el artículo 88 de la Ley del Contrato de Seguro se dispone que, en caso de siniestro, cada asegurador contribuye proporcionalmente al monto de su contrato, hasta la concurrencia de la indemnización debida. </w:t>
      </w:r>
    </w:p>
    <w:p w:rsidRPr="00DC7958" w:rsidR="00DC7958" w:rsidP="00DC7958" w:rsidRDefault="00DC7958" w14:paraId="704A53FA" w14:textId="77777777">
      <w:pPr>
        <w:jc w:val="both"/>
        <w:rPr>
          <w:bCs/>
        </w:rPr>
      </w:pPr>
    </w:p>
    <w:p w:rsidRPr="00DC7958" w:rsidR="00DC7958" w:rsidP="00DC7958" w:rsidRDefault="00DC7958" w14:paraId="2ABC5CFE" w14:textId="6E84A2D1">
      <w:pPr>
        <w:jc w:val="both"/>
        <w:rPr>
          <w:bCs/>
        </w:rPr>
      </w:pPr>
      <w:r w:rsidRPr="00DC7958">
        <w:rPr>
          <w:bCs/>
        </w:rPr>
        <w:t>Si bien la regla anterior regula la concurrencia de cada asegurador, ello no conlleva un derecho del asegurado a un doble pago del siniestro, ya que la norma es expresa en limitar la concurrencia hasta la indemnización debida, lo que prohíbe que el valor de la indemnización exceda el monto del daño sufrido por el asegurado.</w:t>
      </w:r>
    </w:p>
    <w:p w:rsidRPr="00DC7958" w:rsidR="00DC7958" w:rsidP="00DC7958" w:rsidRDefault="00DC7958" w14:paraId="716715A6" w14:textId="77777777">
      <w:pPr>
        <w:jc w:val="both"/>
        <w:rPr>
          <w:bCs/>
        </w:rPr>
      </w:pPr>
    </w:p>
    <w:p w:rsidRPr="00DC7958" w:rsidR="00DC7958" w:rsidP="00DC7958" w:rsidRDefault="00DC7958" w14:paraId="17484FAC" w14:textId="1E5DFE0B">
      <w:pPr>
        <w:jc w:val="both"/>
      </w:pPr>
      <w:r w:rsidR="00DC7958">
        <w:rPr/>
        <w:t xml:space="preserve">Dado que en el presente caso </w:t>
      </w:r>
      <w:r w:rsidR="57EB9B6E">
        <w:rPr/>
        <w:t>....................</w:t>
      </w:r>
      <w:r w:rsidR="00DC7958">
        <w:rPr/>
        <w:t xml:space="preserve"> indemnizó el valor de la unidad asegurada materia de robo, ya se resarció la pérdida patrimonial, por lo que no corresponde que </w:t>
      </w:r>
      <w:r w:rsidR="612D25E7">
        <w:rPr/>
        <w:t>...................</w:t>
      </w:r>
      <w:r w:rsidR="00DC7958">
        <w:rPr/>
        <w:t xml:space="preserve"> indemnice nuevamente al reclamante cuyo interés asegurable ya fue cubierto por uno de los contratos de seguros contratados.</w:t>
      </w:r>
    </w:p>
    <w:p w:rsidRPr="00DC7958" w:rsidR="00DC7958" w:rsidP="00DC7958" w:rsidRDefault="00DC7958" w14:paraId="62885887" w14:textId="77777777">
      <w:pPr>
        <w:jc w:val="both"/>
        <w:rPr>
          <w:bCs/>
        </w:rPr>
      </w:pPr>
    </w:p>
    <w:p w:rsidRPr="00DC7958" w:rsidR="00DC7958" w:rsidP="00DC7958" w:rsidRDefault="00DC7958" w14:paraId="4C253354" w14:textId="77777777">
      <w:pPr>
        <w:jc w:val="both"/>
        <w:rPr>
          <w:bCs/>
        </w:rPr>
      </w:pPr>
      <w:r w:rsidRPr="00DC7958">
        <w:rPr>
          <w:bCs/>
        </w:rPr>
        <w:t>De admitirse el doble pago, el asegurado se enriquecería a costas de pluralidad de contratos de seguros cuyos daños experimentados por la pérdida de la unidad asegurado ya fueron indemnizados por una aseguradora.</w:t>
      </w:r>
    </w:p>
    <w:p w:rsidRPr="00DC7958" w:rsidR="00DC7958" w:rsidP="00DC7958" w:rsidRDefault="00DC7958" w14:paraId="4A2F000C" w14:textId="490FE479">
      <w:pPr>
        <w:jc w:val="both"/>
        <w:rPr>
          <w:lang w:val="es-MX"/>
        </w:rPr>
      </w:pPr>
      <w:r w:rsidRPr="3005A7C8" w:rsidR="00DC7958">
        <w:rPr>
          <w:lang w:val="es-MX"/>
        </w:rPr>
        <w:t xml:space="preserve">En esa medida, por lo expuesto, esta Defensoría aprecia que habiendo sido cubierto el siniestro por </w:t>
      </w:r>
      <w:r w:rsidRPr="3005A7C8" w:rsidR="57EB9B6E">
        <w:rPr>
          <w:lang w:val="es-MX"/>
        </w:rPr>
        <w:t>....................</w:t>
      </w:r>
      <w:r w:rsidRPr="3005A7C8" w:rsidR="00DC7958">
        <w:rPr>
          <w:lang w:val="es-MX"/>
        </w:rPr>
        <w:t>, una nueva indemnización excedería el monto del dalo sufrido y resarcido al asegurado.</w:t>
      </w:r>
    </w:p>
    <w:p w:rsidRPr="00DC7958" w:rsidR="00DC7958" w:rsidP="00DC7958" w:rsidRDefault="00DC7958" w14:paraId="1206F409" w14:textId="77777777">
      <w:pPr>
        <w:jc w:val="both"/>
        <w:rPr>
          <w:lang w:val="es-MX"/>
        </w:rPr>
      </w:pPr>
    </w:p>
    <w:p w:rsidRPr="00DC7958" w:rsidR="00DC7958" w:rsidP="00DC7958" w:rsidRDefault="00DC7958" w14:paraId="0821A0BB" w14:textId="1ED6CD5F">
      <w:pPr>
        <w:tabs>
          <w:tab w:val="left" w:pos="2386"/>
        </w:tabs>
        <w:jc w:val="both"/>
        <w:outlineLvl w:val="0"/>
      </w:pPr>
      <w:r w:rsidRPr="00DC7958">
        <w:rPr>
          <w:b/>
          <w:u w:val="single"/>
        </w:rPr>
        <w:t>OCTAVO</w:t>
      </w:r>
      <w:r w:rsidRPr="00DC7958">
        <w:rPr>
          <w:b/>
        </w:rPr>
        <w:t>:</w:t>
      </w:r>
      <w:r w:rsidRPr="00DC7958">
        <w:rPr>
          <w:lang w:val="es-MX"/>
        </w:rPr>
        <w:t xml:space="preserve"> En consecuencia</w:t>
      </w:r>
      <w:r w:rsidRPr="00DC7958">
        <w:t>, este colegiado concluye su apreciación razonada y conjunta al amparo de lo establecido en su Reglamento estimando que la presente reclamación carece de fundamentos para ser amparada, por lo que;</w:t>
      </w:r>
    </w:p>
    <w:p w:rsidRPr="00DC7958" w:rsidR="00DC7958" w:rsidP="00DC7958" w:rsidRDefault="00DC7958" w14:paraId="31917D72" w14:textId="77777777">
      <w:pPr>
        <w:tabs>
          <w:tab w:val="left" w:pos="2386"/>
        </w:tabs>
        <w:jc w:val="both"/>
        <w:outlineLvl w:val="0"/>
        <w:rPr>
          <w:lang w:val="es-PE"/>
        </w:rPr>
      </w:pPr>
    </w:p>
    <w:p w:rsidRPr="00DC7958" w:rsidR="00DC7958" w:rsidP="00DC7958" w:rsidRDefault="00DC7958" w14:paraId="0D1FEDA5" w14:textId="2FCCCB32">
      <w:pPr>
        <w:jc w:val="both"/>
        <w:rPr>
          <w:b/>
        </w:rPr>
      </w:pPr>
      <w:r w:rsidRPr="00DC7958">
        <w:rPr>
          <w:b/>
        </w:rPr>
        <w:t>RESUELVE:</w:t>
      </w:r>
    </w:p>
    <w:p w:rsidRPr="00DC7958" w:rsidR="00DC7958" w:rsidP="00DC7958" w:rsidRDefault="00DC7958" w14:paraId="5E9C1368" w14:textId="77777777">
      <w:pPr>
        <w:jc w:val="both"/>
        <w:rPr>
          <w:b/>
        </w:rPr>
      </w:pPr>
    </w:p>
    <w:p w:rsidRPr="00DC7958" w:rsidR="00DC7958" w:rsidP="00DC7958" w:rsidRDefault="00DC7958" w14:paraId="1CEC7FE7" w14:textId="1777CD40">
      <w:pPr>
        <w:tabs>
          <w:tab w:val="left" w:pos="0"/>
          <w:tab w:val="left" w:pos="708"/>
          <w:tab w:val="left" w:pos="1416"/>
          <w:tab w:val="left" w:pos="2160"/>
          <w:tab w:val="left" w:pos="3540"/>
          <w:tab w:val="left" w:pos="4248"/>
          <w:tab w:val="left" w:pos="4956"/>
          <w:tab w:val="left" w:pos="5664"/>
          <w:tab w:val="left" w:pos="6372"/>
          <w:tab w:val="left" w:pos="7125"/>
        </w:tabs>
        <w:jc w:val="both"/>
      </w:pPr>
      <w:r w:rsidRPr="3005A7C8" w:rsidR="00DC7958">
        <w:rPr>
          <w:rFonts w:eastAsia="Arial Unicode MS"/>
        </w:rPr>
        <w:t xml:space="preserve">Declarar </w:t>
      </w:r>
      <w:r w:rsidRPr="3005A7C8" w:rsidR="00DC7958">
        <w:rPr>
          <w:rFonts w:eastAsia="Arial Unicode MS"/>
          <w:b w:val="1"/>
          <w:bCs w:val="1"/>
        </w:rPr>
        <w:t>INFUNDADA</w:t>
      </w:r>
      <w:r w:rsidRPr="3005A7C8" w:rsidR="00DC7958">
        <w:rPr>
          <w:rFonts w:eastAsia="Arial Unicode MS"/>
        </w:rPr>
        <w:t xml:space="preserve"> la reclamación interpuesta por</w:t>
      </w:r>
      <w:r w:rsidR="00DC7958">
        <w:rPr/>
        <w:t xml:space="preserve"> esta Defensoría del Asegurado (DEFASEG) por </w:t>
      </w:r>
      <w:r w:rsidRPr="3005A7C8" w:rsidR="4CFFFAFD">
        <w:rPr>
          <w:b w:val="1"/>
          <w:bCs w:val="1"/>
          <w:lang w:val="es-MX"/>
        </w:rPr>
        <w:t>...........................................................................................</w:t>
      </w:r>
      <w:r w:rsidRPr="3005A7C8" w:rsidR="00DC7958">
        <w:rPr>
          <w:b w:val="1"/>
          <w:bCs w:val="1"/>
          <w:lang w:val="es-MX"/>
        </w:rPr>
        <w:t xml:space="preserve"> </w:t>
      </w:r>
      <w:r w:rsidR="00DC7958">
        <w:rPr/>
        <w:t xml:space="preserve">contra </w:t>
      </w:r>
      <w:r w:rsidRPr="3005A7C8" w:rsidR="55B7275F">
        <w:rPr>
          <w:b w:val="1"/>
          <w:bCs w:val="1"/>
          <w:lang w:val="es-MX"/>
        </w:rPr>
        <w:t>.....................................</w:t>
      </w:r>
      <w:r w:rsidR="00DC7958">
        <w:rPr/>
        <w:t>, quedando a salvo el derecho del reclamante de recurrir ante las instancias que considere pertinentes.</w:t>
      </w:r>
    </w:p>
    <w:p w:rsidRPr="00DC7958" w:rsidR="004832BF" w:rsidP="004832BF" w:rsidRDefault="004832BF" w14:paraId="0EA9D493" w14:textId="77777777">
      <w:pPr>
        <w:outlineLvl w:val="0"/>
        <w:rPr>
          <w:lang w:val="es-PE"/>
        </w:rPr>
      </w:pPr>
    </w:p>
    <w:p w:rsidRPr="00DC7958" w:rsidR="001631D6" w:rsidP="00401DE3" w:rsidRDefault="00F15FBA" w14:paraId="30F8D459" w14:textId="12FB7D52">
      <w:pPr>
        <w:jc w:val="right"/>
        <w:outlineLvl w:val="0"/>
        <w:rPr>
          <w:lang w:val="es-PE"/>
        </w:rPr>
      </w:pPr>
      <w:r w:rsidRPr="00DC7958">
        <w:rPr>
          <w:lang w:val="es-PE"/>
        </w:rPr>
        <w:t xml:space="preserve">Lima, </w:t>
      </w:r>
      <w:r w:rsidRPr="00DC7958" w:rsidR="004832BF">
        <w:rPr>
          <w:lang w:val="es-PE"/>
        </w:rPr>
        <w:t>26</w:t>
      </w:r>
      <w:r w:rsidRPr="00DC7958" w:rsidR="006B75CA">
        <w:rPr>
          <w:lang w:val="es-PE"/>
        </w:rPr>
        <w:t xml:space="preserve"> </w:t>
      </w:r>
      <w:r w:rsidRPr="00DC7958" w:rsidR="00F62606">
        <w:t>d</w:t>
      </w:r>
      <w:proofErr w:type="spellStart"/>
      <w:r w:rsidRPr="00DC7958">
        <w:rPr>
          <w:lang w:val="es-PE"/>
        </w:rPr>
        <w:t>e</w:t>
      </w:r>
      <w:proofErr w:type="spellEnd"/>
      <w:r w:rsidRPr="00DC7958" w:rsidR="00026017">
        <w:rPr>
          <w:lang w:val="es-PE"/>
        </w:rPr>
        <w:t xml:space="preserve"> </w:t>
      </w:r>
      <w:r w:rsidRPr="00DC7958" w:rsidR="003E4270">
        <w:rPr>
          <w:lang w:val="es-PE"/>
        </w:rPr>
        <w:t>ju</w:t>
      </w:r>
      <w:r w:rsidRPr="00DC7958" w:rsidR="003361A7">
        <w:rPr>
          <w:lang w:val="es-PE"/>
        </w:rPr>
        <w:t>l</w:t>
      </w:r>
      <w:r w:rsidRPr="00DC7958" w:rsidR="003E4270">
        <w:rPr>
          <w:lang w:val="es-PE"/>
        </w:rPr>
        <w:t>io</w:t>
      </w:r>
      <w:r w:rsidRPr="00DC7958" w:rsidR="001631D6">
        <w:rPr>
          <w:lang w:val="es-PE"/>
        </w:rPr>
        <w:t xml:space="preserve"> </w:t>
      </w:r>
      <w:r w:rsidRPr="00DC7958">
        <w:rPr>
          <w:lang w:val="es-PE"/>
        </w:rPr>
        <w:t>de 20</w:t>
      </w:r>
      <w:r w:rsidRPr="00DC7958" w:rsidR="001631D6">
        <w:rPr>
          <w:lang w:val="es-PE"/>
        </w:rPr>
        <w:t>2</w:t>
      </w:r>
      <w:r w:rsidRPr="00DC7958" w:rsidR="003E6BA6">
        <w:rPr>
          <w:lang w:val="es-PE"/>
        </w:rPr>
        <w:t>1</w:t>
      </w:r>
    </w:p>
    <w:p w:rsidRPr="00DC7958" w:rsidR="00C01AB2" w:rsidP="00B5211F" w:rsidRDefault="00C01AB2" w14:paraId="37DB6607" w14:textId="77777777"/>
    <w:p w:rsidRPr="00DC7958" w:rsidR="000D588E" w:rsidP="000D588E" w:rsidRDefault="000D588E" w14:paraId="2E675B6E" w14:textId="77777777">
      <w:pPr>
        <w:jc w:val="both"/>
        <w:rPr>
          <w:b/>
          <w:bCs/>
          <w:i/>
          <w:iCs/>
          <w:lang w:val="es-ES_tradnl"/>
        </w:rPr>
      </w:pPr>
      <w:r w:rsidRPr="00DC7958">
        <w:rPr>
          <w:b/>
          <w:bCs/>
          <w:i/>
          <w:iCs/>
          <w:lang w:val="es-ES_tradnl"/>
        </w:rPr>
        <w:t>La Secretaría Técnica certifica que la presente resolución cuenta con el voto de los vocales cuyos nombres figuran en el presente documento.</w:t>
      </w:r>
    </w:p>
    <w:p w:rsidRPr="00DC7958" w:rsidR="000D588E" w:rsidP="000D588E" w:rsidRDefault="000D588E" w14:paraId="4E2B6639" w14:textId="77777777">
      <w:pPr>
        <w:jc w:val="both"/>
        <w:rPr>
          <w:b/>
          <w:bCs/>
          <w:i/>
          <w:iCs/>
          <w:lang w:val="es-ES_tradnl"/>
        </w:rPr>
      </w:pPr>
    </w:p>
    <w:p w:rsidRPr="00DC7958" w:rsidR="000D588E" w:rsidP="000D588E" w:rsidRDefault="000D588E" w14:paraId="71FD7BAF" w14:textId="77777777">
      <w:pPr>
        <w:spacing w:line="360" w:lineRule="auto"/>
        <w:jc w:val="center"/>
        <w:rPr>
          <w:b/>
          <w:bCs/>
        </w:rPr>
      </w:pPr>
      <w:r w:rsidRPr="00DC7958">
        <w:rPr>
          <w:b/>
          <w:bCs/>
        </w:rPr>
        <w:t xml:space="preserve">Marco Antonio Ortega Piana – </w:t>
      </w:r>
      <w:proofErr w:type="gramStart"/>
      <w:r w:rsidRPr="00DC7958">
        <w:rPr>
          <w:b/>
          <w:bCs/>
        </w:rPr>
        <w:t>Presidente</w:t>
      </w:r>
      <w:proofErr w:type="gramEnd"/>
    </w:p>
    <w:p w:rsidRPr="00DC7958" w:rsidR="000D588E" w:rsidP="000D588E" w:rsidRDefault="000D588E" w14:paraId="247EE6C1" w14:textId="77777777">
      <w:pPr>
        <w:spacing w:line="360" w:lineRule="auto"/>
        <w:jc w:val="center"/>
        <w:rPr>
          <w:b/>
          <w:bCs/>
        </w:rPr>
      </w:pPr>
      <w:r w:rsidRPr="00DC7958">
        <w:rPr>
          <w:b/>
          <w:bCs/>
        </w:rPr>
        <w:t>María Eugenia Valdez Fernández Baca – Vocal</w:t>
      </w:r>
    </w:p>
    <w:p w:rsidRPr="00DC7958" w:rsidR="000D588E" w:rsidP="000D588E" w:rsidRDefault="000D588E" w14:paraId="33674F75" w14:textId="77777777">
      <w:pPr>
        <w:spacing w:line="360" w:lineRule="auto"/>
        <w:jc w:val="center"/>
        <w:rPr>
          <w:b/>
          <w:bCs/>
        </w:rPr>
      </w:pPr>
      <w:r w:rsidRPr="00DC7958">
        <w:rPr>
          <w:b/>
          <w:bCs/>
        </w:rPr>
        <w:t xml:space="preserve">Rolando Eyzaguirre </w:t>
      </w:r>
      <w:proofErr w:type="spellStart"/>
      <w:r w:rsidRPr="00DC7958">
        <w:rPr>
          <w:b/>
          <w:bCs/>
        </w:rPr>
        <w:t>Maccan</w:t>
      </w:r>
      <w:proofErr w:type="spellEnd"/>
      <w:r w:rsidRPr="00DC7958">
        <w:rPr>
          <w:b/>
          <w:bCs/>
        </w:rPr>
        <w:t xml:space="preserve"> – Vocal</w:t>
      </w:r>
    </w:p>
    <w:p w:rsidRPr="00DC7958" w:rsidR="000D588E" w:rsidP="000D588E" w:rsidRDefault="000D588E" w14:paraId="1D601113" w14:textId="77777777">
      <w:pPr>
        <w:spacing w:line="360" w:lineRule="auto"/>
        <w:jc w:val="center"/>
        <w:rPr>
          <w:lang w:val="es-MX"/>
        </w:rPr>
      </w:pPr>
      <w:r w:rsidRPr="00DC7958">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B158E7"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58E7" w:rsidP="005F148C" w:rsidRDefault="00B158E7" w14:paraId="61944A90" w14:textId="77777777">
      <w:r>
        <w:separator/>
      </w:r>
    </w:p>
  </w:endnote>
  <w:endnote w:type="continuationSeparator" w:id="0">
    <w:p w:rsidR="00B158E7" w:rsidP="005F148C" w:rsidRDefault="00B158E7" w14:paraId="6251AA5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58E7" w:rsidP="005F148C" w:rsidRDefault="00B158E7" w14:paraId="51A19C2A" w14:textId="77777777">
      <w:r>
        <w:separator/>
      </w:r>
    </w:p>
  </w:footnote>
  <w:footnote w:type="continuationSeparator" w:id="0">
    <w:p w:rsidR="00B158E7" w:rsidP="005F148C" w:rsidRDefault="00B158E7" w14:paraId="174FDE3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9"/>
  </w:num>
  <w:num w:numId="3">
    <w:abstractNumId w:val="9"/>
  </w:num>
  <w:num w:numId="4">
    <w:abstractNumId w:val="2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6"/>
  </w:num>
  <w:num w:numId="12">
    <w:abstractNumId w:val="14"/>
  </w:num>
  <w:num w:numId="13">
    <w:abstractNumId w:val="24"/>
  </w:num>
  <w:num w:numId="14">
    <w:abstractNumId w:val="12"/>
  </w:num>
  <w:num w:numId="15">
    <w:abstractNumId w:val="13"/>
  </w:num>
  <w:num w:numId="16">
    <w:abstractNumId w:val="23"/>
  </w:num>
  <w:num w:numId="17">
    <w:abstractNumId w:val="10"/>
  </w:num>
  <w:num w:numId="18">
    <w:abstractNumId w:val="20"/>
  </w:num>
  <w:num w:numId="19">
    <w:abstractNumId w:val="7"/>
  </w:num>
  <w:num w:numId="20">
    <w:abstractNumId w:val="16"/>
  </w:num>
  <w:num w:numId="21">
    <w:abstractNumId w:val="25"/>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18"/>
  </w:num>
  <w:num w:numId="26">
    <w:abstractNumId w:val="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DC7958"/>
    <w:rsid w:val="00E06DE2"/>
    <w:rsid w:val="00E138FB"/>
    <w:rsid w:val="00E1668B"/>
    <w:rsid w:val="00E17CD0"/>
    <w:rsid w:val="00E206AF"/>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24B0DFF"/>
    <w:rsid w:val="04751658"/>
    <w:rsid w:val="0BD22814"/>
    <w:rsid w:val="196D0666"/>
    <w:rsid w:val="1B2D2CA9"/>
    <w:rsid w:val="3005A7C8"/>
    <w:rsid w:val="46382EC1"/>
    <w:rsid w:val="4CFFFAFD"/>
    <w:rsid w:val="55B7275F"/>
    <w:rsid w:val="57EB9B6E"/>
    <w:rsid w:val="5ADABBBB"/>
    <w:rsid w:val="612D25E7"/>
    <w:rsid w:val="72C188F6"/>
    <w:rsid w:val="7E1F1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E7BBDFB-AF82-44F6-A073-55AA2B48AA67}"/>
</file>

<file path=customXml/itemProps3.xml><?xml version="1.0" encoding="utf-8"?>
<ds:datastoreItem xmlns:ds="http://schemas.openxmlformats.org/officeDocument/2006/customXml" ds:itemID="{AE51BB41-E288-4F12-9FBF-ED5BF8F5AD74}"/>
</file>

<file path=customXml/itemProps4.xml><?xml version="1.0" encoding="utf-8"?>
<ds:datastoreItem xmlns:ds="http://schemas.openxmlformats.org/officeDocument/2006/customXml" ds:itemID="{44F62879-2CFC-4B66-800F-A485E0A19D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cp:revision>
  <cp:lastPrinted>2021-07-27T13:00:00Z</cp:lastPrinted>
  <dcterms:created xsi:type="dcterms:W3CDTF">2020-12-18T20:09:00Z</dcterms:created>
  <dcterms:modified xsi:type="dcterms:W3CDTF">2026-01-20T18:52:19Z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