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C94B19" w:rsidR="00F15FBA" w:rsidP="00026017" w:rsidRDefault="00F15FBA" w14:paraId="6EF5AEAB" w14:textId="05AE1777">
      <w:pPr>
        <w:pStyle w:val="Ttulo"/>
        <w:outlineLvl w:val="0"/>
        <w:rPr>
          <w:lang w:val="es-PE"/>
        </w:rPr>
      </w:pPr>
      <w:r w:rsidRPr="00C94B19">
        <w:rPr>
          <w:lang w:val="es-PE"/>
        </w:rPr>
        <w:t xml:space="preserve">RESOLUCIÓN </w:t>
      </w:r>
      <w:proofErr w:type="spellStart"/>
      <w:r w:rsidRPr="00C94B19">
        <w:rPr>
          <w:lang w:val="es-PE"/>
        </w:rPr>
        <w:t>N</w:t>
      </w:r>
      <w:r w:rsidRPr="00C94B19" w:rsidR="001631D6">
        <w:rPr>
          <w:lang w:val="es-PE"/>
        </w:rPr>
        <w:t>°</w:t>
      </w:r>
      <w:proofErr w:type="spellEnd"/>
      <w:r w:rsidRPr="00C94B19" w:rsidR="001631D6">
        <w:rPr>
          <w:lang w:val="es-PE"/>
        </w:rPr>
        <w:t xml:space="preserve"> </w:t>
      </w:r>
      <w:r w:rsidRPr="00C94B19" w:rsidR="003E6BA6">
        <w:rPr>
          <w:lang w:val="es-PE"/>
        </w:rPr>
        <w:t>0</w:t>
      </w:r>
      <w:r w:rsidRPr="00C94B19" w:rsidR="004832BF">
        <w:rPr>
          <w:lang w:val="es-PE"/>
        </w:rPr>
        <w:t>9</w:t>
      </w:r>
      <w:r w:rsidRPr="00C94B19" w:rsidR="00C94B19">
        <w:rPr>
          <w:lang w:val="es-PE"/>
        </w:rPr>
        <w:t>9</w:t>
      </w:r>
      <w:r w:rsidRPr="00C94B19" w:rsidR="001631D6">
        <w:rPr>
          <w:lang w:val="es-PE"/>
        </w:rPr>
        <w:t>/2</w:t>
      </w:r>
      <w:r w:rsidRPr="00C94B19" w:rsidR="003E6BA6">
        <w:rPr>
          <w:lang w:val="es-PE"/>
        </w:rPr>
        <w:t>1</w:t>
      </w:r>
    </w:p>
    <w:p w:rsidRPr="00C94B19" w:rsidR="00C94B19" w:rsidP="00C94B19" w:rsidRDefault="00C94B19" w14:paraId="3247FB63" w14:textId="77777777">
      <w:pPr>
        <w:rPr>
          <w:b/>
        </w:rPr>
      </w:pPr>
    </w:p>
    <w:p w:rsidRPr="00C94B19" w:rsidR="00C94B19" w:rsidP="00C94B19" w:rsidRDefault="00C94B19" w14:paraId="64836DE7" w14:textId="02FCAB65">
      <w:pPr>
        <w:rPr>
          <w:b/>
        </w:rPr>
      </w:pPr>
      <w:r w:rsidRPr="00C94B19">
        <w:rPr>
          <w:b/>
        </w:rPr>
        <w:t>VISTOS:</w:t>
      </w:r>
    </w:p>
    <w:p w:rsidRPr="00C94B19" w:rsidR="00C94B19" w:rsidP="00C94B19" w:rsidRDefault="00C94B19" w14:paraId="43CBF82D" w14:textId="77777777">
      <w:pPr>
        <w:rPr>
          <w:b/>
        </w:rPr>
      </w:pPr>
    </w:p>
    <w:p w:rsidRPr="00C94B19" w:rsidR="00C94B19" w:rsidP="00C94B19" w:rsidRDefault="00C94B19" w14:paraId="211C2584" w14:textId="2CBD8232">
      <w:pPr>
        <w:jc w:val="both"/>
      </w:pPr>
      <w:r w:rsidR="2A51EFDE">
        <w:rPr/>
        <w:t xml:space="preserve">La reclamación presentada ante esta Defensoría del Asegurado (DEFASEG) por </w:t>
      </w:r>
      <w:r w:rsidRPr="53E65F6F" w:rsidR="5ECC8D22">
        <w:rPr>
          <w:b w:val="1"/>
          <w:bCs w:val="1"/>
          <w:lang w:val="es-MX"/>
        </w:rPr>
        <w:t>.......................................................</w:t>
      </w:r>
      <w:r w:rsidRPr="53E65F6F" w:rsidR="2A51EFDE">
        <w:rPr>
          <w:b w:val="1"/>
          <w:bCs w:val="1"/>
          <w:lang w:val="es-MX"/>
        </w:rPr>
        <w:t xml:space="preserve"> </w:t>
      </w:r>
      <w:r w:rsidR="2A51EFDE">
        <w:rPr/>
        <w:t xml:space="preserve">contra </w:t>
      </w:r>
      <w:r w:rsidRPr="53E65F6F" w:rsidR="359030FD">
        <w:rPr>
          <w:b w:val="1"/>
          <w:bCs w:val="1"/>
          <w:lang w:val="es-MX"/>
        </w:rPr>
        <w:t>......................................</w:t>
      </w:r>
      <w:r w:rsidRPr="53E65F6F" w:rsidR="2A51EFDE">
        <w:rPr>
          <w:b w:val="1"/>
          <w:bCs w:val="1"/>
          <w:lang w:val="es-MX"/>
        </w:rPr>
        <w:t xml:space="preserve"> </w:t>
      </w:r>
      <w:r w:rsidRPr="53E65F6F" w:rsidR="2A51EFDE">
        <w:rPr>
          <w:lang w:val="es-MX"/>
        </w:rPr>
        <w:t>en</w:t>
      </w:r>
      <w:r w:rsidR="2A51EFDE">
        <w:rPr/>
        <w:t xml:space="preserve"> la que solicita se le otorgue la cobertura por la atención médica derivada de la hospitalización de fecha 14 de noviembre de 2020, correspondiente al </w:t>
      </w:r>
      <w:r w:rsidRPr="53E65F6F" w:rsidR="2A51EFDE">
        <w:rPr>
          <w:b w:val="1"/>
          <w:bCs w:val="1"/>
          <w:lang w:val="es-MX"/>
        </w:rPr>
        <w:t xml:space="preserve">SEGURO DE SALUD RED PREFERENTE - PÓLIZA No </w:t>
      </w:r>
      <w:r w:rsidRPr="53E65F6F" w:rsidR="758BC0E6">
        <w:rPr>
          <w:b w:val="1"/>
          <w:bCs w:val="1"/>
          <w:lang w:val="es-MX"/>
        </w:rPr>
        <w:t>.....................</w:t>
      </w:r>
    </w:p>
    <w:p w:rsidRPr="00C94B19" w:rsidR="00C94B19" w:rsidP="00C94B19" w:rsidRDefault="00C94B19" w14:paraId="733E3690" w14:textId="77777777">
      <w:pPr>
        <w:jc w:val="both"/>
      </w:pPr>
    </w:p>
    <w:p w:rsidRPr="00C94B19" w:rsidR="00C94B19" w:rsidP="00C94B19" w:rsidRDefault="00C94B19" w14:paraId="4FD7F053" w14:textId="3AA5CE9D">
      <w:pPr>
        <w:jc w:val="both"/>
        <w:rPr>
          <w:rFonts w:eastAsia="Arial Unicode MS"/>
        </w:rPr>
      </w:pPr>
      <w:r w:rsidRPr="00C94B19">
        <w:rPr>
          <w:rFonts w:eastAsia="Arial Unicode MS"/>
        </w:rPr>
        <w:t>Que, la señalada reclamación cumple con los requisitos de materia, cuantía y oportunidad establecidos en el Reglamento de la DEFASEG (</w:t>
      </w:r>
      <w:hyperlink w:history="1" r:id="rId8">
        <w:r w:rsidRPr="00C94B19">
          <w:rPr>
            <w:rStyle w:val="Hipervnculo"/>
            <w:rFonts w:eastAsia="Arial Unicode MS"/>
          </w:rPr>
          <w:t>http://www.defaseg.com.pe/reglamento</w:t>
        </w:r>
      </w:hyperlink>
      <w:r w:rsidRPr="00C94B19">
        <w:rPr>
          <w:rFonts w:eastAsia="Arial Unicode MS"/>
        </w:rPr>
        <w:t>);</w:t>
      </w:r>
    </w:p>
    <w:p w:rsidRPr="00C94B19" w:rsidR="00C94B19" w:rsidP="00C94B19" w:rsidRDefault="00C94B19" w14:paraId="482E9403" w14:textId="77777777">
      <w:pPr>
        <w:jc w:val="both"/>
        <w:rPr>
          <w:rFonts w:eastAsia="Arial Unicode MS"/>
        </w:rPr>
      </w:pPr>
    </w:p>
    <w:p w:rsidRPr="00C94B19" w:rsidR="00C94B19" w:rsidP="00C94B19" w:rsidRDefault="00C94B19" w14:paraId="2A2B82E9" w14:textId="54D10CED">
      <w:pPr>
        <w:tabs>
          <w:tab w:val="num" w:pos="720"/>
        </w:tabs>
        <w:jc w:val="both"/>
      </w:pPr>
      <w:r w:rsidR="2A51EFDE">
        <w:rPr/>
        <w:t xml:space="preserve">Que, habiéndosele corrido traslado de la respectiva reclamación, </w:t>
      </w:r>
      <w:r w:rsidRPr="53E65F6F" w:rsidR="359030FD">
        <w:rPr>
          <w:lang w:val="es-MX"/>
        </w:rPr>
        <w:t>......................................</w:t>
      </w:r>
      <w:r w:rsidRPr="53E65F6F" w:rsidR="2A51EFDE">
        <w:rPr>
          <w:b w:val="1"/>
          <w:bCs w:val="1"/>
          <w:lang w:val="es-MX"/>
        </w:rPr>
        <w:t xml:space="preserve"> </w:t>
      </w:r>
      <w:r w:rsidR="2A51EFDE">
        <w:rPr/>
        <w:t>cumplió con presentar sus respectivos descargos;</w:t>
      </w:r>
    </w:p>
    <w:p w:rsidRPr="00C94B19" w:rsidR="00C94B19" w:rsidP="00C94B19" w:rsidRDefault="00C94B19" w14:paraId="6249E78E" w14:textId="276083B0">
      <w:pPr>
        <w:tabs>
          <w:tab w:val="num" w:pos="720"/>
        </w:tabs>
        <w:jc w:val="both"/>
      </w:pPr>
      <w:r w:rsidRPr="00C94B19">
        <w:t>Que, el 03 de mayo de 2021 se realizó la audiencia de vista en entorno virtual, con la participación de las partes, quienes tuvieron oportunidad de exponer su posición tratándose de la materia reclamada, absolviendo las diversas preguntas que les fueron formuladas;</w:t>
      </w:r>
    </w:p>
    <w:p w:rsidRPr="00C94B19" w:rsidR="00C94B19" w:rsidP="00C94B19" w:rsidRDefault="00C94B19" w14:paraId="3CA8C6E3" w14:textId="77777777">
      <w:pPr>
        <w:tabs>
          <w:tab w:val="num" w:pos="720"/>
        </w:tabs>
        <w:jc w:val="both"/>
      </w:pPr>
    </w:p>
    <w:p w:rsidRPr="00C94B19" w:rsidR="00C94B19" w:rsidP="00C94B19" w:rsidRDefault="00C94B19" w14:paraId="4845144B" w14:textId="58B5F68D">
      <w:pPr>
        <w:jc w:val="both"/>
      </w:pPr>
      <w:r w:rsidR="2A51EFDE">
        <w:rPr/>
        <w:t>Que, el reclamante expresa su disconformidad con el rechazo de cobertura, solicitando que la DEFASEG se sirva atender su caso, considerando los antecedentes y fundamentos enunciados resumidamente a continuación: (1)</w:t>
      </w:r>
      <w:r w:rsidRPr="53E65F6F" w:rsidR="2A51EFDE">
        <w:rPr>
          <w:lang w:val="es-MX"/>
        </w:rPr>
        <w:t xml:space="preserve"> solicita</w:t>
      </w:r>
      <w:r w:rsidR="2A51EFDE">
        <w:rPr/>
        <w:t xml:space="preserve"> la cobertura de los gastos por los tratamientos como consecuencia de padecer de </w:t>
      </w:r>
      <w:r w:rsidR="44BD923A">
        <w:rPr/>
        <w:t>............</w:t>
      </w:r>
      <w:r w:rsidR="2A51EFDE">
        <w:rPr/>
        <w:t xml:space="preserve"> </w:t>
      </w:r>
      <w:r w:rsidR="6D159877">
        <w:rPr/>
        <w:t>...</w:t>
      </w:r>
      <w:r w:rsidR="2A51EFDE">
        <w:rPr/>
        <w:t xml:space="preserve">; (2) el 14 de noviembre de 2020 ingresó a la Clínica Ricardo Palma al presentar sintomatología por </w:t>
      </w:r>
      <w:r w:rsidR="44BD923A">
        <w:rPr/>
        <w:t>............</w:t>
      </w:r>
      <w:r w:rsidR="2A51EFDE">
        <w:rPr/>
        <w:t xml:space="preserve"> </w:t>
      </w:r>
      <w:r w:rsidR="6D159877">
        <w:rPr/>
        <w:t>...</w:t>
      </w:r>
      <w:r w:rsidR="2A51EFDE">
        <w:rPr/>
        <w:t>, siendo ingresado a la zona de tratamiento de pacientes con dicha enfermedad; (3) luego del periodo de hospitalización, el Informe de Alta e Instrucciones de Tratamiento</w:t>
      </w:r>
      <w:r w:rsidRPr="53E65F6F" w:rsidR="2A51EFDE">
        <w:rPr>
          <w:b w:val="1"/>
          <w:bCs w:val="1"/>
        </w:rPr>
        <w:t xml:space="preserve"> </w:t>
      </w:r>
      <w:r w:rsidR="2A51EFDE">
        <w:rPr/>
        <w:t>suscrito por el médico Luis Ricardo Illescas Mucha (Infectología), refiere los siguientes aspectos relevantes: “</w:t>
      </w:r>
      <w:r w:rsidRPr="53E65F6F" w:rsidR="2A51EFDE">
        <w:rPr>
          <w:i w:val="1"/>
          <w:iCs w:val="1"/>
        </w:rPr>
        <w:t xml:space="preserve">El Diagnóstico de Ingreso: Neumonía Viral DC </w:t>
      </w:r>
      <w:r w:rsidRPr="53E65F6F" w:rsidR="44BD923A">
        <w:rPr>
          <w:i w:val="1"/>
          <w:iCs w:val="1"/>
        </w:rPr>
        <w:t>............</w:t>
      </w:r>
      <w:r w:rsidRPr="53E65F6F" w:rsidR="2A51EFDE">
        <w:rPr>
          <w:i w:val="1"/>
          <w:iCs w:val="1"/>
        </w:rPr>
        <w:t xml:space="preserve"> </w:t>
      </w:r>
      <w:r w:rsidRPr="53E65F6F" w:rsidR="6D159877">
        <w:rPr>
          <w:i w:val="1"/>
          <w:iCs w:val="1"/>
        </w:rPr>
        <w:t>...</w:t>
      </w:r>
      <w:r w:rsidRPr="53E65F6F" w:rsidR="2A51EFDE">
        <w:rPr>
          <w:i w:val="1"/>
          <w:iCs w:val="1"/>
        </w:rPr>
        <w:t xml:space="preserve"> (Código CIE-10:J12.9); Procedimiento: NEUMONIA INTERSTICIAL ATIPICA (</w:t>
      </w:r>
      <w:r w:rsidRPr="53E65F6F" w:rsidR="2E55AB60">
        <w:rPr>
          <w:i w:val="1"/>
          <w:iCs w:val="1"/>
        </w:rPr>
        <w:t>...................</w:t>
      </w:r>
      <w:r w:rsidRPr="53E65F6F" w:rsidR="2A51EFDE">
        <w:rPr>
          <w:i w:val="1"/>
          <w:iCs w:val="1"/>
        </w:rPr>
        <w:t>) QUE COMPARATIVAMENTE CON ESTUDIO PREVIO MUESTRA PROGRESION DE ENFERMEDAD. Diagnóstico de Alta: -Insuficiencia Respiratoria Aguda (J96.0) -</w:t>
      </w:r>
      <w:r w:rsidRPr="53E65F6F" w:rsidR="2E55AB60">
        <w:rPr>
          <w:i w:val="1"/>
          <w:iCs w:val="1"/>
        </w:rPr>
        <w:t>...................</w:t>
      </w:r>
      <w:r w:rsidRPr="53E65F6F" w:rsidR="2A51EFDE">
        <w:rPr>
          <w:i w:val="1"/>
          <w:iCs w:val="1"/>
        </w:rPr>
        <w:t xml:space="preserve"> (U07.1) -Nódulos </w:t>
      </w:r>
      <w:r w:rsidRPr="53E65F6F" w:rsidR="77BABC32">
        <w:rPr>
          <w:i w:val="1"/>
          <w:iCs w:val="1"/>
        </w:rPr>
        <w:t>.....................</w:t>
      </w:r>
      <w:r w:rsidRPr="53E65F6F" w:rsidR="2A51EFDE">
        <w:rPr>
          <w:i w:val="1"/>
          <w:iCs w:val="1"/>
        </w:rPr>
        <w:t xml:space="preserve"> en Estudio (R91)-Enfermedad por (</w:t>
      </w:r>
      <w:r w:rsidRPr="53E65F6F" w:rsidR="145DC207">
        <w:rPr>
          <w:i w:val="1"/>
          <w:iCs w:val="1"/>
        </w:rPr>
        <w:t>........</w:t>
      </w:r>
      <w:r w:rsidRPr="53E65F6F" w:rsidR="2A51EFDE">
        <w:rPr>
          <w:i w:val="1"/>
          <w:iCs w:val="1"/>
        </w:rPr>
        <w:t xml:space="preserve">) resultante en neumonía por </w:t>
      </w:r>
      <w:r w:rsidRPr="53E65F6F" w:rsidR="2A51EFDE">
        <w:rPr>
          <w:i w:val="1"/>
          <w:iCs w:val="1"/>
        </w:rPr>
        <w:t>Pneumocystis</w:t>
      </w:r>
      <w:r w:rsidRPr="53E65F6F" w:rsidR="2A51EFDE">
        <w:rPr>
          <w:i w:val="1"/>
          <w:iCs w:val="1"/>
        </w:rPr>
        <w:t xml:space="preserve"> </w:t>
      </w:r>
      <w:r w:rsidRPr="53E65F6F" w:rsidR="2A51EFDE">
        <w:rPr>
          <w:i w:val="1"/>
          <w:iCs w:val="1"/>
        </w:rPr>
        <w:t>Carinii</w:t>
      </w:r>
      <w:r w:rsidRPr="53E65F6F" w:rsidR="2A51EFDE">
        <w:rPr>
          <w:i w:val="1"/>
          <w:iCs w:val="1"/>
        </w:rPr>
        <w:t xml:space="preserve"> (B20.6)”</w:t>
      </w:r>
      <w:r w:rsidR="2A51EFDE">
        <w:rPr/>
        <w:t>; (4) en el Informe de Alta</w:t>
      </w:r>
      <w:r w:rsidRPr="53E65F6F" w:rsidR="2A51EFDE">
        <w:rPr>
          <w:b w:val="1"/>
          <w:bCs w:val="1"/>
        </w:rPr>
        <w:t xml:space="preserve">, </w:t>
      </w:r>
      <w:r w:rsidR="2A51EFDE">
        <w:rPr/>
        <w:t xml:space="preserve">consta que el diagnóstico de ingreso fue </w:t>
      </w:r>
      <w:r w:rsidR="2E55AB60">
        <w:rPr/>
        <w:t>...................</w:t>
      </w:r>
      <w:r w:rsidR="2A51EFDE">
        <w:rPr/>
        <w:t xml:space="preserve">, el procedimiento médico empleado fue por </w:t>
      </w:r>
      <w:r w:rsidR="2E55AB60">
        <w:rPr/>
        <w:t>...................</w:t>
      </w:r>
      <w:r w:rsidR="2A51EFDE">
        <w:rPr/>
        <w:t xml:space="preserve"> y el Diagnóstico de Alta también refiere </w:t>
      </w:r>
      <w:r w:rsidR="2E55AB60">
        <w:rPr/>
        <w:t>...................</w:t>
      </w:r>
      <w:r w:rsidR="2A51EFDE">
        <w:rPr/>
        <w:t xml:space="preserve">; (5)  durante el periodo de atención médica hospitalaria en la Clínica Ricardo Palma para el tratamiento por el </w:t>
      </w:r>
      <w:r w:rsidR="2E55AB60">
        <w:rPr/>
        <w:t>...................</w:t>
      </w:r>
      <w:r w:rsidR="2A51EFDE">
        <w:rPr/>
        <w:t xml:space="preserve">, se le realizaron diversos análisis, entre ellos, la prueba para descartar el </w:t>
      </w:r>
      <w:r w:rsidR="145DC207">
        <w:rPr/>
        <w:t>........</w:t>
      </w:r>
      <w:r w:rsidR="2A51EFDE">
        <w:rPr/>
        <w:t xml:space="preserve">, sin que la Clínica o el Laboratorio hayan solicitado su consentimiento informado; (6) el resultado de la prueba fue remitido a la Compañía de Seguros sin su autorización; (7) la liquidación de gastos de la clínica tiene dos componentes; una donde la aseguradora reconoce parte de los gastos clínicos y otra donde al paciente, la clínica lo califica como persona particular sin seguro. Así, la Liquidación de Excedente a Cargo del Asegurado, donde el importe total es de S/. 31,135.23, gastos que sí reconoce la aseguradora, debiendo el asegurado pagar el 25% como Coaseguro: S/. 9,843.52, lo que no corresponde, al ser gastos asociados a mi internamiento clínico por la enfermedad </w:t>
      </w:r>
      <w:r w:rsidR="2E55AB60">
        <w:rPr/>
        <w:t>...................</w:t>
      </w:r>
      <w:r w:rsidR="2A51EFDE">
        <w:rPr/>
        <w:t xml:space="preserve">; (8) en la Copia de Liquidación N°406753, se consignan “otros costos” de la clínica, como honorarios por servicios auxiliares, honorarios médicos por un total neto a pagar de S/. 109,389.61, y que, de acuerdo a la Clínica, la aseguradora no quiere reconocer, por lo que estos han sido registrados como gastos de </w:t>
      </w:r>
      <w:r w:rsidR="2A51EFDE">
        <w:rPr/>
        <w:t xml:space="preserve">paciente particular, siendo que estos gastos se refieren a la misma época de hospitalización y diagnostico </w:t>
      </w:r>
      <w:r w:rsidR="2E55AB60">
        <w:rPr/>
        <w:t>...................</w:t>
      </w:r>
      <w:r w:rsidR="2A51EFDE">
        <w:rPr/>
        <w:t xml:space="preserve">; (9) la aseguradora debe asumir todos los gastos incurridos en la atención médica realizada por la Clínica Ricardo Palma, pues es beneficiario de un seguro cuya cobertura le permite obtener una atención médica integral; (10)  el seguro contratado no excluye los gastos derivados o a consecuencia del </w:t>
      </w:r>
      <w:r w:rsidR="44BD923A">
        <w:rPr/>
        <w:t>............</w:t>
      </w:r>
      <w:r w:rsidR="2A51EFDE">
        <w:rPr/>
        <w:t xml:space="preserve"> </w:t>
      </w:r>
      <w:r w:rsidR="6D159877">
        <w:rPr/>
        <w:t>...</w:t>
      </w:r>
      <w:r w:rsidR="2A51EFDE">
        <w:rPr/>
        <w:t>, ya que dicha cobertura solo se encuentra sujeta a los copagos, conforme al artículo 8 de la póliza; (11) en el mes de junio de 2020, la aseguradora optó por modificar las condiciones de la indicada póliza, en los términos siguientes: “</w:t>
      </w:r>
      <w:r w:rsidRPr="53E65F6F" w:rsidR="2A51EFDE">
        <w:rPr>
          <w:i w:val="1"/>
          <w:iCs w:val="1"/>
        </w:rPr>
        <w:t xml:space="preserve">Modificamos nuestras pólizas levantando sin restricciones los límites de cobertura para pandemias de nuestros productos de salud integrales y planes de EPS, para que los asegurados y afiliados de </w:t>
      </w:r>
      <w:r w:rsidRPr="53E65F6F" w:rsidR="70280D49">
        <w:rPr>
          <w:i w:val="1"/>
          <w:iCs w:val="1"/>
        </w:rPr>
        <w:t>....................</w:t>
      </w:r>
      <w:r w:rsidRPr="53E65F6F" w:rsidR="2A51EFDE">
        <w:rPr>
          <w:i w:val="1"/>
          <w:iCs w:val="1"/>
        </w:rPr>
        <w:t xml:space="preserve"> cuenten con el 100% de cobertura en atenciones de urgencia, emergencia y hospitalización por diagnóstico de </w:t>
      </w:r>
      <w:r w:rsidRPr="53E65F6F" w:rsidR="44BD923A">
        <w:rPr>
          <w:i w:val="1"/>
          <w:iCs w:val="1"/>
        </w:rPr>
        <w:t>............</w:t>
      </w:r>
      <w:r w:rsidRPr="53E65F6F" w:rsidR="2A51EFDE">
        <w:rPr>
          <w:i w:val="1"/>
          <w:iCs w:val="1"/>
        </w:rPr>
        <w:t>-</w:t>
      </w:r>
      <w:r w:rsidRPr="53E65F6F" w:rsidR="6D159877">
        <w:rPr>
          <w:i w:val="1"/>
          <w:iCs w:val="1"/>
        </w:rPr>
        <w:t>...</w:t>
      </w:r>
      <w:r w:rsidRPr="53E65F6F" w:rsidR="2A51EFDE">
        <w:rPr>
          <w:i w:val="1"/>
          <w:iCs w:val="1"/>
        </w:rPr>
        <w:t>, aplicando el ‘copago cero’”</w:t>
      </w:r>
      <w:r w:rsidR="2A51EFDE">
        <w:rPr/>
        <w:t xml:space="preserve">; (12) el 26 de junio de 2020 el Gerente de la División de Seguros de Salud de </w:t>
      </w:r>
      <w:r w:rsidR="70280D49">
        <w:rPr/>
        <w:t>....................</w:t>
      </w:r>
      <w:r w:rsidR="2A51EFDE">
        <w:rPr/>
        <w:t>,</w:t>
      </w:r>
      <w:r w:rsidR="76FC9BD6">
        <w:rPr/>
        <w:t>.......................................</w:t>
      </w:r>
      <w:r w:rsidR="2A51EFDE">
        <w:rPr/>
        <w:t xml:space="preserve">, con el fin de precisar los alcances de la modificación de la póliza, señalo que para acompañar a los asegurados que pudieran verse afectados por el </w:t>
      </w:r>
      <w:r w:rsidR="44BD923A">
        <w:rPr/>
        <w:t>............</w:t>
      </w:r>
      <w:r w:rsidR="2A51EFDE">
        <w:rPr/>
        <w:t>-</w:t>
      </w:r>
      <w:r w:rsidR="6D159877">
        <w:rPr/>
        <w:t>...</w:t>
      </w:r>
      <w:r w:rsidR="2A51EFDE">
        <w:rPr/>
        <w:t xml:space="preserve">, procedieron a adecuar las coberturas, levantando sin restricciones los límites para pandemias en todos nuestros productos con cobertura </w:t>
      </w:r>
      <w:r w:rsidR="44BD923A">
        <w:rPr/>
        <w:t>............</w:t>
      </w:r>
      <w:r w:rsidR="2A51EFDE">
        <w:rPr/>
        <w:t xml:space="preserve"> y decidieron que cualquier gasto por encima de los 50,000 soles sería cubierto al 100%, reduciendo así los copagos en grandes proporciones; (13) en el aviso de modificación de la póliza, el único requisito para acceder al beneficio de que cualquier gasto médico sea cubierto al 100% por la Compañía de Seguros, es que este gasto tenga que ser mayor a los 50,000 soles, pero además que el paciente sea diagnosticado por </w:t>
      </w:r>
      <w:r w:rsidR="2E55AB60">
        <w:rPr/>
        <w:t>...................</w:t>
      </w:r>
      <w:r w:rsidR="2A51EFDE">
        <w:rPr/>
        <w:t xml:space="preserve">. Ambas condiciones se cumplen en el presente caso; (14) la aseguradora ha eliminado toda restricción de la póliza en caso </w:t>
      </w:r>
      <w:r w:rsidR="2E55AB60">
        <w:rPr/>
        <w:t>...................</w:t>
      </w:r>
      <w:r w:rsidR="2A51EFDE">
        <w:rPr/>
        <w:t xml:space="preserve">, por lo que solicita se disponga que la Compañía de </w:t>
      </w:r>
      <w:r w:rsidR="22726434">
        <w:rPr/>
        <w:t>................................</w:t>
      </w:r>
      <w:r w:rsidR="2A51EFDE">
        <w:rPr/>
        <w:t xml:space="preserve"> cubra al 100% los gastos o cualquier gasto derivado de su atención médica por </w:t>
      </w:r>
      <w:r w:rsidR="2E55AB60">
        <w:rPr/>
        <w:t>...................</w:t>
      </w:r>
      <w:r w:rsidR="2A51EFDE">
        <w:rPr/>
        <w:t>, exigidos por la Clínica Ricardo Palma en sus dos liquidaciones de gastos; (15) pide se investigue y sancione a los autores de la vulneración de mis derechos protegidos por la Ley General de Salud y sus protocolos de exámenes y resultados de pruebas.</w:t>
      </w:r>
    </w:p>
    <w:p w:rsidRPr="00C94B19" w:rsidR="00C94B19" w:rsidP="00C94B19" w:rsidRDefault="00C94B19" w14:paraId="63ADCA8D" w14:textId="77777777">
      <w:pPr>
        <w:jc w:val="both"/>
      </w:pPr>
    </w:p>
    <w:p w:rsidRPr="00C94B19" w:rsidR="00C94B19" w:rsidP="00C94B19" w:rsidRDefault="00C94B19" w14:paraId="1D2855B1" w14:textId="317756D5">
      <w:pPr>
        <w:jc w:val="both"/>
      </w:pPr>
      <w:r w:rsidR="2A51EFDE">
        <w:rPr/>
        <w:t xml:space="preserve">Que, por su parte, </w:t>
      </w:r>
      <w:r w:rsidR="359030FD">
        <w:rPr/>
        <w:t>......................................</w:t>
      </w:r>
      <w:r w:rsidR="2A51EFDE">
        <w:rPr/>
        <w:t xml:space="preserve"> solicita que la reclamación sea declarada infundada, atendiendo resumidamente a lo siguiente: (1) se </w:t>
      </w:r>
      <w:r w:rsidRPr="53E65F6F" w:rsidR="2A51EFDE">
        <w:rPr>
          <w:lang w:eastAsia="es-PE"/>
        </w:rPr>
        <w:t xml:space="preserve">rechazó válidamente la solicitud del asegurado; (2) </w:t>
      </w:r>
      <w:r w:rsidR="2A51EFDE">
        <w:rPr/>
        <w:t>se emitió con fecha 04 de noviembre del 2020</w:t>
      </w:r>
      <w:r w:rsidR="2A51EFDE">
        <w:rPr/>
        <w:t xml:space="preserve"> l</w:t>
      </w:r>
      <w:r w:rsidR="2A51EFDE">
        <w:rPr/>
        <w:t xml:space="preserve">a Carta de Garantía </w:t>
      </w:r>
      <w:r w:rsidR="2A51EFDE">
        <w:rPr/>
        <w:t>N°</w:t>
      </w:r>
      <w:r w:rsidR="2A51EFDE">
        <w:rPr/>
        <w:t xml:space="preserve"> 1511016 con COBERTURA EXTRAORDINARIA AL 100% por diagnóstico de </w:t>
      </w:r>
      <w:r w:rsidR="44BD923A">
        <w:rPr/>
        <w:t>............</w:t>
      </w:r>
      <w:r w:rsidR="2A51EFDE">
        <w:rPr/>
        <w:t>-</w:t>
      </w:r>
      <w:r w:rsidR="6D159877">
        <w:rPr/>
        <w:t>...</w:t>
      </w:r>
      <w:r w:rsidR="2A51EFDE">
        <w:rPr/>
        <w:t xml:space="preserve"> en favor del asegurado</w:t>
      </w:r>
      <w:r w:rsidRPr="53E65F6F" w:rsidR="2A51EFDE">
        <w:rPr>
          <w:b w:val="1"/>
          <w:bCs w:val="1"/>
        </w:rPr>
        <w:t xml:space="preserve"> </w:t>
      </w:r>
      <w:r w:rsidR="2A51EFDE">
        <w:rPr/>
        <w:t>(en atención al compromiso de la compañía de seguros hecho el año 2020 frente a nuestros clientes en el contexto de pandemia); (3) Agrega que el día 15 de noviembre de 2020 la Clínica Ricardo Palma solicitó una Carta de Garantía como ampliación, remitiendo para ello un sustento tomográfico, inicialmente por imágenes tomográficas del reclamante</w:t>
      </w:r>
      <w:r w:rsidRPr="53E65F6F" w:rsidR="2A51EFDE">
        <w:rPr>
          <w:b w:val="1"/>
          <w:bCs w:val="1"/>
        </w:rPr>
        <w:t xml:space="preserve"> </w:t>
      </w:r>
      <w:r w:rsidR="2A51EFDE">
        <w:rPr/>
        <w:t xml:space="preserve">compatibles con </w:t>
      </w:r>
      <w:r w:rsidR="44BD923A">
        <w:rPr/>
        <w:t>............</w:t>
      </w:r>
      <w:r w:rsidR="2A51EFDE">
        <w:rPr/>
        <w:t>-</w:t>
      </w:r>
      <w:r w:rsidR="6D159877">
        <w:rPr/>
        <w:t>...</w:t>
      </w:r>
      <w:r w:rsidR="2A51EFDE">
        <w:rPr/>
        <w:t>. Así, ante dicha solicitud de la clínica, con fecha 16 de noviembre de</w:t>
      </w:r>
      <w:r w:rsidR="2A51EFDE">
        <w:rPr/>
        <w:t xml:space="preserve">l </w:t>
      </w:r>
      <w:r w:rsidR="2A51EFDE">
        <w:rPr/>
        <w:t xml:space="preserve">2020 se emitió la Carta de Garantía </w:t>
      </w:r>
      <w:r w:rsidR="2A51EFDE">
        <w:rPr/>
        <w:t>N°</w:t>
      </w:r>
      <w:r w:rsidR="2A51EFDE">
        <w:rPr/>
        <w:t xml:space="preserve"> </w:t>
      </w:r>
      <w:r w:rsidR="1171CA79">
        <w:rPr/>
        <w:t>................</w:t>
      </w:r>
      <w:r w:rsidR="2A51EFDE">
        <w:rPr/>
        <w:t xml:space="preserve"> por el diagnóstico “Neumonía Viral No especificada”, esta vez otorgando la COBERTURA BAJO BENEFICIO HOSPITALARIO (la que aplica con deducible y coaseguro), toda vez que el asegurado</w:t>
      </w:r>
      <w:r w:rsidRPr="53E65F6F" w:rsidR="2A51EFDE">
        <w:rPr>
          <w:b w:val="1"/>
          <w:bCs w:val="1"/>
        </w:rPr>
        <w:t xml:space="preserve"> </w:t>
      </w:r>
      <w:r w:rsidR="2A51EFDE">
        <w:rPr/>
        <w:t xml:space="preserve">ya había superado los 14 días del ciclo viral </w:t>
      </w:r>
      <w:r w:rsidR="44BD923A">
        <w:rPr/>
        <w:t>............</w:t>
      </w:r>
      <w:r w:rsidR="2A51EFDE">
        <w:rPr/>
        <w:t>-</w:t>
      </w:r>
      <w:r w:rsidR="6D159877">
        <w:rPr/>
        <w:t>...</w:t>
      </w:r>
      <w:r w:rsidR="2A51EFDE">
        <w:rPr/>
        <w:t>; (4) en dicha carta de garantía se destacó como observación el posible cambio en las condiciones de cobertura, supeditado a los resultados d</w:t>
      </w:r>
      <w:r w:rsidR="2A51EFDE">
        <w:rPr/>
        <w:t>e</w:t>
      </w:r>
      <w:r w:rsidR="2A51EFDE">
        <w:rPr/>
        <w:t xml:space="preserve"> la prueba molecular a la que se sometió el asegurado que se encontraban pendiente; (5) el 16 de noviembre del 2020 se reportó los resultados de la prueba molecular realizada al asegurado, el cual salió NEGATIVO a </w:t>
      </w:r>
      <w:r w:rsidR="44BD923A">
        <w:rPr/>
        <w:t>............</w:t>
      </w:r>
      <w:r w:rsidR="2A51EFDE">
        <w:rPr/>
        <w:t>-</w:t>
      </w:r>
      <w:r w:rsidR="6D159877">
        <w:rPr/>
        <w:t>...</w:t>
      </w:r>
      <w:r w:rsidR="2A51EFDE">
        <w:rPr/>
        <w:t>; (6) el 26 de noviembre del 2020 la clínica solicitó nuevamente una carta de garantía, toda vez que el asegurado</w:t>
      </w:r>
      <w:r w:rsidRPr="53E65F6F" w:rsidR="2A51EFDE">
        <w:rPr>
          <w:b w:val="1"/>
          <w:bCs w:val="1"/>
        </w:rPr>
        <w:t xml:space="preserve"> </w:t>
      </w:r>
      <w:r w:rsidR="2A51EFDE">
        <w:rPr/>
        <w:t xml:space="preserve">continuaba hospitalizado en su nosocomio. En dicha nueva solicitud, la clínica remitió la documentación sustentadora, entre las cuales se encontraban los resultados de una </w:t>
      </w:r>
      <w:r w:rsidR="2A51EFDE">
        <w:rPr/>
        <w:t>prueba WESTERN BLOT (</w:t>
      </w:r>
      <w:r w:rsidR="2CAD7528">
        <w:rPr/>
        <w:t>......</w:t>
      </w:r>
      <w:r w:rsidR="2A51EFDE">
        <w:rPr/>
        <w:t>). De los documentos médicos del reclamante, el resultado de su prueba WESTERN BLOT (</w:t>
      </w:r>
      <w:r w:rsidR="2CAD7528">
        <w:rPr/>
        <w:t>......</w:t>
      </w:r>
      <w:r w:rsidR="2A51EFDE">
        <w:rPr/>
        <w:t xml:space="preserve">) </w:t>
      </w:r>
      <w:r w:rsidR="722D99E6">
        <w:rPr/>
        <w:t>..................................................................................</w:t>
      </w:r>
      <w:r w:rsidR="2A51EFDE">
        <w:rPr/>
        <w:t xml:space="preserve"> (</w:t>
      </w:r>
      <w:r w:rsidR="145DC207">
        <w:rPr/>
        <w:t>........</w:t>
      </w:r>
      <w:r w:rsidR="2A51EFDE">
        <w:rPr/>
        <w:t xml:space="preserve">), en estadio de </w:t>
      </w:r>
      <w:r w:rsidR="608FA2BE">
        <w:rPr/>
        <w:t>........</w:t>
      </w:r>
      <w:r w:rsidR="2A51EFDE">
        <w:rPr/>
        <w:t xml:space="preserve">. Esto ratificó que el motivo de la hospitalización no era consecuente a la infección por </w:t>
      </w:r>
      <w:r w:rsidR="4EBA017D">
        <w:rPr/>
        <w:t>...................................................</w:t>
      </w:r>
      <w:r w:rsidR="2A51EFDE">
        <w:rPr/>
        <w:t xml:space="preserve">, sino a </w:t>
      </w:r>
      <w:r w:rsidR="2A51EFDE">
        <w:rPr/>
        <w:t>otros agentes infecciones</w:t>
      </w:r>
      <w:r w:rsidR="2A51EFDE">
        <w:rPr/>
        <w:t xml:space="preserve">, como el </w:t>
      </w:r>
      <w:r w:rsidR="2A51EFDE">
        <w:rPr/>
        <w:t>Pneumocystis</w:t>
      </w:r>
      <w:r w:rsidR="2A51EFDE">
        <w:rPr/>
        <w:t xml:space="preserve">, planteado por el mismo médico tratante, cuya terapia exigió la administración de antibióticos; (7) en concordancia con ello, el 28 de noviembre del 2020 la Clínica Ricardo Palma también solicitó una carta de garantía para terapia antirretroviral, específica para </w:t>
      </w:r>
      <w:r w:rsidR="608FA2BE">
        <w:rPr/>
        <w:t>........</w:t>
      </w:r>
      <w:r w:rsidR="2A51EFDE">
        <w:rPr/>
        <w:t xml:space="preserve"> (Efavirenz y </w:t>
      </w:r>
      <w:r w:rsidR="2A51EFDE">
        <w:rPr/>
        <w:t>Truva</w:t>
      </w:r>
      <w:r w:rsidR="2A51EFDE">
        <w:rPr/>
        <w:t xml:space="preserve">). No obstante, teniendo en cuenta dicho diagnóstico de </w:t>
      </w:r>
      <w:r w:rsidR="608FA2BE">
        <w:rPr/>
        <w:t>........</w:t>
      </w:r>
      <w:r w:rsidR="2A51EFDE">
        <w:rPr/>
        <w:t xml:space="preserve">, </w:t>
      </w:r>
      <w:r w:rsidR="70280D49">
        <w:rPr/>
        <w:t>....................</w:t>
      </w:r>
      <w:r w:rsidR="2A51EFDE">
        <w:rPr/>
        <w:t xml:space="preserve"> procedió, el día 30 de noviembre del 2020, a rechazar las dos cartas de garantía solicitadas por la clínica (la del 26 y 28 de noviembre), debido a que se presentaba una exclusión de cobertura de la Póliza contratada; (8) en la primera carta de garantía rechazada, </w:t>
      </w:r>
      <w:r w:rsidR="70280D49">
        <w:rPr/>
        <w:t>....................</w:t>
      </w:r>
      <w:r w:rsidR="2A51EFDE">
        <w:rPr/>
        <w:t xml:space="preserve"> indicó como observación que la fecha de corte de la cobertura (fecha hasta la cual asumía los gastos médicos del asegurado) era el 21 de noviembre del 2020, pues esta era la fecha de la prueba que dio resultado positivo para </w:t>
      </w:r>
      <w:r w:rsidR="145DC207">
        <w:rPr/>
        <w:t>........</w:t>
      </w:r>
      <w:r w:rsidR="2A51EFDE">
        <w:rPr/>
        <w:t xml:space="preserve">; (9) la exclusión de cobertura invocada se encuentra en el artículo 8° de las condiciones generales de la Póliza contratada por el asegurado (página 61); (10) con fecha 07 de diciembre del 2020 la Clínica Ricardo Palma solicitó una nueva carta de garantía como ampliación final para el asegurado, indicando que este se encontraba de alta. Dicho mismo día </w:t>
      </w:r>
      <w:r w:rsidR="70280D49">
        <w:rPr/>
        <w:t>....................</w:t>
      </w:r>
      <w:r w:rsidR="2A51EFDE">
        <w:rPr/>
        <w:t xml:space="preserve"> emitió la Carta de Garantía </w:t>
      </w:r>
      <w:r w:rsidR="2A51EFDE">
        <w:rPr/>
        <w:t>N°</w:t>
      </w:r>
      <w:r w:rsidR="2A51EFDE">
        <w:rPr/>
        <w:t xml:space="preserve"> </w:t>
      </w:r>
      <w:r w:rsidR="1171CA79">
        <w:rPr/>
        <w:t>................</w:t>
      </w:r>
      <w:r w:rsidR="2A51EFDE">
        <w:rPr/>
        <w:t xml:space="preserve">-5 por diagnóstico de Neumonía viral no especificada, con aplicación de deducible y coaseguro, señalándose en las observaciones que la cobertura finalizó el 21/11/2020, al confirmarse la exclusión de la Póliza; (11) asumió los costos médicos del asegurado de acuerdo con las condiciones de la Póliza tanto para su hospitalización desde el 03/11/20 hasta el 14/11/20 (cobertura al 100%), como la del 15/11/20 hasta el 21/11/20 (cobertura con deducible y coaseguro), siendo que en la fecha del 21/11/20 se culminó con la cobertura al acreditarse la configuración de una exclusión de cobertura. </w:t>
      </w:r>
    </w:p>
    <w:p w:rsidRPr="00C94B19" w:rsidR="00C94B19" w:rsidP="00C94B19" w:rsidRDefault="00C94B19" w14:paraId="2C4E7DB0" w14:textId="77777777">
      <w:pPr>
        <w:autoSpaceDE w:val="0"/>
        <w:autoSpaceDN w:val="0"/>
        <w:adjustRightInd w:val="0"/>
        <w:jc w:val="both"/>
      </w:pPr>
    </w:p>
    <w:p w:rsidRPr="00C94B19" w:rsidR="00C94B19" w:rsidP="00C94B19" w:rsidRDefault="00C94B19" w14:paraId="2F6C35FA" w14:textId="4DC05534">
      <w:pPr>
        <w:autoSpaceDE w:val="0"/>
        <w:autoSpaceDN w:val="0"/>
        <w:adjustRightInd w:val="0"/>
        <w:jc w:val="both"/>
      </w:pPr>
      <w:r w:rsidR="2A51EFDE">
        <w:rPr/>
        <w:t>Que</w:t>
      </w:r>
      <w:r w:rsidR="2A51EFDE">
        <w:rPr/>
        <w:t xml:space="preserve"> mediante escrito del 25 de junio de 2021, el reclamante precisa, en síntesis, lo siguiente: (1) la aseguradora aceptó que el asegurado </w:t>
      </w:r>
      <w:r w:rsidRPr="53E65F6F" w:rsidR="2A51EFDE">
        <w:rPr>
          <w:color w:val="000000" w:themeColor="text1" w:themeTint="FF" w:themeShade="FF"/>
          <w:lang w:eastAsia="es-PE"/>
        </w:rPr>
        <w:t xml:space="preserve">fue sometido a un tratamiento médico contra el </w:t>
      </w:r>
      <w:r w:rsidRPr="53E65F6F" w:rsidR="2E55AB60">
        <w:rPr>
          <w:color w:val="000000" w:themeColor="text1" w:themeTint="FF" w:themeShade="FF"/>
          <w:lang w:eastAsia="es-PE"/>
        </w:rPr>
        <w:t>...................</w:t>
      </w:r>
      <w:r w:rsidRPr="53E65F6F" w:rsidR="2A51EFDE">
        <w:rPr>
          <w:color w:val="000000" w:themeColor="text1" w:themeTint="FF" w:themeShade="FF"/>
          <w:lang w:eastAsia="es-PE"/>
        </w:rPr>
        <w:t xml:space="preserve">; (2) </w:t>
      </w:r>
      <w:r w:rsidR="2A51EFDE">
        <w:rPr/>
        <w:t xml:space="preserve">la Epicrisis es muy clara en señalar que desde el 14/11/2020 fecha en que el paciente </w:t>
      </w:r>
      <w:r w:rsidR="0C19124C">
        <w:rPr/>
        <w:t>....................</w:t>
      </w:r>
      <w:r w:rsidR="2A51EFDE">
        <w:rPr/>
        <w:t xml:space="preserve"> fue ingresado, hasta el 24/12/2020 fecha de su egreso fue tratado por </w:t>
      </w:r>
      <w:r w:rsidR="2E55AB60">
        <w:rPr/>
        <w:t>...................</w:t>
      </w:r>
      <w:r w:rsidR="2A51EFDE">
        <w:rPr/>
        <w:t xml:space="preserve">; (3) si bien la Compañía en su defensa, alega que el paciente ingreso por una Neumonía viral inespecífica y que nunca se demostró infección por </w:t>
      </w:r>
      <w:r w:rsidR="44BD923A">
        <w:rPr/>
        <w:t>............</w:t>
      </w:r>
      <w:r w:rsidR="2A51EFDE">
        <w:rPr/>
        <w:t xml:space="preserve">, tampoco se demostró que no haya tenido infección por </w:t>
      </w:r>
      <w:r w:rsidR="2E55AB60">
        <w:rPr/>
        <w:t>...................</w:t>
      </w:r>
      <w:r w:rsidR="2A51EFDE">
        <w:rPr/>
        <w:t xml:space="preserve">; (4) sobre la Carta de Garantía </w:t>
      </w:r>
      <w:r w:rsidR="2A51EFDE">
        <w:rPr/>
        <w:t>N°</w:t>
      </w:r>
      <w:r w:rsidR="2A51EFDE">
        <w:rPr/>
        <w:t xml:space="preserve"> </w:t>
      </w:r>
      <w:r w:rsidR="1171CA79">
        <w:rPr/>
        <w:t>................</w:t>
      </w:r>
      <w:r w:rsidR="2A51EFDE">
        <w:rPr/>
        <w:t xml:space="preserve"> se debe considerar que la aseguradora informa a la Clínica Ricardo Palma “que los gastos que ocasione la atención del paciente que indicamos, serán por nuestra cuenta”.</w:t>
      </w:r>
      <w:r w:rsidRPr="53E65F6F" w:rsidR="2A51EFDE">
        <w:rPr>
          <w:b w:val="1"/>
          <w:bCs w:val="1"/>
        </w:rPr>
        <w:t xml:space="preserve"> </w:t>
      </w:r>
      <w:r w:rsidR="2A51EFDE">
        <w:rPr/>
        <w:t xml:space="preserve">Es decir, la aseguradora informa a la Clínica que los gastos que ocasione la atención del asegurado serán por su cuenta; (5) </w:t>
      </w:r>
      <w:r w:rsidR="2A51EFDE">
        <w:rPr/>
        <w:t>en relación a</w:t>
      </w:r>
      <w:r w:rsidR="2A51EFDE">
        <w:rPr/>
        <w:t xml:space="preserve"> la autorización del financiamiento de la hospitalización, la aseguradora advierte a la Clínica de una posible modificación de condiciones de cobertura </w:t>
      </w:r>
      <w:r w:rsidR="2A51EFDE">
        <w:rPr/>
        <w:t>de acuerdo a</w:t>
      </w:r>
      <w:r w:rsidR="2A51EFDE">
        <w:rPr/>
        <w:t xml:space="preserve"> resultados pendientes, no de la modificación de las condiciones de cobertura. El paciente  nunca fue comunicado del cambio de las condiciones de cobertura, por tanto, los gastos (todos) que ocasiono su atención médica fueron por cuenta de la Compañía de Seguros; (6) al no comunicarle el cambio de las condiciones de cobertura, se vulneró su derecho a decidir si asumía por su cuenta o no los gastos de la atención médica a la que fue sometido; (7) los resultados de la prueba molecular realizada al asegurado, el cual salió negativo</w:t>
      </w:r>
      <w:r w:rsidRPr="53E65F6F" w:rsidR="2A51EFDE">
        <w:rPr>
          <w:b w:val="1"/>
          <w:bCs w:val="1"/>
        </w:rPr>
        <w:t xml:space="preserve"> </w:t>
      </w:r>
      <w:r w:rsidR="2A51EFDE">
        <w:rPr/>
        <w:t xml:space="preserve">a </w:t>
      </w:r>
      <w:r w:rsidR="44BD923A">
        <w:rPr/>
        <w:t>............</w:t>
      </w:r>
      <w:r w:rsidR="2A51EFDE">
        <w:rPr/>
        <w:t>-</w:t>
      </w:r>
      <w:r w:rsidR="6D159877">
        <w:rPr/>
        <w:t>...</w:t>
      </w:r>
      <w:r w:rsidR="2A51EFDE">
        <w:rPr/>
        <w:t xml:space="preserve"> y que se reportó el 16 de noviembre del 2020, se debe considerar lo siguiente que la prueba molecular se realizó después de cuatro semanas de presentados los síntomas del </w:t>
      </w:r>
      <w:r w:rsidR="2E55AB60">
        <w:rPr/>
        <w:t>...................</w:t>
      </w:r>
      <w:r w:rsidR="2A51EFDE">
        <w:rPr/>
        <w:t xml:space="preserve"> en el paciente, por lo que la posibilidad de que el </w:t>
      </w:r>
      <w:r w:rsidR="2A51EFDE">
        <w:rPr/>
        <w:t xml:space="preserve">resultado de la prueba molecular sea negativo era muy probable, ya que el pico de la carga viral ocurre los primeros 4 o 5 días tras el inicio de los síntomas; (8) la aseguradora corrobora la poca efectividad de la prueba molecular realizada al asegurado por su aplicación extemporánea, ya que señala que con fecha 16 de noviembre de 2020 se ingresó la muestra y el 17 de noviembre a las 14:46 se dio el resultado empleando el Método RT-PCR en tiempo real, pero que a dicha fecha “el señor </w:t>
      </w:r>
      <w:r w:rsidR="0C19124C">
        <w:rPr/>
        <w:t>....................</w:t>
      </w:r>
      <w:r w:rsidR="2A51EFDE">
        <w:rPr/>
        <w:t xml:space="preserve"> ya había superado los 14 días del ciclo viral </w:t>
      </w:r>
      <w:r w:rsidR="2E55AB60">
        <w:rPr/>
        <w:t>...................</w:t>
      </w:r>
      <w:r w:rsidR="2A51EFDE">
        <w:rPr/>
        <w:t xml:space="preserve">; (9) según publicaciones médicas sobre la detección del virus: “Los días clave del SARS-CoV-2 (virus causante de la pandemia actual </w:t>
      </w:r>
      <w:r w:rsidR="2E55AB60">
        <w:rPr/>
        <w:t>...................</w:t>
      </w:r>
      <w:r w:rsidR="2A51EFDE">
        <w:rPr/>
        <w:t xml:space="preserve">): incubación, transmisibilidad y detección – Gaceta Médica – 5/02/2021”, el pico de la carga viral ocurre durante los primeros 5-6 días del inicio de los síntomas y desaparece al día 10, es decir, la sensibilidad de la prueba disminuye si se realiza después del ciclo viral </w:t>
      </w:r>
      <w:r w:rsidR="2E55AB60">
        <w:rPr/>
        <w:t>...................</w:t>
      </w:r>
      <w:r w:rsidR="2A51EFDE">
        <w:rPr/>
        <w:t xml:space="preserve"> (14 días); (10) en base a la información científica recopilada son varios los datos de laboratorio que están asociados a la presencia del </w:t>
      </w:r>
      <w:r w:rsidR="44BD923A">
        <w:rPr/>
        <w:t>............</w:t>
      </w:r>
      <w:r w:rsidR="2A51EFDE">
        <w:rPr/>
        <w:t>-</w:t>
      </w:r>
      <w:r w:rsidR="6D159877">
        <w:rPr/>
        <w:t>...</w:t>
      </w:r>
      <w:r w:rsidR="2A51EFDE">
        <w:rPr/>
        <w:t xml:space="preserve"> e incluso son predictores de la evolución con un cuadro grave de </w:t>
      </w:r>
      <w:r w:rsidR="44BD923A">
        <w:rPr/>
        <w:t>............</w:t>
      </w:r>
      <w:r w:rsidR="2A51EFDE">
        <w:rPr/>
        <w:t>-</w:t>
      </w:r>
      <w:r w:rsidR="6D159877">
        <w:rPr/>
        <w:t>...</w:t>
      </w:r>
      <w:r w:rsidR="2A51EFDE">
        <w:rPr/>
        <w:t xml:space="preserve">. En la mayoría de los documentos médicos científicos se identifican como </w:t>
      </w:r>
      <w:r w:rsidRPr="53E65F6F" w:rsidR="2A51EFDE">
        <w:rPr>
          <w:i w:val="1"/>
          <w:iCs w:val="1"/>
        </w:rPr>
        <w:t xml:space="preserve">principales predictores de la gravedad de la </w:t>
      </w:r>
      <w:r w:rsidRPr="53E65F6F" w:rsidR="44BD923A">
        <w:rPr>
          <w:i w:val="1"/>
          <w:iCs w:val="1"/>
        </w:rPr>
        <w:t>............</w:t>
      </w:r>
      <w:r w:rsidRPr="53E65F6F" w:rsidR="2A51EFDE">
        <w:rPr>
          <w:i w:val="1"/>
          <w:iCs w:val="1"/>
        </w:rPr>
        <w:t>-</w:t>
      </w:r>
      <w:r w:rsidRPr="53E65F6F" w:rsidR="6D159877">
        <w:rPr>
          <w:i w:val="1"/>
          <w:iCs w:val="1"/>
        </w:rPr>
        <w:t>...</w:t>
      </w:r>
      <w:r w:rsidRPr="53E65F6F" w:rsidR="2A51EFDE">
        <w:rPr>
          <w:i w:val="1"/>
          <w:iCs w:val="1"/>
        </w:rPr>
        <w:t xml:space="preserve">, el DÍMERO D elevado y la </w:t>
      </w:r>
      <w:r w:rsidRPr="53E65F6F" w:rsidR="2A51EFDE">
        <w:rPr>
          <w:i w:val="1"/>
          <w:iCs w:val="1"/>
        </w:rPr>
        <w:t>linfopenia</w:t>
      </w:r>
      <w:r w:rsidRPr="53E65F6F" w:rsidR="2A51EFDE">
        <w:rPr>
          <w:i w:val="1"/>
          <w:iCs w:val="1"/>
        </w:rPr>
        <w:t xml:space="preserve"> (que además se asocian a mayor mortalidad)</w:t>
      </w:r>
      <w:r w:rsidR="2A51EFDE">
        <w:rPr/>
        <w:t xml:space="preserve">; otros a destacar serían la </w:t>
      </w:r>
      <w:r w:rsidRPr="53E65F6F" w:rsidR="2A51EFDE">
        <w:rPr>
          <w:i w:val="1"/>
          <w:iCs w:val="1"/>
        </w:rPr>
        <w:t>LDH, la trombocitopenia, la PROTEÍNA C REACTIVA y la FERRITINA</w:t>
      </w:r>
      <w:r w:rsidR="2A51EFDE">
        <w:rPr/>
        <w:t xml:space="preserve">; (11) en el caso del asegurado como es de verificarse en su Historia Clínica se utilizaron marcadores que se usan para determinar la infección por </w:t>
      </w:r>
      <w:r w:rsidR="2E55AB60">
        <w:rPr/>
        <w:t>...................</w:t>
      </w:r>
      <w:r w:rsidR="2A51EFDE">
        <w:rPr/>
        <w:t xml:space="preserve">, los mismos que arrojaron los siguientes resultados (Fuera de Rango), los resultados de estos biomarcadores evaluados en el paciente </w:t>
      </w:r>
      <w:r w:rsidR="0C19124C">
        <w:rPr/>
        <w:t>....................</w:t>
      </w:r>
      <w:r w:rsidR="2A51EFDE">
        <w:rPr/>
        <w:t xml:space="preserve"> confirman la infección por </w:t>
      </w:r>
      <w:r w:rsidR="2E55AB60">
        <w:rPr/>
        <w:t>...................</w:t>
      </w:r>
      <w:r w:rsidR="2A51EFDE">
        <w:rPr/>
        <w:t xml:space="preserve">; (12) en un estudio sobre TROMBOCITOPENIA Y MORTALIDAD EN </w:t>
      </w:r>
      <w:r w:rsidR="44BD923A">
        <w:rPr/>
        <w:t>............</w:t>
      </w:r>
      <w:r w:rsidRPr="53E65F6F" w:rsidR="2A51EFDE">
        <w:rPr>
          <w:b w:val="1"/>
          <w:bCs w:val="1"/>
        </w:rPr>
        <w:t>-</w:t>
      </w:r>
      <w:r w:rsidR="6D159877">
        <w:rPr/>
        <w:t>...</w:t>
      </w:r>
      <w:r w:rsidR="2A51EFDE">
        <w:rPr/>
        <w:t xml:space="preserve">, estudio realizado con una amplia cohorte de pacientes se observó que el 20.7% presentó trombocitopenia; en los grupos de recuento de plaquetas de 0, 50; 50, 100; 100 a 150 y 150 -, los índices de mortalidad fueron de 92.1%, 61.2%, 17.5% y 4.7%, respectivamente y en otro trabajo, el 36.2% de los enfermos presentó recuento de plaquetas por debajo de 150 x 109/l. Es decir está probada la asociación entre la trombocitopenia y la evolución de la enfermedad generada por el </w:t>
      </w:r>
      <w:r w:rsidR="44BD923A">
        <w:rPr/>
        <w:t>............</w:t>
      </w:r>
      <w:r w:rsidR="2A51EFDE">
        <w:rPr/>
        <w:t>-</w:t>
      </w:r>
      <w:r w:rsidR="6D159877">
        <w:rPr/>
        <w:t>...</w:t>
      </w:r>
      <w:r w:rsidR="2A51EFDE">
        <w:rPr/>
        <w:t xml:space="preserve">.( </w:t>
      </w:r>
      <w:hyperlink r:id="Re03acbfea0334bd4">
        <w:r w:rsidRPr="53E65F6F" w:rsidR="2A51EFDE">
          <w:rPr>
            <w:rStyle w:val="Hipervnculo"/>
          </w:rPr>
          <w:t>https://www.siicsalud.com/dato/resiiccompleto.php/163571</w:t>
        </w:r>
      </w:hyperlink>
      <w:r w:rsidR="2A51EFDE">
        <w:rPr/>
        <w:t xml:space="preserve">); (13) en el caso del asegurado, el examen de ecografía detecto caracteres anormales asociados a la trombosis, signo característico asociado al </w:t>
      </w:r>
      <w:r w:rsidR="2E55AB60">
        <w:rPr/>
        <w:t>...................</w:t>
      </w:r>
      <w:r w:rsidR="2A51EFDE">
        <w:rPr/>
        <w:t xml:space="preserve">; (14) revisando la literatura científica sobre la </w:t>
      </w:r>
      <w:r w:rsidR="44BD923A">
        <w:rPr/>
        <w:t>............</w:t>
      </w:r>
      <w:r w:rsidR="2A51EFDE">
        <w:rPr/>
        <w:t>-</w:t>
      </w:r>
      <w:r w:rsidR="6D159877">
        <w:rPr/>
        <w:t>...</w:t>
      </w:r>
      <w:r w:rsidR="2A51EFDE">
        <w:rPr/>
        <w:t xml:space="preserve">, los autores del artículo </w:t>
      </w:r>
      <w:r w:rsidR="04298A26">
        <w:rPr/>
        <w:t>.........................................................................</w:t>
      </w:r>
      <w:r w:rsidR="2A51EFDE">
        <w:rPr/>
        <w:t>, señalan que las personas infectadas por el coronavirus tienen un mayor riesgo de padecer una enfermedad tromboembólica venosa (</w:t>
      </w:r>
      <w:r w:rsidR="44A00A1F">
        <w:rPr/>
        <w:t>.................................................................</w:t>
      </w:r>
      <w:r w:rsidR="2A51EFDE">
        <w:rPr/>
        <w:t>). Y ello se debe a las siguientes características: presentan parámetros de coagulación de la sangre anormales, sus niveles de D-dímero son muy elevados (lo que se sabe que indica riesgo de ETV) y en la mayoría de pacientes con un diagnóstico peor se da coagulación intravenosa diseminada; (15) sobre los documentos médicos del asegurado, y en particular sobre el resultado positivo de la prueba para el Virus de Inmunodeficiencia Humana (</w:t>
      </w:r>
      <w:r w:rsidR="145DC207">
        <w:rPr/>
        <w:t>........</w:t>
      </w:r>
      <w:r w:rsidR="2A51EFDE">
        <w:rPr/>
        <w:t xml:space="preserve">), (supuesto estadio de </w:t>
      </w:r>
      <w:r w:rsidR="608FA2BE">
        <w:rPr/>
        <w:t>........</w:t>
      </w:r>
      <w:r w:rsidR="2A51EFDE">
        <w:rPr/>
        <w:t xml:space="preserve">), se debe considerar que dicha prueba ha sido obtenida ilícitamente por lo tanto no tiene efecto </w:t>
      </w:r>
      <w:r w:rsidR="2A51EFDE">
        <w:rPr/>
        <w:t>jurígeno</w:t>
      </w:r>
      <w:r w:rsidR="2A51EFDE">
        <w:rPr/>
        <w:t xml:space="preserve"> válido. La obtención de la toma de la muestra ha vulnerado la Ley, directivas y normas técnicas para la implementación del Tamizaje de prueba para </w:t>
      </w:r>
      <w:r w:rsidR="145DC207">
        <w:rPr/>
        <w:t>........</w:t>
      </w:r>
      <w:r w:rsidR="2A51EFDE">
        <w:rPr/>
        <w:t xml:space="preserve">; (16) la Prueba </w:t>
      </w:r>
      <w:r w:rsidR="2A51EFDE">
        <w:rPr/>
        <w:t>Wester</w:t>
      </w:r>
      <w:r w:rsidR="2A51EFDE">
        <w:rPr/>
        <w:t xml:space="preserve"> </w:t>
      </w:r>
      <w:r w:rsidR="2A51EFDE">
        <w:rPr/>
        <w:t>Blot</w:t>
      </w:r>
      <w:r w:rsidR="2A51EFDE">
        <w:rPr/>
        <w:t xml:space="preserve"> no fue confirmada como lo han recomendado los médicos </w:t>
      </w:r>
      <w:r w:rsidR="6A3D8AF6">
        <w:rPr/>
        <w:t>.................................................................................</w:t>
      </w:r>
      <w:r w:rsidR="2A51EFDE">
        <w:rPr/>
        <w:t xml:space="preserve"> del Laboratorio de la Clínica Ricardo Palma: “Reactivo. Esta prueba por ser screening debe ser confirmada”. De acuerdo con ello debió realizarse una nueva prueba confirmatoria, sin embargo, esta no se realizó y la Compañía de Seguros le negó la atención médica al paciente con una prueba no confirmada y puso en peligro la salud; (17) sobre la supuesta ratificación del motivo de la hospitalización -que no era consecuente a la infección por</w:t>
      </w:r>
      <w:r w:rsidR="7F318EDA">
        <w:rPr/>
        <w:t xml:space="preserve"> </w:t>
      </w:r>
      <w:r w:rsidR="4EBA017D">
        <w:rPr/>
        <w:t>...................................................</w:t>
      </w:r>
      <w:r w:rsidR="2A51EFDE">
        <w:rPr/>
        <w:t xml:space="preserve"> sino debido a otros agentes infecciosos como </w:t>
      </w:r>
      <w:r w:rsidR="2A51EFDE">
        <w:rPr/>
        <w:t xml:space="preserve">el </w:t>
      </w:r>
      <w:r w:rsidR="2A51EFDE">
        <w:rPr/>
        <w:t>Pneumocystis</w:t>
      </w:r>
      <w:r w:rsidR="2A51EFDE">
        <w:rPr/>
        <w:t xml:space="preserve"> planteado por el mismo médico tratante, cuya terapia exigió la administración de antibióticos. Se debe considerar lo siguiente que este tipo de neumonía es causado por el hongo </w:t>
      </w:r>
      <w:r w:rsidR="2A51EFDE">
        <w:rPr/>
        <w:t>Pneumocystis</w:t>
      </w:r>
      <w:r w:rsidR="2A51EFDE">
        <w:rPr/>
        <w:t xml:space="preserve"> </w:t>
      </w:r>
      <w:r w:rsidR="2A51EFDE">
        <w:rPr/>
        <w:t>jiroveci</w:t>
      </w:r>
      <w:r w:rsidR="2A51EFDE">
        <w:rPr/>
        <w:t xml:space="preserve">. Este hongo es común en el medio ambiente y pocas veces causa enfermedad en personas sanas. Sin embargo, puede causar una infección pulmonar en personas con un sistema inmunitario debilitado debido (Cáncer). Es sabido que el </w:t>
      </w:r>
      <w:r w:rsidR="44BD923A">
        <w:rPr/>
        <w:t>............</w:t>
      </w:r>
      <w:r w:rsidR="2A51EFDE">
        <w:rPr/>
        <w:t xml:space="preserve"> </w:t>
      </w:r>
      <w:r w:rsidR="6D159877">
        <w:rPr/>
        <w:t>...</w:t>
      </w:r>
      <w:r w:rsidR="2A51EFDE">
        <w:rPr/>
        <w:t xml:space="preserve"> debilita el sistema inmunológico, originando que cualquier organismo oportunista pueda atacar a las personas afectadas por este virus, como es el caso del Hongo Negro. La </w:t>
      </w:r>
      <w:r w:rsidR="2A51EFDE">
        <w:rPr/>
        <w:t>mucormicosis</w:t>
      </w:r>
      <w:r w:rsidR="2A51EFDE">
        <w:rPr/>
        <w:t xml:space="preserve">, también conocida como el Hongo Negro, tiene una alta incidencia entre pacientes enfermos y recuperados de </w:t>
      </w:r>
      <w:r w:rsidR="44BD923A">
        <w:rPr/>
        <w:t>............</w:t>
      </w:r>
      <w:r w:rsidR="2A51EFDE">
        <w:rPr/>
        <w:t>-</w:t>
      </w:r>
      <w:r w:rsidR="6D159877">
        <w:rPr/>
        <w:t>...</w:t>
      </w:r>
      <w:r w:rsidR="2A51EFDE">
        <w:rPr/>
        <w:t xml:space="preserve">; (18) en el supuesto negado de que el motivo de la hospitalización del asegurado no era consecuente a la infección por </w:t>
      </w:r>
      <w:r w:rsidR="4EBA017D">
        <w:rPr/>
        <w:t>...................................................</w:t>
      </w:r>
      <w:r w:rsidR="2A51EFDE">
        <w:rPr/>
        <w:t xml:space="preserve">- sino </w:t>
      </w:r>
      <w:r w:rsidR="145DC207">
        <w:rPr/>
        <w:t>........</w:t>
      </w:r>
      <w:r w:rsidR="2A51EFDE">
        <w:rPr/>
        <w:t xml:space="preserve">, la Clínica Ricardo Palma estaría admitiendo que actuó negligentemente y puso en grave riesgo la salud del paciente, ya que habría brindado -hasta antes de la </w:t>
      </w:r>
      <w:r w:rsidRPr="53E65F6F" w:rsidR="2A51EFDE">
        <w:rPr>
          <w:color w:val="000000" w:themeColor="text1" w:themeTint="FF" w:themeShade="FF"/>
          <w:lang w:eastAsia="es-PE"/>
        </w:rPr>
        <w:t xml:space="preserve">obtención del resultado de </w:t>
      </w:r>
      <w:r w:rsidRPr="53E65F6F" w:rsidR="145DC207">
        <w:rPr>
          <w:color w:val="000000" w:themeColor="text1" w:themeTint="FF" w:themeShade="FF"/>
          <w:lang w:eastAsia="es-PE"/>
        </w:rPr>
        <w:t>........</w:t>
      </w:r>
      <w:r w:rsidRPr="53E65F6F" w:rsidR="2A51EFDE">
        <w:rPr>
          <w:color w:val="000000" w:themeColor="text1" w:themeTint="FF" w:themeShade="FF"/>
          <w:lang w:eastAsia="es-PE"/>
        </w:rPr>
        <w:t xml:space="preserve">- un tratamiento que no le correspondía. Más aún si se toma en cuenta que las normas técnicas en salud señalan que “Los pacientes con signos o síntomas de </w:t>
      </w:r>
      <w:r w:rsidRPr="53E65F6F" w:rsidR="608FA2BE">
        <w:rPr>
          <w:color w:val="000000" w:themeColor="text1" w:themeTint="FF" w:themeShade="FF"/>
          <w:lang w:eastAsia="es-PE"/>
        </w:rPr>
        <w:t>........</w:t>
      </w:r>
      <w:r w:rsidRPr="53E65F6F" w:rsidR="2A51EFDE">
        <w:rPr>
          <w:color w:val="000000" w:themeColor="text1" w:themeTint="FF" w:themeShade="FF"/>
          <w:lang w:eastAsia="es-PE"/>
        </w:rPr>
        <w:t xml:space="preserve"> requieren de una pronta vinculación e inicio de tratamiento, así como vigilancia del Síndrome de Reconstitución Inmune.”; (</w:t>
      </w:r>
      <w:r w:rsidRPr="53E65F6F" w:rsidR="6D159877">
        <w:rPr>
          <w:color w:val="000000" w:themeColor="text1" w:themeTint="FF" w:themeShade="FF"/>
          <w:lang w:eastAsia="es-PE"/>
        </w:rPr>
        <w:t>...</w:t>
      </w:r>
      <w:r w:rsidRPr="53E65F6F" w:rsidR="2A51EFDE">
        <w:rPr>
          <w:color w:val="000000" w:themeColor="text1" w:themeTint="FF" w:themeShade="FF"/>
          <w:lang w:eastAsia="es-PE"/>
        </w:rPr>
        <w:t>) la aseguradora señala que asumió los costos médicos del asegurado de acuerdo con las condiciones de la Póliza, tanto para su hospitalización desde el 03/11/20 hasta el 14/11/20 (cobertura al 100%) como la del 15/11/20 hasta el 21/11/20 (cobertura con deducible y coaseguro), siendo que en la fecha del 21/11/20 se culminó con la cobertura al acreditarse la configuración de una exclusión de cobertura; (20) lo anterior es inexacto, ya que el asegurado no estuvo hospitalizado del 3 al 14 de noviembre, no se cubrió ningún gasto en este periodo, el ingreso por emergencia recién se dio el día 14 de noviembre de 2020.</w:t>
      </w:r>
    </w:p>
    <w:p w:rsidRPr="00C94B19" w:rsidR="00C94B19" w:rsidP="00C94B19" w:rsidRDefault="00C94B19" w14:paraId="44EFB5D5" w14:textId="77777777">
      <w:pPr>
        <w:jc w:val="both"/>
      </w:pPr>
    </w:p>
    <w:p w:rsidRPr="00C94B19" w:rsidR="00C94B19" w:rsidP="00C94B19" w:rsidRDefault="00C94B19" w14:paraId="655F8704" w14:textId="5A388268">
      <w:pPr>
        <w:jc w:val="both"/>
      </w:pPr>
      <w:r w:rsidRPr="00C94B19">
        <w:t>Que, a la fecha, el estado del proceso permite que el colegiado pueda expedir su pronunciamiento sobre el presente caso sometido a su conocimiento;</w:t>
      </w:r>
    </w:p>
    <w:p w:rsidRPr="00C94B19" w:rsidR="00C94B19" w:rsidP="00C94B19" w:rsidRDefault="00C94B19" w14:paraId="4B97C574" w14:textId="77777777">
      <w:pPr>
        <w:jc w:val="both"/>
        <w:rPr>
          <w:b/>
        </w:rPr>
      </w:pPr>
    </w:p>
    <w:p w:rsidRPr="00C94B19" w:rsidR="00C94B19" w:rsidP="00C94B19" w:rsidRDefault="00C94B19" w14:paraId="56A1074A" w14:textId="77777777">
      <w:pPr>
        <w:jc w:val="both"/>
        <w:rPr>
          <w:b/>
        </w:rPr>
      </w:pPr>
      <w:r w:rsidRPr="00C94B19">
        <w:rPr>
          <w:b/>
        </w:rPr>
        <w:t>CONSIDERANDO:</w:t>
      </w:r>
    </w:p>
    <w:p w:rsidRPr="00C94B19" w:rsidR="00C94B19" w:rsidP="00C94B19" w:rsidRDefault="00C94B19" w14:paraId="1CCBA46F" w14:textId="187EE196">
      <w:pPr>
        <w:jc w:val="both"/>
        <w:rPr>
          <w:b/>
        </w:rPr>
      </w:pPr>
      <w:r w:rsidRPr="00C94B19">
        <w:rPr>
          <w:b/>
        </w:rPr>
        <w:t xml:space="preserve"> </w:t>
      </w:r>
    </w:p>
    <w:p w:rsidRPr="00C94B19" w:rsidR="00C94B19" w:rsidP="00C94B19" w:rsidRDefault="00C94B19" w14:paraId="4B6FF317" w14:textId="7AA18CE1">
      <w:pPr>
        <w:jc w:val="both"/>
      </w:pPr>
      <w:r w:rsidRPr="00C94B19">
        <w:rPr>
          <w:b/>
          <w:u w:val="single"/>
        </w:rPr>
        <w:t>PRIMERO</w:t>
      </w:r>
      <w:r w:rsidRPr="00C94B19">
        <w:t>: Conforme a su reglamento, la</w:t>
      </w:r>
      <w:r w:rsidRPr="00C94B19">
        <w:rPr>
          <w:b/>
          <w:bCs/>
        </w:rPr>
        <w:t xml:space="preserve"> </w:t>
      </w:r>
      <w:r w:rsidRPr="00C94B19">
        <w:t>DEFASEG está orientada a la protección de los derechos de los asegurados o usuarios de los servicios del seguro privado contratados en el país, mediante la solución de controversias que se susciten con las empresas aseguradoras, entendiéndose por “asegurados” y “usuarios de seguros” a los asegurados propiamente dichos, a los contratantes del respectivo seguro y/o a los beneficiarios nombrados en las pólizas.</w:t>
      </w:r>
    </w:p>
    <w:p w:rsidRPr="00C94B19" w:rsidR="00C94B19" w:rsidP="00C94B19" w:rsidRDefault="00C94B19" w14:paraId="22A67C44" w14:textId="77777777">
      <w:pPr>
        <w:jc w:val="both"/>
      </w:pPr>
    </w:p>
    <w:p w:rsidRPr="00C94B19" w:rsidR="00C94B19" w:rsidP="00C94B19" w:rsidRDefault="00C94B19" w14:paraId="20CD9F1C" w14:textId="67F9FF2A">
      <w:pPr>
        <w:jc w:val="both"/>
        <w:rPr>
          <w:rStyle w:val="Textoennegrita"/>
          <w:b w:val="0"/>
        </w:rPr>
      </w:pPr>
      <w:r w:rsidRPr="00C94B19">
        <w:rPr>
          <w:b/>
          <w:u w:val="single"/>
        </w:rPr>
        <w:t>SEGUNDO</w:t>
      </w:r>
      <w:r w:rsidRPr="00C94B19">
        <w:t xml:space="preserve">: Asimismo, </w:t>
      </w:r>
      <w:proofErr w:type="gramStart"/>
      <w:r w:rsidRPr="00C94B19">
        <w:t>de acuerdo a</w:t>
      </w:r>
      <w:proofErr w:type="gramEnd"/>
      <w:r w:rsidRPr="00C94B19">
        <w:t xml:space="preserve"> </w:t>
      </w:r>
      <w:r w:rsidRPr="00C94B19">
        <w:rPr>
          <w:rStyle w:val="Textoennegrita"/>
          <w:b w:val="0"/>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En consecuencia, las reclamaciones por materias distintas al otorgamiento de cobertura y pago de siniestros, como las pretensiones indemnizatorias por daños y perjuicios, por reembolso de gastos, o idoneidad de servicios, son ajenas a la competencia funcional de esta Defensoría.</w:t>
      </w:r>
    </w:p>
    <w:p w:rsidRPr="00C94B19" w:rsidR="00C94B19" w:rsidP="00C94B19" w:rsidRDefault="00C94B19" w14:paraId="7CBECC84" w14:textId="77777777">
      <w:pPr>
        <w:jc w:val="both"/>
        <w:rPr>
          <w:rStyle w:val="Textoennegrita"/>
          <w:b w:val="0"/>
        </w:rPr>
      </w:pPr>
    </w:p>
    <w:p w:rsidRPr="00C94B19" w:rsidR="00C94B19" w:rsidP="00C94B19" w:rsidRDefault="00C94B19" w14:paraId="0B5DC247" w14:textId="3EB8D120">
      <w:pPr>
        <w:jc w:val="both"/>
      </w:pPr>
      <w:r w:rsidRPr="00C94B19">
        <w:rPr>
          <w:rStyle w:val="Textoennegrita"/>
          <w:u w:val="single"/>
        </w:rPr>
        <w:t>TERCERO</w:t>
      </w:r>
      <w:r w:rsidRPr="00C94B19">
        <w:rPr>
          <w:rStyle w:val="Textoennegrita"/>
        </w:rPr>
        <w:t>:</w:t>
      </w:r>
      <w:r w:rsidRPr="00C94B19">
        <w:t xml:space="preserve"> Que, de acuerdo a la Ley Nro. 29946 – Ley del Contrato de Seguro, norma legal vigente con ocasión de la celebración del contrato al cual se contrae el presente caso, todas las cuestiones jurídicas se rigen por lo dispuesto en dicha ley y por las que reglas que </w:t>
      </w:r>
      <w:r w:rsidRPr="00C94B19">
        <w:lastRenderedPageBreak/>
        <w:t>se acuerden convencionalmente, en cuanto no vulneren los principios esenciales de la naturaleza jurídica del seguro, siendo que sólo se aplica el derecho común a falta de disposiciones del derecho de seguros o de protección al consumidor.</w:t>
      </w:r>
    </w:p>
    <w:p w:rsidRPr="00C94B19" w:rsidR="00C94B19" w:rsidP="00C94B19" w:rsidRDefault="00C94B19" w14:paraId="533B8520" w14:textId="77777777">
      <w:pPr>
        <w:jc w:val="both"/>
      </w:pPr>
    </w:p>
    <w:p w:rsidRPr="00C94B19" w:rsidR="00C94B19" w:rsidP="00C94B19" w:rsidRDefault="00C94B19" w14:paraId="26F2CDC0" w14:textId="77777777">
      <w:pPr>
        <w:contextualSpacing/>
        <w:jc w:val="both"/>
      </w:pPr>
      <w:r w:rsidRPr="00C94B19">
        <w:rPr>
          <w:b/>
          <w:u w:val="single"/>
        </w:rPr>
        <w:t>CUARTO</w:t>
      </w:r>
      <w:r w:rsidRPr="00C94B19">
        <w:rPr>
          <w:b/>
        </w:rPr>
        <w:t>:</w:t>
      </w:r>
      <w:r w:rsidRPr="00C94B19">
        <w:t xml:space="preserve"> Que, el artículo 1361 del Código Civil dispone que los contratos son obligatorios en cuanto se haya expresado en ellos, presumiéndose que lo declarado es lo querido por ambas partes, de manera que la parte que sostenga lo contrario debe probarlo.</w:t>
      </w:r>
    </w:p>
    <w:p w:rsidRPr="00C94B19" w:rsidR="00C94B19" w:rsidP="00C94B19" w:rsidRDefault="00C94B19" w14:paraId="4BCBFBD1" w14:textId="77777777">
      <w:pPr>
        <w:contextualSpacing/>
        <w:jc w:val="both"/>
        <w:rPr>
          <w:b/>
          <w:u w:val="single"/>
        </w:rPr>
      </w:pPr>
    </w:p>
    <w:p w:rsidRPr="00C94B19" w:rsidR="00C94B19" w:rsidP="00C94B19" w:rsidRDefault="00C94B19" w14:paraId="6B885C30" w14:textId="5DE0CDD4">
      <w:pPr>
        <w:jc w:val="both"/>
      </w:pPr>
      <w:r w:rsidRPr="53E65F6F" w:rsidR="2A51EFDE">
        <w:rPr>
          <w:rStyle w:val="Textoennegrita"/>
          <w:u w:val="single"/>
        </w:rPr>
        <w:t>QUINTO</w:t>
      </w:r>
      <w:r w:rsidRPr="53E65F6F" w:rsidR="2A51EFDE">
        <w:rPr>
          <w:rStyle w:val="Textoennegrita"/>
        </w:rPr>
        <w:t>:</w:t>
      </w:r>
      <w:r w:rsidRPr="53E65F6F" w:rsidR="2A51EFDE">
        <w:rPr>
          <w:rStyle w:val="Textoennegrita"/>
          <w:b w:val="0"/>
          <w:bCs w:val="0"/>
        </w:rPr>
        <w:t xml:space="preserve"> Que, de acuerdo con el ar</w:t>
      </w:r>
      <w:r w:rsidR="2A51EFDE">
        <w:rPr/>
        <w:t xml:space="preserve">tículo </w:t>
      </w:r>
      <w:r w:rsidR="6D159877">
        <w:rPr/>
        <w:t>...</w:t>
      </w:r>
      <w:r w:rsidR="2A51EFDE">
        <w:rPr/>
        <w:t>6 del Código Procesal Civil, la carga de la prueba corresponde a quien afirma hechos que configuran su pretensión, o a quien los contradice alegando nuevos hechos, salvo disposición legal diferente.</w:t>
      </w:r>
    </w:p>
    <w:p w:rsidRPr="00C94B19" w:rsidR="00C94B19" w:rsidP="00C94B19" w:rsidRDefault="00C94B19" w14:paraId="178FC6C6" w14:textId="77777777">
      <w:pPr>
        <w:jc w:val="both"/>
      </w:pPr>
    </w:p>
    <w:p w:rsidRPr="00C94B19" w:rsidR="00C94B19" w:rsidP="00C94B19" w:rsidRDefault="00C94B19" w14:paraId="6945806A" w14:textId="01C94BD6">
      <w:pPr>
        <w:jc w:val="both"/>
      </w:pPr>
      <w:r w:rsidRPr="00C94B19">
        <w:rPr>
          <w:b/>
          <w:u w:val="single"/>
        </w:rPr>
        <w:t>SEXTO</w:t>
      </w:r>
      <w:r w:rsidRPr="00C94B19">
        <w:rPr>
          <w:b/>
        </w:rPr>
        <w:t xml:space="preserve">: </w:t>
      </w:r>
      <w:r w:rsidRPr="00C94B19">
        <w:t>Que, conforme a lo identificado en la audiencia de vista, y sobre la base de los términos contenidos en la reclamación, la cuestión controvertida radica en determinar si el rechazo de cobertura por la atención médica derivada de la hospitalización de fecha 14 de noviembre de 2020 del asegurado es legítimo o no</w:t>
      </w:r>
      <w:r w:rsidRPr="00C94B19">
        <w:rPr>
          <w:lang w:val="es-419"/>
        </w:rPr>
        <w:t>; es decir, si la exclusión opuesta por la aseguradora, esto es, que la atención médica corresponde a una enfermedad no cubierta está o no probada</w:t>
      </w:r>
      <w:r w:rsidRPr="00C94B19">
        <w:t>.</w:t>
      </w:r>
    </w:p>
    <w:p w:rsidRPr="00C94B19" w:rsidR="00C94B19" w:rsidP="00C94B19" w:rsidRDefault="00C94B19" w14:paraId="226F032C" w14:textId="77777777">
      <w:pPr>
        <w:jc w:val="both"/>
      </w:pPr>
    </w:p>
    <w:p w:rsidRPr="00C94B19" w:rsidR="00C94B19" w:rsidP="00C94B19" w:rsidRDefault="00C94B19" w14:paraId="2A5C60C3" w14:textId="17D96BD5">
      <w:pPr>
        <w:jc w:val="both"/>
      </w:pPr>
      <w:r w:rsidRPr="00C94B19">
        <w:t>En efecto, en el rechazo de cobertura la aseguradora invoca la exclusión contenida en el artículo 8° de las condiciones generales de la Póliza:</w:t>
      </w:r>
    </w:p>
    <w:p w:rsidRPr="00C94B19" w:rsidR="00C94B19" w:rsidP="00C94B19" w:rsidRDefault="00C94B19" w14:paraId="0B0A8161" w14:textId="77777777">
      <w:pPr>
        <w:jc w:val="both"/>
      </w:pPr>
    </w:p>
    <w:p w:rsidRPr="00C94B19" w:rsidR="00C94B19" w:rsidP="00C94B19" w:rsidRDefault="00C94B19" w14:paraId="34F8F527" w14:textId="4A704C50">
      <w:pPr>
        <w:jc w:val="both"/>
      </w:pPr>
      <w:r w:rsidRPr="00C94B19">
        <w:rPr>
          <w:noProof/>
        </w:rPr>
        <w:drawing>
          <wp:inline distT="0" distB="0" distL="0" distR="0" wp14:anchorId="175A8FC1" wp14:editId="627C0247">
            <wp:extent cx="5580380" cy="521970"/>
            <wp:effectExtent l="0" t="0" r="1270" b="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80380" cy="521970"/>
                    </a:xfrm>
                    <a:prstGeom prst="rect">
                      <a:avLst/>
                    </a:prstGeom>
                    <a:noFill/>
                    <a:ln>
                      <a:noFill/>
                    </a:ln>
                  </pic:spPr>
                </pic:pic>
              </a:graphicData>
            </a:graphic>
          </wp:inline>
        </w:drawing>
      </w:r>
    </w:p>
    <w:p w:rsidRPr="00C94B19" w:rsidR="00C94B19" w:rsidP="00C94B19" w:rsidRDefault="00C94B19" w14:paraId="4DE1AA9D" w14:textId="55DE18AE">
      <w:pPr>
        <w:jc w:val="both"/>
      </w:pPr>
      <w:r w:rsidR="06E18AD0">
        <w:rPr/>
        <w:t>..........................................................................................................................</w:t>
      </w:r>
    </w:p>
    <w:p w:rsidR="53E65F6F" w:rsidP="53E65F6F" w:rsidRDefault="53E65F6F" w14:paraId="12E60BA5" w14:textId="0D03D82A">
      <w:pPr>
        <w:jc w:val="both"/>
      </w:pPr>
    </w:p>
    <w:p w:rsidRPr="00C94B19" w:rsidR="00C94B19" w:rsidP="00C94B19" w:rsidRDefault="00C94B19" w14:paraId="655B33E2" w14:textId="6DCB59E6">
      <w:pPr>
        <w:jc w:val="both"/>
      </w:pPr>
      <w:r w:rsidR="06E18AD0">
        <w:rPr/>
        <w:t>...........................................................................................................................</w:t>
      </w:r>
    </w:p>
    <w:p w:rsidRPr="00C94B19" w:rsidR="00C94B19" w:rsidP="00C94B19" w:rsidRDefault="00C94B19" w14:paraId="45B189E4" w14:textId="77777777">
      <w:pPr>
        <w:jc w:val="both"/>
        <w:rPr>
          <w:b/>
          <w:u w:val="single"/>
        </w:rPr>
      </w:pPr>
    </w:p>
    <w:p w:rsidRPr="00C94B19" w:rsidR="00C94B19" w:rsidP="00C94B19" w:rsidRDefault="00C94B19" w14:paraId="76E23FB0" w14:textId="47B7E3F1">
      <w:pPr>
        <w:jc w:val="both"/>
      </w:pPr>
      <w:r w:rsidRPr="53E65F6F" w:rsidR="2A51EFDE">
        <w:rPr>
          <w:b w:val="1"/>
          <w:bCs w:val="1"/>
          <w:u w:val="single"/>
        </w:rPr>
        <w:t>SÉPTIMO</w:t>
      </w:r>
      <w:r w:rsidRPr="53E65F6F" w:rsidR="2A51EFDE">
        <w:rPr>
          <w:b w:val="1"/>
          <w:bCs w:val="1"/>
        </w:rPr>
        <w:t xml:space="preserve">: </w:t>
      </w:r>
      <w:r w:rsidR="2A51EFDE">
        <w:rPr/>
        <w:t xml:space="preserve">De los actuados, se advierte que el asegurado no fue hospitalizado en la Clínica Ricardo Palma del 03 al 13 de noviembre de 2020 por </w:t>
      </w:r>
      <w:r w:rsidR="44BD923A">
        <w:rPr/>
        <w:t>............</w:t>
      </w:r>
      <w:r w:rsidR="2A51EFDE">
        <w:rPr/>
        <w:t>-</w:t>
      </w:r>
      <w:r w:rsidR="6D159877">
        <w:rPr/>
        <w:t>...</w:t>
      </w:r>
      <w:r w:rsidR="2A51EFDE">
        <w:rPr/>
        <w:t>.</w:t>
      </w:r>
    </w:p>
    <w:p w:rsidRPr="00C94B19" w:rsidR="00C94B19" w:rsidP="00C94B19" w:rsidRDefault="00C94B19" w14:paraId="7905E3A6" w14:textId="77777777">
      <w:pPr>
        <w:jc w:val="both"/>
        <w:rPr>
          <w:bCs/>
        </w:rPr>
      </w:pPr>
    </w:p>
    <w:p w:rsidRPr="00C94B19" w:rsidR="00C94B19" w:rsidP="00C94B19" w:rsidRDefault="00C94B19" w14:paraId="60B233ED" w14:textId="5731EB9B">
      <w:pPr>
        <w:jc w:val="both"/>
      </w:pPr>
      <w:r w:rsidR="2A51EFDE">
        <w:rPr/>
        <w:t xml:space="preserve">Tal como consta en la Epicrisis, el ingreso fue el 14 de noviembre bajo el diagnóstico de Neumonía Viral por </w:t>
      </w:r>
      <w:r w:rsidR="44BD923A">
        <w:rPr/>
        <w:t>............</w:t>
      </w:r>
      <w:r w:rsidR="2A51EFDE">
        <w:rPr/>
        <w:t>-</w:t>
      </w:r>
      <w:r w:rsidR="6D159877">
        <w:rPr/>
        <w:t>...</w:t>
      </w:r>
      <w:r w:rsidR="2A51EFDE">
        <w:rPr/>
        <w:t>:</w:t>
      </w:r>
    </w:p>
    <w:p w:rsidRPr="00C94B19" w:rsidR="00C94B19" w:rsidP="00C94B19" w:rsidRDefault="00C94B19" w14:paraId="52DD2206" w14:textId="77777777">
      <w:pPr>
        <w:jc w:val="both"/>
        <w:rPr>
          <w:bCs/>
        </w:rPr>
      </w:pPr>
    </w:p>
    <w:p w:rsidRPr="00C94B19" w:rsidR="00C94B19" w:rsidP="00C94B19" w:rsidRDefault="00C94B19" w14:paraId="2F7F0801" w14:textId="29C798B7">
      <w:pPr>
        <w:jc w:val="both"/>
      </w:pPr>
      <w:r w:rsidR="3F0DC9EA">
        <w:rPr/>
        <w:t>.....................................................................................................................</w:t>
      </w:r>
    </w:p>
    <w:p w:rsidRPr="00C94B19" w:rsidR="00C94B19" w:rsidP="00C94B19" w:rsidRDefault="00C94B19" w14:paraId="2A99343B" w14:textId="77777777">
      <w:pPr>
        <w:jc w:val="both"/>
        <w:rPr>
          <w:bCs/>
        </w:rPr>
      </w:pPr>
    </w:p>
    <w:p w:rsidRPr="00C94B19" w:rsidR="00C94B19" w:rsidP="00C94B19" w:rsidRDefault="00C94B19" w14:paraId="3762E056" w14:textId="4180E287">
      <w:pPr>
        <w:jc w:val="both"/>
      </w:pPr>
      <w:r w:rsidR="2A51EFDE">
        <w:rPr/>
        <w:t xml:space="preserve">De lo anterior se advierte que aproximadamente quince días antes de la hospitalización del asegurado, este presentaba síntomas vinculados a un cuadro </w:t>
      </w:r>
      <w:r w:rsidR="44BD923A">
        <w:rPr/>
        <w:t>............</w:t>
      </w:r>
      <w:r w:rsidR="2A51EFDE">
        <w:rPr/>
        <w:t xml:space="preserve"> -</w:t>
      </w:r>
      <w:r w:rsidR="6D159877">
        <w:rPr/>
        <w:t>...</w:t>
      </w:r>
      <w:r w:rsidR="2A51EFDE">
        <w:rPr/>
        <w:t xml:space="preserve">, la evolución de la enfermedad deriva en un cuadro de neumonía viral bajo diagnóstico de ingreso por </w:t>
      </w:r>
      <w:r w:rsidR="44BD923A">
        <w:rPr/>
        <w:t>............</w:t>
      </w:r>
      <w:r w:rsidR="2A51EFDE">
        <w:rPr/>
        <w:t>-</w:t>
      </w:r>
      <w:r w:rsidR="6D159877">
        <w:rPr/>
        <w:t>...</w:t>
      </w:r>
      <w:r w:rsidR="2A51EFDE">
        <w:rPr/>
        <w:t>.</w:t>
      </w:r>
    </w:p>
    <w:p w:rsidRPr="00C94B19" w:rsidR="00C94B19" w:rsidP="00C94B19" w:rsidRDefault="00C94B19" w14:paraId="7FF89D9F" w14:textId="77777777">
      <w:pPr>
        <w:jc w:val="both"/>
        <w:rPr>
          <w:bCs/>
        </w:rPr>
      </w:pPr>
    </w:p>
    <w:p w:rsidR="00C94B19" w:rsidP="00C94B19" w:rsidRDefault="00C94B19" w14:paraId="67451224" w14:textId="22EFB3B7">
      <w:pPr>
        <w:jc w:val="both"/>
      </w:pPr>
      <w:r w:rsidR="2A51EFDE">
        <w:rPr/>
        <w:t>Bajo ese cuadro diagnóstico al paciente se le aplicó el siguiente procedimiento: una Tomografía de Tórax (</w:t>
      </w:r>
      <w:r w:rsidR="6C5A4AD5">
        <w:rPr/>
        <w:t>................................</w:t>
      </w:r>
      <w:r w:rsidR="2A51EFDE">
        <w:rPr/>
        <w:t>) que 14 de noviembre cuyos hallazgos corresponden a neumonía intersticial atípica (</w:t>
      </w:r>
      <w:r w:rsidR="44BD923A">
        <w:rPr/>
        <w:t>............</w:t>
      </w:r>
      <w:r w:rsidR="2A51EFDE">
        <w:rPr/>
        <w:t>-</w:t>
      </w:r>
      <w:r w:rsidR="6D159877">
        <w:rPr/>
        <w:t>...</w:t>
      </w:r>
      <w:r w:rsidR="2A51EFDE">
        <w:rPr/>
        <w:t>) que muestra progresión de la enfermedad.</w:t>
      </w:r>
    </w:p>
    <w:p w:rsidRPr="00C94B19" w:rsidR="00C94B19" w:rsidP="00C94B19" w:rsidRDefault="00C94B19" w14:paraId="3F760806" w14:textId="77777777">
      <w:pPr>
        <w:jc w:val="both"/>
        <w:rPr>
          <w:bCs/>
        </w:rPr>
      </w:pPr>
    </w:p>
    <w:p w:rsidRPr="00C94B19" w:rsidR="00C94B19" w:rsidP="00C94B19" w:rsidRDefault="00C94B19" w14:paraId="5FD5D32E" w14:textId="4DBFDE38">
      <w:pPr>
        <w:jc w:val="both"/>
      </w:pPr>
      <w:r w:rsidR="4A24C56C">
        <w:rPr/>
        <w:t>..........................................................................................................................</w:t>
      </w:r>
    </w:p>
    <w:p w:rsidRPr="00C94B19" w:rsidR="00C94B19" w:rsidP="00C94B19" w:rsidRDefault="00C94B19" w14:paraId="16DB8EAC" w14:textId="77777777">
      <w:pPr>
        <w:jc w:val="both"/>
        <w:rPr>
          <w:bCs/>
        </w:rPr>
      </w:pPr>
    </w:p>
    <w:p w:rsidRPr="00C94B19" w:rsidR="00C94B19" w:rsidP="00C94B19" w:rsidRDefault="00C94B19" w14:paraId="29137F54" w14:textId="7FFD14E7">
      <w:pPr>
        <w:jc w:val="both"/>
        <w:rPr>
          <w:bCs/>
        </w:rPr>
      </w:pPr>
      <w:r w:rsidRPr="00C94B19">
        <w:rPr>
          <w:bCs/>
        </w:rPr>
        <w:t>Según la Epicrisis, la evolución del paciente fue la siguiente:</w:t>
      </w:r>
    </w:p>
    <w:p w:rsidRPr="00C94B19" w:rsidR="00C94B19" w:rsidP="00C94B19" w:rsidRDefault="00C94B19" w14:paraId="2B17D981" w14:textId="77777777">
      <w:pPr>
        <w:jc w:val="both"/>
        <w:rPr>
          <w:bCs/>
        </w:rPr>
      </w:pPr>
    </w:p>
    <w:p w:rsidRPr="00C94B19" w:rsidR="00C94B19" w:rsidP="00C94B19" w:rsidRDefault="00C94B19" w14:paraId="6C087767" w14:textId="6C1D05DB">
      <w:pPr>
        <w:jc w:val="both"/>
      </w:pPr>
      <w:r w:rsidR="170DA62E">
        <w:rPr/>
        <w:t>.............................................................................................................................</w:t>
      </w:r>
    </w:p>
    <w:p w:rsidRPr="00C94B19" w:rsidR="00C94B19" w:rsidP="00C94B19" w:rsidRDefault="00C94B19" w14:paraId="140568CA" w14:textId="77777777">
      <w:pPr>
        <w:pStyle w:val="Default"/>
        <w:jc w:val="both"/>
        <w:rPr>
          <w:rFonts w:ascii="Times New Roman" w:hAnsi="Times New Roman" w:cs="Times New Roman"/>
          <w:bCs/>
        </w:rPr>
      </w:pPr>
    </w:p>
    <w:p w:rsidRPr="00C94B19" w:rsidR="00C94B19" w:rsidP="53E65F6F" w:rsidRDefault="00C94B19" w14:paraId="1BD9ABF9" w14:textId="6A224501">
      <w:pPr>
        <w:pStyle w:val="Default"/>
        <w:jc w:val="both"/>
        <w:rPr>
          <w:rFonts w:ascii="Times New Roman" w:hAnsi="Times New Roman" w:cs="Times New Roman"/>
        </w:rPr>
      </w:pPr>
      <w:r w:rsidRPr="53E65F6F" w:rsidR="2A51EFDE">
        <w:rPr>
          <w:rFonts w:ascii="Times New Roman" w:hAnsi="Times New Roman" w:cs="Times New Roman"/>
        </w:rPr>
        <w:t xml:space="preserve">Es un hecho probado que el 16 de noviembre de 2020, al asegurado se le realiza una prueba molecular RT-PCR cuyo resultado fue negativo para </w:t>
      </w:r>
      <w:r w:rsidRPr="53E65F6F" w:rsidR="44BD923A">
        <w:rPr>
          <w:rFonts w:ascii="Times New Roman" w:hAnsi="Times New Roman" w:cs="Times New Roman"/>
        </w:rPr>
        <w:t>............</w:t>
      </w:r>
      <w:r w:rsidRPr="53E65F6F" w:rsidR="2A51EFDE">
        <w:rPr>
          <w:rFonts w:ascii="Times New Roman" w:hAnsi="Times New Roman" w:cs="Times New Roman"/>
        </w:rPr>
        <w:t>-</w:t>
      </w:r>
      <w:r w:rsidRPr="53E65F6F" w:rsidR="6D159877">
        <w:rPr>
          <w:rFonts w:ascii="Times New Roman" w:hAnsi="Times New Roman" w:cs="Times New Roman"/>
        </w:rPr>
        <w:t>...</w:t>
      </w:r>
      <w:r w:rsidRPr="53E65F6F" w:rsidR="2A51EFDE">
        <w:rPr>
          <w:rFonts w:ascii="Times New Roman" w:hAnsi="Times New Roman" w:cs="Times New Roman"/>
        </w:rPr>
        <w:t>.</w:t>
      </w:r>
    </w:p>
    <w:p w:rsidRPr="00C94B19" w:rsidR="00C94B19" w:rsidP="00C94B19" w:rsidRDefault="00C94B19" w14:paraId="2BEDA393" w14:textId="77777777">
      <w:pPr>
        <w:pStyle w:val="Default"/>
        <w:jc w:val="both"/>
        <w:rPr>
          <w:rFonts w:ascii="Times New Roman" w:hAnsi="Times New Roman" w:cs="Times New Roman"/>
          <w:bCs/>
        </w:rPr>
      </w:pPr>
    </w:p>
    <w:p w:rsidRPr="00C94B19" w:rsidR="00C94B19" w:rsidP="00C94B19" w:rsidRDefault="00C94B19" w14:paraId="08A7252F" w14:textId="77777777">
      <w:pPr>
        <w:pStyle w:val="Default"/>
        <w:jc w:val="both"/>
        <w:rPr>
          <w:rFonts w:ascii="Times New Roman" w:hAnsi="Times New Roman" w:cs="Times New Roman"/>
          <w:bCs/>
        </w:rPr>
      </w:pPr>
    </w:p>
    <w:p w:rsidRPr="00C94B19" w:rsidR="00C94B19" w:rsidP="00C94B19" w:rsidRDefault="00C94B19" w14:paraId="0F4A389F" w14:textId="2AF2C3E0">
      <w:pPr>
        <w:pStyle w:val="Default"/>
        <w:jc w:val="both"/>
      </w:pPr>
      <w:r w:rsidR="0EC3D18B">
        <w:rPr/>
        <w:t>.........................................................................................................................</w:t>
      </w:r>
    </w:p>
    <w:p w:rsidR="53E65F6F" w:rsidP="53E65F6F" w:rsidRDefault="53E65F6F" w14:paraId="7F3A2567" w14:textId="279CF44C">
      <w:pPr>
        <w:pStyle w:val="Default"/>
        <w:jc w:val="both"/>
      </w:pPr>
    </w:p>
    <w:p w:rsidRPr="00C94B19" w:rsidR="00C94B19" w:rsidP="00C94B19" w:rsidRDefault="00C94B19" w14:paraId="2CA9FB83" w14:textId="77777777">
      <w:pPr>
        <w:pStyle w:val="Default"/>
        <w:jc w:val="both"/>
        <w:rPr>
          <w:rFonts w:ascii="Times New Roman" w:hAnsi="Times New Roman" w:cs="Times New Roman"/>
          <w:bCs/>
        </w:rPr>
      </w:pPr>
    </w:p>
    <w:p w:rsidRPr="00C94B19" w:rsidR="00C94B19" w:rsidP="00C94B19" w:rsidRDefault="00C94B19" w14:paraId="2D6AD63F" w14:textId="56A90176">
      <w:pPr>
        <w:pStyle w:val="Default"/>
        <w:jc w:val="both"/>
        <w:rPr>
          <w:rFonts w:ascii="Times New Roman" w:hAnsi="Times New Roman" w:cs="Times New Roman"/>
          <w:bCs/>
        </w:rPr>
      </w:pPr>
      <w:r w:rsidRPr="00C94B19">
        <w:rPr>
          <w:rFonts w:ascii="Times New Roman" w:hAnsi="Times New Roman" w:cs="Times New Roman"/>
          <w:bCs/>
        </w:rPr>
        <w:t>Frente a dicho resultado, el reclamante advierte que, conforme a literatura médica que ha presentado, las indicadas pruebas presentan un 20% de error, siendo falsos negativos. A este efecto, puntualiza que la certeza de la prueba que se le realizó resulta relativizada por haber sido extemporánea, esto es, al haber sido tomada después de cuatro semanas de presentarse los primeros síntomas respiratorios de falta de aire.</w:t>
      </w:r>
    </w:p>
    <w:p w:rsidRPr="00C94B19" w:rsidR="00C94B19" w:rsidP="00C94B19" w:rsidRDefault="00C94B19" w14:paraId="76AA0859" w14:textId="77777777">
      <w:pPr>
        <w:pStyle w:val="Default"/>
        <w:jc w:val="both"/>
        <w:rPr>
          <w:rFonts w:ascii="Times New Roman" w:hAnsi="Times New Roman" w:cs="Times New Roman"/>
          <w:bCs/>
        </w:rPr>
      </w:pPr>
    </w:p>
    <w:p w:rsidRPr="00C94B19" w:rsidR="00C94B19" w:rsidP="00C94B19" w:rsidRDefault="00C94B19" w14:paraId="740F39E3" w14:textId="6AB990D1">
      <w:pPr>
        <w:pStyle w:val="Default"/>
        <w:jc w:val="both"/>
      </w:pPr>
      <w:r w:rsidR="723B6925">
        <w:rPr/>
        <w:t>.........................................................................................................................</w:t>
      </w:r>
    </w:p>
    <w:p w:rsidR="53E65F6F" w:rsidP="53E65F6F" w:rsidRDefault="53E65F6F" w14:paraId="55AD4152" w14:textId="1BD8BF6B">
      <w:pPr>
        <w:pStyle w:val="Default"/>
        <w:jc w:val="both"/>
      </w:pPr>
    </w:p>
    <w:p w:rsidRPr="00C94B19" w:rsidR="00C94B19" w:rsidP="00C94B19" w:rsidRDefault="00C94B19" w14:paraId="072CA78A" w14:textId="6D051BE8">
      <w:pPr>
        <w:pStyle w:val="Default"/>
        <w:jc w:val="both"/>
        <w:rPr>
          <w:rFonts w:ascii="Times New Roman" w:hAnsi="Times New Roman" w:eastAsia="Calibri" w:cs="Times New Roman"/>
          <w:sz w:val="18"/>
          <w:szCs w:val="18"/>
        </w:rPr>
      </w:pPr>
      <w:r w:rsidRPr="53E65F6F" w:rsidR="2A51EFDE">
        <w:rPr>
          <w:rFonts w:ascii="Times New Roman" w:hAnsi="Times New Roman" w:cs="Times New Roman"/>
          <w:sz w:val="18"/>
          <w:szCs w:val="18"/>
        </w:rPr>
        <w:t xml:space="preserve">Fuente: Medical </w:t>
      </w:r>
      <w:r w:rsidRPr="53E65F6F" w:rsidR="2A51EFDE">
        <w:rPr>
          <w:rFonts w:ascii="Times New Roman" w:hAnsi="Times New Roman" w:cs="Times New Roman"/>
          <w:sz w:val="18"/>
          <w:szCs w:val="18"/>
        </w:rPr>
        <w:t>Asistant</w:t>
      </w:r>
      <w:r w:rsidRPr="53E65F6F" w:rsidR="2A51EFDE">
        <w:rPr>
          <w:rFonts w:ascii="Times New Roman" w:hAnsi="Times New Roman" w:cs="Times New Roman"/>
          <w:sz w:val="18"/>
          <w:szCs w:val="18"/>
        </w:rPr>
        <w:t xml:space="preserve"> Falso negativo: ¿se puede dar con las pruebas de </w:t>
      </w:r>
      <w:r w:rsidRPr="53E65F6F" w:rsidR="44BD923A">
        <w:rPr>
          <w:rFonts w:ascii="Times New Roman" w:hAnsi="Times New Roman" w:cs="Times New Roman"/>
          <w:sz w:val="18"/>
          <w:szCs w:val="18"/>
        </w:rPr>
        <w:t>............</w:t>
      </w:r>
      <w:r w:rsidRPr="53E65F6F" w:rsidR="2A51EFDE">
        <w:rPr>
          <w:rFonts w:ascii="Times New Roman" w:hAnsi="Times New Roman" w:cs="Times New Roman"/>
          <w:sz w:val="18"/>
          <w:szCs w:val="18"/>
        </w:rPr>
        <w:t>-</w:t>
      </w:r>
      <w:r w:rsidRPr="53E65F6F" w:rsidR="6D159877">
        <w:rPr>
          <w:rFonts w:ascii="Times New Roman" w:hAnsi="Times New Roman" w:cs="Times New Roman"/>
          <w:sz w:val="18"/>
          <w:szCs w:val="18"/>
        </w:rPr>
        <w:t>...</w:t>
      </w:r>
      <w:r w:rsidRPr="53E65F6F" w:rsidR="2A51EFDE">
        <w:rPr>
          <w:rFonts w:ascii="Times New Roman" w:hAnsi="Times New Roman" w:cs="Times New Roman"/>
          <w:sz w:val="18"/>
          <w:szCs w:val="18"/>
        </w:rPr>
        <w:t xml:space="preserve">? Jueves, 25 </w:t>
      </w:r>
      <w:r w:rsidRPr="53E65F6F" w:rsidR="2A51EFDE">
        <w:rPr>
          <w:rFonts w:ascii="Times New Roman" w:hAnsi="Times New Roman" w:cs="Times New Roman"/>
          <w:sz w:val="18"/>
          <w:szCs w:val="18"/>
        </w:rPr>
        <w:t>Febrero</w:t>
      </w:r>
      <w:r w:rsidRPr="53E65F6F" w:rsidR="2A51EFDE">
        <w:rPr>
          <w:rFonts w:ascii="Times New Roman" w:hAnsi="Times New Roman" w:cs="Times New Roman"/>
          <w:sz w:val="18"/>
          <w:szCs w:val="18"/>
        </w:rPr>
        <w:t xml:space="preserve"> 2021. https://ma.com.pe/falso-negativo-se-puede-dar-con-las-pruebas-de-</w:t>
      </w:r>
      <w:r w:rsidRPr="53E65F6F" w:rsidR="44BD923A">
        <w:rPr>
          <w:rFonts w:ascii="Times New Roman" w:hAnsi="Times New Roman" w:cs="Times New Roman"/>
          <w:sz w:val="18"/>
          <w:szCs w:val="18"/>
        </w:rPr>
        <w:t>............</w:t>
      </w:r>
      <w:r w:rsidRPr="53E65F6F" w:rsidR="2A51EFDE">
        <w:rPr>
          <w:rFonts w:ascii="Times New Roman" w:hAnsi="Times New Roman" w:cs="Times New Roman"/>
          <w:sz w:val="18"/>
          <w:szCs w:val="18"/>
        </w:rPr>
        <w:t>-</w:t>
      </w:r>
      <w:r w:rsidRPr="53E65F6F" w:rsidR="6D159877">
        <w:rPr>
          <w:rFonts w:ascii="Times New Roman" w:hAnsi="Times New Roman" w:cs="Times New Roman"/>
          <w:sz w:val="18"/>
          <w:szCs w:val="18"/>
        </w:rPr>
        <w:t>...</w:t>
      </w:r>
    </w:p>
    <w:p w:rsidRPr="00C94B19" w:rsidR="00C94B19" w:rsidP="00C94B19" w:rsidRDefault="00C94B19" w14:paraId="5724062A" w14:textId="77777777">
      <w:pPr>
        <w:jc w:val="both"/>
        <w:rPr>
          <w:color w:val="000000"/>
          <w:sz w:val="18"/>
          <w:szCs w:val="18"/>
          <w:lang w:eastAsia="es-PE"/>
        </w:rPr>
      </w:pPr>
      <w:r w:rsidRPr="00C94B19">
        <w:rPr>
          <w:color w:val="000000"/>
          <w:sz w:val="18"/>
          <w:szCs w:val="18"/>
          <w:lang w:eastAsia="es-PE"/>
        </w:rPr>
        <w:t xml:space="preserve"> </w:t>
      </w:r>
    </w:p>
    <w:p w:rsidRPr="00C94B19" w:rsidR="00C94B19" w:rsidP="00C94B19" w:rsidRDefault="00C94B19" w14:paraId="1C0D5978" w14:textId="77777777">
      <w:pPr>
        <w:jc w:val="both"/>
        <w:rPr>
          <w:bCs/>
        </w:rPr>
      </w:pPr>
      <w:r w:rsidRPr="00C94B19">
        <w:rPr>
          <w:bCs/>
        </w:rPr>
        <w:t>En la medida que la certeza del resultado de la prueba molecular, en el presente caso “negativo”, deviene en relativa por el tiempo transcurrido, dicha evidencia debe ser valorada a la luz de otras pruebas que obran en la historia clínica.</w:t>
      </w:r>
    </w:p>
    <w:p w:rsidRPr="00C94B19" w:rsidR="00C94B19" w:rsidP="00C94B19" w:rsidRDefault="00C94B19" w14:paraId="472E0CC3" w14:textId="3851BD43">
      <w:pPr>
        <w:jc w:val="both"/>
      </w:pPr>
      <w:r w:rsidR="2A51EFDE">
        <w:rPr/>
        <w:t xml:space="preserve">Así, para el Colegiado resulta relevante apreciar que, como resultado de la tomografía realizada al asegurado, se concluye como diagnóstico una neumonía intersticial atípica por </w:t>
      </w:r>
      <w:r w:rsidR="44BD923A">
        <w:rPr/>
        <w:t>............</w:t>
      </w:r>
      <w:r w:rsidR="2A51EFDE">
        <w:rPr/>
        <w:t>-</w:t>
      </w:r>
      <w:r w:rsidR="6D159877">
        <w:rPr/>
        <w:t>...</w:t>
      </w:r>
      <w:r w:rsidR="2A51EFDE">
        <w:rPr/>
        <w:t>:</w:t>
      </w:r>
    </w:p>
    <w:p w:rsidRPr="00C94B19" w:rsidR="00C94B19" w:rsidP="00C94B19" w:rsidRDefault="00C94B19" w14:paraId="4CAC6935" w14:textId="363C9D3C">
      <w:pPr>
        <w:jc w:val="both"/>
      </w:pPr>
      <w:r w:rsidR="262DBEF6">
        <w:rPr/>
        <w:t>............................................................................................................................</w:t>
      </w:r>
    </w:p>
    <w:p w:rsidR="53E65F6F" w:rsidP="53E65F6F" w:rsidRDefault="53E65F6F" w14:paraId="5595BD71" w14:textId="33AF9688">
      <w:pPr>
        <w:jc w:val="both"/>
      </w:pPr>
    </w:p>
    <w:p w:rsidRPr="00C94B19" w:rsidR="00C94B19" w:rsidP="00C94B19" w:rsidRDefault="00C94B19" w14:paraId="0D4D0454" w14:textId="7C3AA052">
      <w:pPr>
        <w:jc w:val="both"/>
      </w:pPr>
      <w:r w:rsidR="2A51EFDE">
        <w:rPr/>
        <w:t xml:space="preserve">Según literatura médica aportada por el reclamante, la tomografía es un método de despistaje principal para el diagnóstico de neumonía por </w:t>
      </w:r>
      <w:r w:rsidR="44BD923A">
        <w:rPr/>
        <w:t>............</w:t>
      </w:r>
      <w:r w:rsidR="2A51EFDE">
        <w:rPr/>
        <w:t>-</w:t>
      </w:r>
      <w:r w:rsidR="6D159877">
        <w:rPr/>
        <w:t>...</w:t>
      </w:r>
      <w:r w:rsidR="2A51EFDE">
        <w:rPr/>
        <w:t>:</w:t>
      </w:r>
    </w:p>
    <w:p w:rsidRPr="00C94B19" w:rsidR="00C94B19" w:rsidP="00C94B19" w:rsidRDefault="00C94B19" w14:paraId="1AE5E72C" w14:textId="77777777">
      <w:pPr>
        <w:jc w:val="both"/>
        <w:rPr>
          <w:bCs/>
        </w:rPr>
      </w:pPr>
    </w:p>
    <w:p w:rsidR="00C94B19" w:rsidP="00C94B19" w:rsidRDefault="00C94B19" w14:paraId="5015A5AC" w14:textId="69819418">
      <w:pPr>
        <w:jc w:val="both"/>
        <w:rPr>
          <w:sz w:val="18"/>
          <w:szCs w:val="18"/>
        </w:rPr>
      </w:pPr>
      <w:r w:rsidRPr="00C94B19">
        <w:rPr>
          <w:bCs/>
          <w:noProof/>
        </w:rPr>
        <w:drawing>
          <wp:inline distT="0" distB="0" distL="0" distR="0" wp14:anchorId="103C6970" wp14:editId="3BA0C831">
            <wp:extent cx="5580380" cy="1694180"/>
            <wp:effectExtent l="0" t="0" r="1270" b="127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580380" cy="1694180"/>
                    </a:xfrm>
                    <a:prstGeom prst="rect">
                      <a:avLst/>
                    </a:prstGeom>
                    <a:noFill/>
                    <a:ln>
                      <a:noFill/>
                    </a:ln>
                  </pic:spPr>
                </pic:pic>
              </a:graphicData>
            </a:graphic>
          </wp:inline>
        </w:drawing>
      </w:r>
    </w:p>
    <w:p w:rsidR="00C94B19" w:rsidP="00C94B19" w:rsidRDefault="00C94B19" w14:paraId="2B1B4A0A" w14:textId="77777777">
      <w:pPr>
        <w:jc w:val="both"/>
        <w:rPr>
          <w:sz w:val="18"/>
          <w:szCs w:val="18"/>
        </w:rPr>
      </w:pPr>
    </w:p>
    <w:p w:rsidRPr="00C94B19" w:rsidR="00C94B19" w:rsidP="00C94B19" w:rsidRDefault="00C94B19" w14:paraId="5EABB779" w14:textId="024D4A8D">
      <w:pPr>
        <w:jc w:val="both"/>
      </w:pPr>
      <w:r w:rsidRPr="53E65F6F" w:rsidR="2A51EFDE">
        <w:rPr>
          <w:sz w:val="18"/>
          <w:szCs w:val="18"/>
        </w:rPr>
        <w:t xml:space="preserve">Fuente: Tomografía de tórax y RT-PCR en casos sospechosos de </w:t>
      </w:r>
      <w:r w:rsidRPr="53E65F6F" w:rsidR="44BD923A">
        <w:rPr>
          <w:sz w:val="18"/>
          <w:szCs w:val="18"/>
        </w:rPr>
        <w:t>............</w:t>
      </w:r>
      <w:r w:rsidRPr="53E65F6F" w:rsidR="2A51EFDE">
        <w:rPr>
          <w:sz w:val="18"/>
          <w:szCs w:val="18"/>
        </w:rPr>
        <w:t>-</w:t>
      </w:r>
      <w:r w:rsidRPr="53E65F6F" w:rsidR="6D159877">
        <w:rPr>
          <w:sz w:val="18"/>
          <w:szCs w:val="18"/>
        </w:rPr>
        <w:t>...</w:t>
      </w:r>
      <w:r w:rsidRPr="53E65F6F" w:rsidR="2A51EFDE">
        <w:rPr>
          <w:sz w:val="18"/>
          <w:szCs w:val="18"/>
        </w:rPr>
        <w:t xml:space="preserve"> vistos en el servicio de emergencia de Clínica Delgado</w:t>
      </w:r>
    </w:p>
    <w:p w:rsidRPr="00C94B19" w:rsidR="00C94B19" w:rsidP="00C94B19" w:rsidRDefault="00C94B19" w14:paraId="04697AD9" w14:textId="77777777">
      <w:pPr>
        <w:jc w:val="both"/>
        <w:rPr>
          <w:bCs/>
        </w:rPr>
      </w:pPr>
    </w:p>
    <w:p w:rsidRPr="00C94B19" w:rsidR="00C94B19" w:rsidP="00C94B19" w:rsidRDefault="00C94B19" w14:paraId="7CAA7631" w14:textId="6BD75C2B">
      <w:pPr>
        <w:jc w:val="both"/>
      </w:pPr>
      <w:r w:rsidR="2A51EFDE">
        <w:rPr/>
        <w:t xml:space="preserve">Conforme a lo anterior, esta Defensoría aprecia que la hospitalización del asegurado a partir del 14 de noviembre de </w:t>
      </w:r>
      <w:r w:rsidR="2A51EFDE">
        <w:rPr/>
        <w:t>2020,</w:t>
      </w:r>
      <w:r w:rsidR="2A51EFDE">
        <w:rPr/>
        <w:t xml:space="preserve"> tuvo como causa inicial el diagnóstico de Neumonía Intersticial Atípica secuela de </w:t>
      </w:r>
      <w:r w:rsidR="44BD923A">
        <w:rPr/>
        <w:t>............</w:t>
      </w:r>
      <w:r w:rsidR="2A51EFDE">
        <w:rPr/>
        <w:t>-</w:t>
      </w:r>
      <w:r w:rsidR="6D159877">
        <w:rPr/>
        <w:t>...</w:t>
      </w:r>
      <w:r w:rsidR="2A51EFDE">
        <w:rPr/>
        <w:t>.</w:t>
      </w:r>
    </w:p>
    <w:p w:rsidR="00C94B19" w:rsidP="00C94B19" w:rsidRDefault="00C94B19" w14:paraId="328542D1" w14:textId="013A1E63">
      <w:pPr>
        <w:jc w:val="both"/>
        <w:rPr>
          <w:bCs/>
        </w:rPr>
      </w:pPr>
      <w:r w:rsidRPr="00C94B19">
        <w:rPr>
          <w:bCs/>
        </w:rPr>
        <w:t xml:space="preserve">Ahora bien, también es un hecho probado que el 26 de noviembre de 2020 al paciente se le diagnostica Neumonía Grave por </w:t>
      </w:r>
      <w:proofErr w:type="spellStart"/>
      <w:r w:rsidRPr="00C94B19">
        <w:rPr>
          <w:bCs/>
        </w:rPr>
        <w:t>Pneumocystis</w:t>
      </w:r>
      <w:proofErr w:type="spellEnd"/>
      <w:r w:rsidRPr="00C94B19">
        <w:rPr>
          <w:bCs/>
        </w:rPr>
        <w:t xml:space="preserve"> </w:t>
      </w:r>
      <w:proofErr w:type="spellStart"/>
      <w:r w:rsidRPr="00C94B19">
        <w:rPr>
          <w:bCs/>
        </w:rPr>
        <w:t>Jiroveci</w:t>
      </w:r>
      <w:proofErr w:type="spellEnd"/>
      <w:r w:rsidRPr="00C94B19">
        <w:rPr>
          <w:bCs/>
        </w:rPr>
        <w:t xml:space="preserve"> </w:t>
      </w:r>
    </w:p>
    <w:p w:rsidRPr="00C94B19" w:rsidR="00C94B19" w:rsidP="00C94B19" w:rsidRDefault="00C94B19" w14:paraId="2DAC6F24" w14:textId="77777777">
      <w:pPr>
        <w:jc w:val="both"/>
        <w:rPr>
          <w:bCs/>
        </w:rPr>
      </w:pPr>
    </w:p>
    <w:p w:rsidRPr="00C94B19" w:rsidR="00C94B19" w:rsidP="00C94B19" w:rsidRDefault="00C94B19" w14:paraId="3D612012" w14:textId="093A658C">
      <w:pPr>
        <w:jc w:val="both"/>
      </w:pPr>
      <w:r w:rsidR="2C743BCE">
        <w:rPr/>
        <w:t>......................................................................................................................................</w:t>
      </w:r>
    </w:p>
    <w:p w:rsidR="53E65F6F" w:rsidP="53E65F6F" w:rsidRDefault="53E65F6F" w14:paraId="3F32989C" w14:textId="7953E05A">
      <w:pPr>
        <w:jc w:val="both"/>
      </w:pPr>
    </w:p>
    <w:p w:rsidRPr="00C94B19" w:rsidR="00C94B19" w:rsidP="00C94B19" w:rsidRDefault="00C94B19" w14:paraId="0EACFF5E" w14:textId="77777777">
      <w:pPr>
        <w:jc w:val="both"/>
        <w:rPr>
          <w:bCs/>
        </w:rPr>
      </w:pPr>
    </w:p>
    <w:p w:rsidRPr="00C94B19" w:rsidR="00C94B19" w:rsidP="00C94B19" w:rsidRDefault="00C94B19" w14:paraId="52182BB4" w14:textId="68129BF0">
      <w:pPr>
        <w:jc w:val="both"/>
      </w:pPr>
      <w:r w:rsidR="2A51EFDE">
        <w:rPr/>
        <w:t xml:space="preserve">En concordancia con ese </w:t>
      </w:r>
      <w:r w:rsidR="2A51EFDE">
        <w:rPr/>
        <w:t>diagnostico</w:t>
      </w:r>
      <w:r w:rsidR="2A51EFDE">
        <w:rPr/>
        <w:t xml:space="preserve"> se le aplica al paciente terapia antirretroviral, específica para </w:t>
      </w:r>
      <w:r w:rsidR="608FA2BE">
        <w:rPr/>
        <w:t>........</w:t>
      </w:r>
      <w:r w:rsidR="2A51EFDE">
        <w:rPr/>
        <w:t xml:space="preserve"> (Efavirenz y </w:t>
      </w:r>
      <w:r w:rsidR="2A51EFDE">
        <w:rPr/>
        <w:t>Truvada</w:t>
      </w:r>
      <w:r w:rsidR="2A51EFDE">
        <w:rPr/>
        <w:t>).</w:t>
      </w:r>
    </w:p>
    <w:p w:rsidRPr="00C94B19" w:rsidR="00C94B19" w:rsidP="00C94B19" w:rsidRDefault="00C94B19" w14:paraId="44B338A9" w14:textId="77777777">
      <w:pPr>
        <w:jc w:val="both"/>
        <w:rPr>
          <w:bCs/>
        </w:rPr>
      </w:pPr>
    </w:p>
    <w:p w:rsidRPr="00C94B19" w:rsidR="00C94B19" w:rsidP="00C94B19" w:rsidRDefault="00C94B19" w14:paraId="04517814" w14:textId="7474AAE4">
      <w:pPr>
        <w:jc w:val="both"/>
      </w:pPr>
      <w:r w:rsidR="2A51EFDE">
        <w:rPr/>
        <w:t xml:space="preserve">De lo anterior, esta Defensoría aprecia que, a partir del 26 de noviembre del 2020 la hospitalización del asegurado tuvo como causa adecuada el diagnóstico de Neumonía Grave por </w:t>
      </w:r>
      <w:r w:rsidR="2A51EFDE">
        <w:rPr/>
        <w:t>Pneumocystis</w:t>
      </w:r>
      <w:r w:rsidR="2A51EFDE">
        <w:rPr/>
        <w:t xml:space="preserve"> resultante de la enfermedad por </w:t>
      </w:r>
      <w:r w:rsidR="145DC207">
        <w:rPr/>
        <w:t>........</w:t>
      </w:r>
      <w:r w:rsidR="2A51EFDE">
        <w:rPr/>
        <w:t xml:space="preserve"> del paciente, lo que queda corroborado por la Epicrisis de egreso del paciente: </w:t>
      </w:r>
    </w:p>
    <w:p w:rsidRPr="00C94B19" w:rsidR="00C94B19" w:rsidP="00C94B19" w:rsidRDefault="00C94B19" w14:paraId="6F9027FB" w14:textId="77777777">
      <w:pPr>
        <w:jc w:val="both"/>
        <w:rPr>
          <w:bCs/>
        </w:rPr>
      </w:pPr>
    </w:p>
    <w:p w:rsidRPr="00C94B19" w:rsidR="00C94B19" w:rsidP="00C94B19" w:rsidRDefault="00C94B19" w14:paraId="44784905" w14:textId="67384713">
      <w:pPr>
        <w:autoSpaceDE w:val="0"/>
        <w:autoSpaceDN w:val="0"/>
        <w:adjustRightInd w:val="0"/>
      </w:pPr>
      <w:r w:rsidR="2610EA60">
        <w:rPr/>
        <w:t>...............................................................................................................................................</w:t>
      </w:r>
    </w:p>
    <w:p w:rsidRPr="00C94B19" w:rsidR="00C94B19" w:rsidP="00C94B19" w:rsidRDefault="00C94B19" w14:paraId="1B426CAF" w14:textId="77777777">
      <w:pPr>
        <w:jc w:val="both"/>
        <w:rPr>
          <w:bCs/>
        </w:rPr>
      </w:pPr>
    </w:p>
    <w:p w:rsidRPr="00C94B19" w:rsidR="00C94B19" w:rsidP="00C94B19" w:rsidRDefault="00C94B19" w14:paraId="55960FAB" w14:textId="085AB79B">
      <w:pPr>
        <w:jc w:val="both"/>
        <w:rPr>
          <w:bCs/>
        </w:rPr>
      </w:pPr>
      <w:r w:rsidRPr="00C94B19">
        <w:rPr>
          <w:bCs/>
        </w:rPr>
        <w:t>En esa medida se concluye que, a partir del 26 de noviembre de 2020, al derivar el motivo de la hospitalización de una enfermedad expresamente excluida de cobertura, la aseguradora no está obligada a cubrir las atenciones médicas posteriores a dicha fecha brindadas al asegurado.</w:t>
      </w:r>
    </w:p>
    <w:p w:rsidRPr="00C94B19" w:rsidR="00C94B19" w:rsidP="00C94B19" w:rsidRDefault="00C94B19" w14:paraId="4599BA01" w14:textId="77777777">
      <w:pPr>
        <w:tabs>
          <w:tab w:val="left" w:pos="2386"/>
        </w:tabs>
        <w:jc w:val="both"/>
        <w:outlineLvl w:val="0"/>
        <w:rPr>
          <w:b/>
          <w:u w:val="single"/>
        </w:rPr>
      </w:pPr>
    </w:p>
    <w:p w:rsidRPr="00C94B19" w:rsidR="00C94B19" w:rsidP="00C94B19" w:rsidRDefault="00C94B19" w14:paraId="78E3FE91" w14:textId="5E5031F7">
      <w:pPr>
        <w:tabs>
          <w:tab w:val="left" w:pos="2386"/>
        </w:tabs>
        <w:jc w:val="both"/>
        <w:outlineLvl w:val="0"/>
      </w:pPr>
      <w:r w:rsidRPr="00C94B19">
        <w:rPr>
          <w:b/>
          <w:u w:val="single"/>
        </w:rPr>
        <w:t>OCTAVO</w:t>
      </w:r>
      <w:r w:rsidRPr="00C94B19">
        <w:rPr>
          <w:b/>
        </w:rPr>
        <w:t>:</w:t>
      </w:r>
      <w:r w:rsidRPr="00C94B19">
        <w:rPr>
          <w:lang w:val="es-MX"/>
        </w:rPr>
        <w:t xml:space="preserve"> En consecuencia</w:t>
      </w:r>
      <w:r w:rsidRPr="00C94B19">
        <w:t>, este colegiado concluye su apreciación razonada y conjunta al amparo de lo establecido en su Reglamento, por lo que;</w:t>
      </w:r>
    </w:p>
    <w:p w:rsidRPr="00C94B19" w:rsidR="00C94B19" w:rsidP="00C94B19" w:rsidRDefault="00C94B19" w14:paraId="0CB14FBA" w14:textId="77777777">
      <w:pPr>
        <w:tabs>
          <w:tab w:val="left" w:pos="2386"/>
        </w:tabs>
        <w:jc w:val="both"/>
        <w:outlineLvl w:val="0"/>
      </w:pPr>
    </w:p>
    <w:p w:rsidRPr="00C94B19" w:rsidR="00C94B19" w:rsidP="00C94B19" w:rsidRDefault="00C94B19" w14:paraId="5DA9ECA5" w14:textId="094C399D">
      <w:pPr>
        <w:jc w:val="both"/>
        <w:rPr>
          <w:b/>
        </w:rPr>
      </w:pPr>
      <w:r w:rsidRPr="00C94B19">
        <w:rPr>
          <w:b/>
        </w:rPr>
        <w:t>RESUELVE:</w:t>
      </w:r>
    </w:p>
    <w:p w:rsidRPr="00C94B19" w:rsidR="00C94B19" w:rsidP="00C94B19" w:rsidRDefault="00C94B19" w14:paraId="4C4AE180" w14:textId="77777777">
      <w:pPr>
        <w:jc w:val="both"/>
        <w:rPr>
          <w:b/>
        </w:rPr>
      </w:pPr>
    </w:p>
    <w:p w:rsidRPr="00C94B19" w:rsidR="00C94B19" w:rsidP="00C94B19" w:rsidRDefault="00C94B19" w14:paraId="5AE86C67" w14:textId="32AA09B6">
      <w:pPr>
        <w:jc w:val="both"/>
      </w:pPr>
      <w:r w:rsidRPr="53E65F6F" w:rsidR="2A51EFDE">
        <w:rPr>
          <w:rFonts w:eastAsia="Arial Unicode MS"/>
        </w:rPr>
        <w:t xml:space="preserve">Declarar </w:t>
      </w:r>
      <w:r w:rsidRPr="53E65F6F" w:rsidR="2A51EFDE">
        <w:rPr>
          <w:rFonts w:eastAsia="Arial Unicode MS"/>
          <w:b w:val="1"/>
          <w:bCs w:val="1"/>
        </w:rPr>
        <w:t>FUNDADA</w:t>
      </w:r>
      <w:r w:rsidRPr="53E65F6F" w:rsidR="2A51EFDE">
        <w:rPr>
          <w:rFonts w:eastAsia="Arial Unicode MS"/>
        </w:rPr>
        <w:t xml:space="preserve"> </w:t>
      </w:r>
      <w:r w:rsidRPr="53E65F6F" w:rsidR="2A51EFDE">
        <w:rPr>
          <w:rFonts w:eastAsia="Arial Unicode MS"/>
          <w:b w:val="1"/>
          <w:bCs w:val="1"/>
        </w:rPr>
        <w:t>EN PARTE</w:t>
      </w:r>
      <w:r w:rsidRPr="53E65F6F" w:rsidR="2A51EFDE">
        <w:rPr>
          <w:rFonts w:eastAsia="Arial Unicode MS"/>
        </w:rPr>
        <w:t xml:space="preserve"> la reclamación interpuesta por</w:t>
      </w:r>
      <w:r w:rsidR="2A51EFDE">
        <w:rPr/>
        <w:t xml:space="preserve"> </w:t>
      </w:r>
      <w:r w:rsidRPr="53E65F6F" w:rsidR="5ECC8D22">
        <w:rPr>
          <w:b w:val="1"/>
          <w:bCs w:val="1"/>
          <w:lang w:val="es-MX"/>
        </w:rPr>
        <w:t>.......................................................</w:t>
      </w:r>
      <w:r w:rsidRPr="53E65F6F" w:rsidR="2A51EFDE">
        <w:rPr>
          <w:b w:val="1"/>
          <w:bCs w:val="1"/>
          <w:lang w:val="es-MX"/>
        </w:rPr>
        <w:t xml:space="preserve"> </w:t>
      </w:r>
      <w:r w:rsidR="2A51EFDE">
        <w:rPr/>
        <w:t xml:space="preserve">contra </w:t>
      </w:r>
      <w:r w:rsidRPr="53E65F6F" w:rsidR="359030FD">
        <w:rPr>
          <w:b w:val="1"/>
          <w:bCs w:val="1"/>
          <w:lang w:val="es-MX"/>
        </w:rPr>
        <w:t>......................................</w:t>
      </w:r>
      <w:r w:rsidRPr="53E65F6F" w:rsidR="2A51EFDE">
        <w:rPr>
          <w:lang w:val="es-MX"/>
        </w:rPr>
        <w:t>, debiendo la aseguradora</w:t>
      </w:r>
      <w:r w:rsidRPr="53E65F6F" w:rsidR="003459BA">
        <w:rPr>
          <w:lang w:val="es-MX"/>
        </w:rPr>
        <w:t xml:space="preserve"> </w:t>
      </w:r>
      <w:r w:rsidRPr="53E65F6F" w:rsidR="2A51EFDE">
        <w:rPr>
          <w:lang w:val="es-MX"/>
        </w:rPr>
        <w:t xml:space="preserve">brindar la cobertura extraordinaria por </w:t>
      </w:r>
      <w:r w:rsidRPr="53E65F6F" w:rsidR="44BD923A">
        <w:rPr>
          <w:lang w:val="es-MX"/>
        </w:rPr>
        <w:t>............</w:t>
      </w:r>
      <w:r w:rsidRPr="53E65F6F" w:rsidR="2A51EFDE">
        <w:rPr>
          <w:lang w:val="es-MX"/>
        </w:rPr>
        <w:t>-</w:t>
      </w:r>
      <w:r w:rsidRPr="53E65F6F" w:rsidR="6D159877">
        <w:rPr>
          <w:lang w:val="es-MX"/>
        </w:rPr>
        <w:t>...</w:t>
      </w:r>
      <w:r w:rsidRPr="53E65F6F" w:rsidR="2A51EFDE">
        <w:rPr>
          <w:lang w:val="es-MX"/>
        </w:rPr>
        <w:t xml:space="preserve"> al 100% para la atención médica del asegurado correspondiente al período de hospitalización del 14 de noviembre de 2020 al 26 de noviembre de 2020</w:t>
      </w:r>
      <w:r w:rsidR="2A51EFDE">
        <w:rPr/>
        <w:t xml:space="preserve">, correspondiente al </w:t>
      </w:r>
      <w:r w:rsidRPr="53E65F6F" w:rsidR="2A51EFDE">
        <w:rPr>
          <w:b w:val="1"/>
          <w:bCs w:val="1"/>
          <w:lang w:val="es-MX"/>
        </w:rPr>
        <w:t xml:space="preserve">SEGURO DE SALUD RED PREFERENTE - PÓLIZA No </w:t>
      </w:r>
      <w:r w:rsidRPr="53E65F6F" w:rsidR="758BC0E6">
        <w:rPr>
          <w:b w:val="1"/>
          <w:bCs w:val="1"/>
          <w:lang w:val="es-MX"/>
        </w:rPr>
        <w:t>.....................</w:t>
      </w:r>
      <w:r w:rsidRPr="53E65F6F" w:rsidR="2A51EFDE">
        <w:rPr>
          <w:lang w:val="es-MX"/>
        </w:rPr>
        <w:t>.</w:t>
      </w:r>
    </w:p>
    <w:p w:rsidRPr="00C94B19" w:rsidR="004832BF" w:rsidP="004832BF" w:rsidRDefault="004832BF" w14:paraId="0EA9D493" w14:textId="77777777">
      <w:pPr>
        <w:outlineLvl w:val="0"/>
        <w:rPr>
          <w:lang w:val="es-PE"/>
        </w:rPr>
      </w:pPr>
    </w:p>
    <w:p w:rsidRPr="00C94B19" w:rsidR="001631D6" w:rsidP="00401DE3" w:rsidRDefault="00F15FBA" w14:paraId="30F8D459" w14:textId="6DD9B07E">
      <w:pPr>
        <w:jc w:val="right"/>
        <w:outlineLvl w:val="0"/>
        <w:rPr>
          <w:lang w:val="es-PE"/>
        </w:rPr>
      </w:pPr>
      <w:r w:rsidRPr="00C94B19">
        <w:rPr>
          <w:lang w:val="es-PE"/>
        </w:rPr>
        <w:t xml:space="preserve">Lima, </w:t>
      </w:r>
      <w:r w:rsidRPr="00C94B19" w:rsidR="00EA1FBC">
        <w:rPr>
          <w:lang w:val="es-PE"/>
        </w:rPr>
        <w:t xml:space="preserve">02 </w:t>
      </w:r>
      <w:r w:rsidRPr="00C94B19" w:rsidR="00F62606">
        <w:t>d</w:t>
      </w:r>
      <w:proofErr w:type="spellStart"/>
      <w:r w:rsidRPr="00C94B19">
        <w:rPr>
          <w:lang w:val="es-PE"/>
        </w:rPr>
        <w:t>e</w:t>
      </w:r>
      <w:proofErr w:type="spellEnd"/>
      <w:r w:rsidRPr="00C94B19" w:rsidR="00026017">
        <w:rPr>
          <w:lang w:val="es-PE"/>
        </w:rPr>
        <w:t xml:space="preserve"> </w:t>
      </w:r>
      <w:r w:rsidRPr="00C94B19" w:rsidR="00EA1FBC">
        <w:rPr>
          <w:lang w:val="es-PE"/>
        </w:rPr>
        <w:t>agosto</w:t>
      </w:r>
      <w:r w:rsidRPr="00C94B19" w:rsidR="001631D6">
        <w:rPr>
          <w:lang w:val="es-PE"/>
        </w:rPr>
        <w:t xml:space="preserve"> </w:t>
      </w:r>
      <w:r w:rsidRPr="00C94B19">
        <w:rPr>
          <w:lang w:val="es-PE"/>
        </w:rPr>
        <w:t>de 20</w:t>
      </w:r>
      <w:r w:rsidRPr="00C94B19" w:rsidR="001631D6">
        <w:rPr>
          <w:lang w:val="es-PE"/>
        </w:rPr>
        <w:t>2</w:t>
      </w:r>
      <w:r w:rsidRPr="00C94B19" w:rsidR="003E6BA6">
        <w:rPr>
          <w:lang w:val="es-PE"/>
        </w:rPr>
        <w:t>1</w:t>
      </w:r>
    </w:p>
    <w:p w:rsidRPr="00C94B19" w:rsidR="00C01AB2" w:rsidP="00B5211F" w:rsidRDefault="00C01AB2" w14:paraId="37DB6607" w14:textId="77777777"/>
    <w:p w:rsidRPr="00C94B19" w:rsidR="000D588E" w:rsidP="000D588E" w:rsidRDefault="000D588E" w14:paraId="2E675B6E" w14:textId="77777777">
      <w:pPr>
        <w:jc w:val="both"/>
        <w:rPr>
          <w:b/>
          <w:bCs/>
          <w:i/>
          <w:iCs/>
          <w:lang w:val="es-ES_tradnl"/>
        </w:rPr>
      </w:pPr>
      <w:r w:rsidRPr="00C94B19">
        <w:rPr>
          <w:b/>
          <w:bCs/>
          <w:i/>
          <w:iCs/>
          <w:lang w:val="es-ES_tradnl"/>
        </w:rPr>
        <w:t>La Secretaría Técnica certifica que la presente resolución cuenta con el voto de los vocales cuyos nombres figuran en el presente documento.</w:t>
      </w:r>
    </w:p>
    <w:p w:rsidRPr="00C94B19" w:rsidR="000D588E" w:rsidP="000D588E" w:rsidRDefault="000D588E" w14:paraId="4E2B6639" w14:textId="77777777">
      <w:pPr>
        <w:jc w:val="both"/>
        <w:rPr>
          <w:b/>
          <w:bCs/>
          <w:i/>
          <w:iCs/>
          <w:lang w:val="es-ES_tradnl"/>
        </w:rPr>
      </w:pPr>
    </w:p>
    <w:p w:rsidRPr="00C94B19" w:rsidR="000D588E" w:rsidP="000D588E" w:rsidRDefault="000D588E" w14:paraId="71FD7BAF" w14:textId="77777777">
      <w:pPr>
        <w:spacing w:line="360" w:lineRule="auto"/>
        <w:jc w:val="center"/>
        <w:rPr>
          <w:b/>
          <w:bCs/>
        </w:rPr>
      </w:pPr>
      <w:r w:rsidRPr="00C94B19">
        <w:rPr>
          <w:b/>
          <w:bCs/>
        </w:rPr>
        <w:t xml:space="preserve">Marco Antonio Ortega Piana – </w:t>
      </w:r>
      <w:proofErr w:type="gramStart"/>
      <w:r w:rsidRPr="00C94B19">
        <w:rPr>
          <w:b/>
          <w:bCs/>
        </w:rPr>
        <w:t>Presidente</w:t>
      </w:r>
      <w:proofErr w:type="gramEnd"/>
    </w:p>
    <w:p w:rsidRPr="00C94B19" w:rsidR="000D588E" w:rsidP="000D588E" w:rsidRDefault="000D588E" w14:paraId="247EE6C1" w14:textId="77777777">
      <w:pPr>
        <w:spacing w:line="360" w:lineRule="auto"/>
        <w:jc w:val="center"/>
        <w:rPr>
          <w:b/>
          <w:bCs/>
        </w:rPr>
      </w:pPr>
      <w:r w:rsidRPr="00C94B19">
        <w:rPr>
          <w:b/>
          <w:bCs/>
        </w:rPr>
        <w:t>María Eugenia Valdez Fernández Baca – Vocal</w:t>
      </w:r>
    </w:p>
    <w:p w:rsidRPr="00C94B19" w:rsidR="000D588E" w:rsidP="000D588E" w:rsidRDefault="000D588E" w14:paraId="33674F75" w14:textId="77777777">
      <w:pPr>
        <w:spacing w:line="360" w:lineRule="auto"/>
        <w:jc w:val="center"/>
        <w:rPr>
          <w:b/>
          <w:bCs/>
        </w:rPr>
      </w:pPr>
      <w:r w:rsidRPr="00C94B19">
        <w:rPr>
          <w:b/>
          <w:bCs/>
        </w:rPr>
        <w:t xml:space="preserve">Rolando Eyzaguirre </w:t>
      </w:r>
      <w:proofErr w:type="spellStart"/>
      <w:r w:rsidRPr="00C94B19">
        <w:rPr>
          <w:b/>
          <w:bCs/>
        </w:rPr>
        <w:t>Maccan</w:t>
      </w:r>
      <w:proofErr w:type="spellEnd"/>
      <w:r w:rsidRPr="00C94B19">
        <w:rPr>
          <w:b/>
          <w:bCs/>
        </w:rPr>
        <w:t xml:space="preserve"> – Vocal</w:t>
      </w:r>
    </w:p>
    <w:p w:rsidRPr="00C94B19" w:rsidR="000D588E" w:rsidP="000D588E" w:rsidRDefault="000D588E" w14:paraId="1D601113" w14:textId="77777777">
      <w:pPr>
        <w:spacing w:line="360" w:lineRule="auto"/>
        <w:jc w:val="center"/>
        <w:rPr>
          <w:lang w:val="es-MX"/>
        </w:rPr>
      </w:pPr>
      <w:r w:rsidRPr="00C94B19">
        <w:rPr>
          <w:b/>
          <w:bCs/>
        </w:rPr>
        <w:t>Gonzalo Abad del Busto - Vocal</w:t>
      </w:r>
    </w:p>
    <w:p w:rsidRPr="004832BF" w:rsidR="001631D6" w:rsidP="00F15FBA" w:rsidRDefault="001631D6" w14:paraId="0DA96C46" w14:textId="77777777">
      <w:pPr>
        <w:jc w:val="both"/>
        <w:rPr>
          <w:lang w:val="es-PE"/>
        </w:rPr>
      </w:pPr>
    </w:p>
    <w:p w:rsidRPr="004832BF" w:rsidR="00F15FBA" w:rsidP="00F15FBA" w:rsidRDefault="00F15FBA" w14:paraId="22C77427" w14:textId="77777777"/>
    <w:p w:rsidRPr="001631D6" w:rsidR="00F15FBA" w:rsidP="00F15FBA" w:rsidRDefault="00F15FBA" w14:paraId="58BFC23A" w14:textId="77777777"/>
    <w:p w:rsidRPr="001631D6" w:rsidR="00517989" w:rsidRDefault="00110A55" w14:paraId="164CAA9F" w14:textId="77777777"/>
    <w:sectPr w:rsidRPr="001631D6" w:rsidR="00517989" w:rsidSect="00F552B2">
      <w:headerReference w:type="default" r:id="rId22"/>
      <w:footerReference w:type="default" r:id="rId23"/>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110A55" w:rsidP="005F148C" w:rsidRDefault="00110A55" w14:paraId="3AD34CE3" w14:textId="77777777">
      <w:r>
        <w:separator/>
      </w:r>
    </w:p>
  </w:endnote>
  <w:endnote w:type="continuationSeparator" w:id="0">
    <w:p w:rsidR="00110A55" w:rsidP="005F148C" w:rsidRDefault="00110A55" w14:paraId="5426E7B9"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110A55" w:rsidP="005F148C" w:rsidRDefault="00110A55" w14:paraId="17D9A797" w14:textId="77777777">
      <w:r>
        <w:separator/>
      </w:r>
    </w:p>
  </w:footnote>
  <w:footnote w:type="continuationSeparator" w:id="0">
    <w:p w:rsidR="00110A55" w:rsidP="005F148C" w:rsidRDefault="00110A55" w14:paraId="3BF1AAE2"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F21D7"/>
    <w:multiLevelType w:val="hybridMultilevel"/>
    <w:tmpl w:val="5E8CA37A"/>
    <w:lvl w:ilvl="0" w:tplc="2D662614">
      <w:start w:val="1"/>
      <w:numFmt w:val="lowerLetter"/>
      <w:lvlText w:val="%1)"/>
      <w:lvlJc w:val="left"/>
      <w:pPr>
        <w:ind w:left="720" w:hanging="36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6CF71EF"/>
    <w:multiLevelType w:val="hybridMultilevel"/>
    <w:tmpl w:val="441EC25C"/>
    <w:lvl w:ilvl="0" w:tplc="DD0A6D2E">
      <w:start w:val="1"/>
      <w:numFmt w:val="decimal"/>
      <w:lvlText w:val="%1)"/>
      <w:lvlJc w:val="left"/>
      <w:pPr>
        <w:ind w:left="720" w:hanging="360"/>
      </w:pPr>
      <w:rPr>
        <w:rFonts w:ascii="Arial" w:hAnsi="Arial" w:cs="Arial" w:eastAsiaTheme="minorHAnsi"/>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87E05E9"/>
    <w:multiLevelType w:val="hybridMultilevel"/>
    <w:tmpl w:val="30024A86"/>
    <w:lvl w:ilvl="0" w:tplc="678A7B0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91B0F64"/>
    <w:multiLevelType w:val="hybridMultilevel"/>
    <w:tmpl w:val="88FEF9B4"/>
    <w:lvl w:ilvl="0" w:tplc="9AE6EA56">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0A645E98"/>
    <w:multiLevelType w:val="hybridMultilevel"/>
    <w:tmpl w:val="30024A86"/>
    <w:lvl w:ilvl="0" w:tplc="678A7B0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6" w15:restartNumberingAfterBreak="0">
    <w:nsid w:val="123C46E1"/>
    <w:multiLevelType w:val="hybridMultilevel"/>
    <w:tmpl w:val="D7D24C54"/>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15:restartNumberingAfterBreak="0">
    <w:nsid w:val="1E1D7FF1"/>
    <w:multiLevelType w:val="hybridMultilevel"/>
    <w:tmpl w:val="32A408B4"/>
    <w:lvl w:ilvl="0" w:tplc="9B688DFA">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26B2264B"/>
    <w:multiLevelType w:val="hybridMultilevel"/>
    <w:tmpl w:val="14E020C6"/>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15:restartNumberingAfterBreak="0">
    <w:nsid w:val="2FE05F7D"/>
    <w:multiLevelType w:val="hybridMultilevel"/>
    <w:tmpl w:val="E0524E1C"/>
    <w:lvl w:ilvl="0" w:tplc="1CF2E48E">
      <w:start w:val="9"/>
      <w:numFmt w:val="lowerLetter"/>
      <w:lvlText w:val="%1)"/>
      <w:lvlJc w:val="left"/>
      <w:pPr>
        <w:ind w:left="1069" w:hanging="36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10"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3FE318C4"/>
    <w:multiLevelType w:val="multilevel"/>
    <w:tmpl w:val="86B42FE8"/>
    <w:lvl w:ilvl="0">
      <w:start w:val="6"/>
      <w:numFmt w:val="decimal"/>
      <w:lvlText w:val="%1."/>
      <w:lvlJc w:val="left"/>
      <w:pPr>
        <w:ind w:left="360" w:hanging="36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940536F"/>
    <w:multiLevelType w:val="hybridMultilevel"/>
    <w:tmpl w:val="252EA214"/>
    <w:lvl w:ilvl="0" w:tplc="280A000D">
      <w:start w:val="1"/>
      <w:numFmt w:val="bullet"/>
      <w:lvlText w:val=""/>
      <w:lvlJc w:val="left"/>
      <w:pPr>
        <w:ind w:left="720" w:hanging="360"/>
      </w:pPr>
      <w:rPr>
        <w:rFonts w:hint="default" w:ascii="Wingdings" w:hAnsi="Wingdings"/>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3" w15:restartNumberingAfterBreak="0">
    <w:nsid w:val="4AF431AD"/>
    <w:multiLevelType w:val="multilevel"/>
    <w:tmpl w:val="F04E959E"/>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B2A492E"/>
    <w:multiLevelType w:val="multilevel"/>
    <w:tmpl w:val="62B63FC2"/>
    <w:lvl w:ilvl="0">
      <w:start w:val="6"/>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EDB638B"/>
    <w:multiLevelType w:val="hybridMultilevel"/>
    <w:tmpl w:val="CE74B51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6" w15:restartNumberingAfterBreak="0">
    <w:nsid w:val="506F06DC"/>
    <w:multiLevelType w:val="hybridMultilevel"/>
    <w:tmpl w:val="58ECE9A4"/>
    <w:lvl w:ilvl="0" w:tplc="B57CE202">
      <w:start w:val="1"/>
      <w:numFmt w:val="lowerLetter"/>
      <w:lvlText w:val="%1)"/>
      <w:lvlJc w:val="left"/>
      <w:pPr>
        <w:ind w:left="720" w:hanging="360"/>
      </w:pPr>
      <w:rPr>
        <w:rFonts w:ascii="Times New Roman" w:hAnsi="Times New Roman" w:eastAsia="Times New Roman" w:cs="Times New Roman"/>
        <w:color w:val="auto"/>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520422B5"/>
    <w:multiLevelType w:val="hybridMultilevel"/>
    <w:tmpl w:val="5CDA9C6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8" w15:restartNumberingAfterBreak="0">
    <w:nsid w:val="525D0C93"/>
    <w:multiLevelType w:val="hybridMultilevel"/>
    <w:tmpl w:val="565222EE"/>
    <w:lvl w:ilvl="0" w:tplc="D5F46800">
      <w:start w:val="2"/>
      <w:numFmt w:val="lowerRoman"/>
      <w:lvlText w:val="%1)"/>
      <w:lvlJc w:val="left"/>
      <w:pPr>
        <w:ind w:left="1429" w:hanging="72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19" w15:restartNumberingAfterBreak="0">
    <w:nsid w:val="54840F77"/>
    <w:multiLevelType w:val="hybridMultilevel"/>
    <w:tmpl w:val="00DA0EF6"/>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0"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21" w15:restartNumberingAfterBreak="0">
    <w:nsid w:val="591B1696"/>
    <w:multiLevelType w:val="multilevel"/>
    <w:tmpl w:val="7666A58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3" w15:restartNumberingAfterBreak="0">
    <w:nsid w:val="5F6326FD"/>
    <w:multiLevelType w:val="hybridMultilevel"/>
    <w:tmpl w:val="313ACEB0"/>
    <w:lvl w:ilvl="0" w:tplc="EB7CAF00">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4" w15:restartNumberingAfterBreak="0">
    <w:nsid w:val="61A36FA4"/>
    <w:multiLevelType w:val="hybridMultilevel"/>
    <w:tmpl w:val="27C4D7C6"/>
    <w:lvl w:ilvl="0" w:tplc="E116B2C0">
      <w:start w:val="1"/>
      <w:numFmt w:val="decimal"/>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25" w15:restartNumberingAfterBreak="0">
    <w:nsid w:val="68C771CA"/>
    <w:multiLevelType w:val="multilevel"/>
    <w:tmpl w:val="2D4C3C20"/>
    <w:lvl w:ilvl="0">
      <w:start w:val="6"/>
      <w:numFmt w:val="decimal"/>
      <w:lvlText w:val="%1."/>
      <w:lvlJc w:val="left"/>
      <w:pPr>
        <w:ind w:left="360" w:hanging="36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27" w15:restartNumberingAfterBreak="0">
    <w:nsid w:val="77FA0B1F"/>
    <w:multiLevelType w:val="hybridMultilevel"/>
    <w:tmpl w:val="9D30C69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8" w15:restartNumberingAfterBreak="0">
    <w:nsid w:val="7EC22469"/>
    <w:multiLevelType w:val="hybridMultilevel"/>
    <w:tmpl w:val="393890B8"/>
    <w:lvl w:ilvl="0" w:tplc="B08EA87C">
      <w:start w:val="1"/>
      <w:numFmt w:val="lowerLetter"/>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num w:numId="1">
    <w:abstractNumId w:val="5"/>
  </w:num>
  <w:num w:numId="2">
    <w:abstractNumId w:val="20"/>
  </w:num>
  <w:num w:numId="3">
    <w:abstractNumId w:val="10"/>
  </w:num>
  <w:num w:numId="4">
    <w:abstractNumId w:val="22"/>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num>
  <w:num w:numId="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4"/>
  </w:num>
  <w:num w:numId="11">
    <w:abstractNumId w:val="28"/>
  </w:num>
  <w:num w:numId="12">
    <w:abstractNumId w:val="15"/>
  </w:num>
  <w:num w:numId="13">
    <w:abstractNumId w:val="26"/>
  </w:num>
  <w:num w:numId="14">
    <w:abstractNumId w:val="13"/>
  </w:num>
  <w:num w:numId="15">
    <w:abstractNumId w:val="14"/>
  </w:num>
  <w:num w:numId="16">
    <w:abstractNumId w:val="25"/>
  </w:num>
  <w:num w:numId="17">
    <w:abstractNumId w:val="11"/>
  </w:num>
  <w:num w:numId="18">
    <w:abstractNumId w:val="21"/>
  </w:num>
  <w:num w:numId="19">
    <w:abstractNumId w:val="8"/>
  </w:num>
  <w:num w:numId="20">
    <w:abstractNumId w:val="17"/>
  </w:num>
  <w:num w:numId="21">
    <w:abstractNumId w:val="27"/>
  </w:num>
  <w:num w:numId="2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
  </w:num>
  <w:num w:numId="24">
    <w:abstractNumId w:val="0"/>
  </w:num>
  <w:num w:numId="25">
    <w:abstractNumId w:val="19"/>
  </w:num>
  <w:num w:numId="26">
    <w:abstractNumId w:val="6"/>
  </w:num>
  <w:num w:numId="27">
    <w:abstractNumId w:val="7"/>
  </w:num>
  <w:num w:numId="28">
    <w:abstractNumId w:val="23"/>
  </w:num>
  <w:num w:numId="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55B3"/>
    <w:rsid w:val="00020318"/>
    <w:rsid w:val="00026017"/>
    <w:rsid w:val="00032526"/>
    <w:rsid w:val="00035CCC"/>
    <w:rsid w:val="00045C71"/>
    <w:rsid w:val="00046046"/>
    <w:rsid w:val="00052190"/>
    <w:rsid w:val="00084E51"/>
    <w:rsid w:val="00087C49"/>
    <w:rsid w:val="00094DDA"/>
    <w:rsid w:val="000A6362"/>
    <w:rsid w:val="000C443A"/>
    <w:rsid w:val="000D2700"/>
    <w:rsid w:val="000D588E"/>
    <w:rsid w:val="000F2C43"/>
    <w:rsid w:val="00103188"/>
    <w:rsid w:val="00110A55"/>
    <w:rsid w:val="00131FAD"/>
    <w:rsid w:val="00140C67"/>
    <w:rsid w:val="001454A5"/>
    <w:rsid w:val="001631D6"/>
    <w:rsid w:val="001824DC"/>
    <w:rsid w:val="0019100A"/>
    <w:rsid w:val="00195646"/>
    <w:rsid w:val="001A3593"/>
    <w:rsid w:val="001A6663"/>
    <w:rsid w:val="001B5AC4"/>
    <w:rsid w:val="001B6607"/>
    <w:rsid w:val="001C2B16"/>
    <w:rsid w:val="001D01FD"/>
    <w:rsid w:val="001E1429"/>
    <w:rsid w:val="001E6B7D"/>
    <w:rsid w:val="001F004E"/>
    <w:rsid w:val="001F1C40"/>
    <w:rsid w:val="0020442B"/>
    <w:rsid w:val="00233ED8"/>
    <w:rsid w:val="002370F4"/>
    <w:rsid w:val="00270FE8"/>
    <w:rsid w:val="00281026"/>
    <w:rsid w:val="002A2188"/>
    <w:rsid w:val="002B05F4"/>
    <w:rsid w:val="002B14D5"/>
    <w:rsid w:val="002D3B64"/>
    <w:rsid w:val="002E35A4"/>
    <w:rsid w:val="002E708C"/>
    <w:rsid w:val="00304A8F"/>
    <w:rsid w:val="00316A1B"/>
    <w:rsid w:val="0032570B"/>
    <w:rsid w:val="003361A7"/>
    <w:rsid w:val="003459BA"/>
    <w:rsid w:val="00387D41"/>
    <w:rsid w:val="00395B94"/>
    <w:rsid w:val="003977C8"/>
    <w:rsid w:val="003A7726"/>
    <w:rsid w:val="003B46E3"/>
    <w:rsid w:val="003B4770"/>
    <w:rsid w:val="003B5737"/>
    <w:rsid w:val="003E0C15"/>
    <w:rsid w:val="003E140C"/>
    <w:rsid w:val="003E4270"/>
    <w:rsid w:val="003E6BA6"/>
    <w:rsid w:val="00401DE3"/>
    <w:rsid w:val="00417664"/>
    <w:rsid w:val="00417E23"/>
    <w:rsid w:val="004248A1"/>
    <w:rsid w:val="00455A27"/>
    <w:rsid w:val="00467825"/>
    <w:rsid w:val="00477D05"/>
    <w:rsid w:val="004832BF"/>
    <w:rsid w:val="004854D9"/>
    <w:rsid w:val="004A5F55"/>
    <w:rsid w:val="004E50D6"/>
    <w:rsid w:val="004F1C73"/>
    <w:rsid w:val="00516549"/>
    <w:rsid w:val="00531FBE"/>
    <w:rsid w:val="00577AEB"/>
    <w:rsid w:val="0058358B"/>
    <w:rsid w:val="005C5922"/>
    <w:rsid w:val="005D1456"/>
    <w:rsid w:val="005E0FE6"/>
    <w:rsid w:val="005F1349"/>
    <w:rsid w:val="005F148C"/>
    <w:rsid w:val="006024A3"/>
    <w:rsid w:val="00647AEE"/>
    <w:rsid w:val="00651449"/>
    <w:rsid w:val="00691CFB"/>
    <w:rsid w:val="0069382D"/>
    <w:rsid w:val="006A1077"/>
    <w:rsid w:val="006B6FAF"/>
    <w:rsid w:val="006B75CA"/>
    <w:rsid w:val="006D33B8"/>
    <w:rsid w:val="007224F7"/>
    <w:rsid w:val="00734447"/>
    <w:rsid w:val="00742D07"/>
    <w:rsid w:val="007474DB"/>
    <w:rsid w:val="00782489"/>
    <w:rsid w:val="007906A4"/>
    <w:rsid w:val="00791676"/>
    <w:rsid w:val="00793F6A"/>
    <w:rsid w:val="007A01AE"/>
    <w:rsid w:val="007A3050"/>
    <w:rsid w:val="007B49ED"/>
    <w:rsid w:val="007B7EE4"/>
    <w:rsid w:val="007C2FC5"/>
    <w:rsid w:val="007C3730"/>
    <w:rsid w:val="007D353F"/>
    <w:rsid w:val="00834B23"/>
    <w:rsid w:val="00834DFE"/>
    <w:rsid w:val="00835D6A"/>
    <w:rsid w:val="00852F98"/>
    <w:rsid w:val="00864800"/>
    <w:rsid w:val="00865B73"/>
    <w:rsid w:val="00881041"/>
    <w:rsid w:val="00892A1F"/>
    <w:rsid w:val="008930FB"/>
    <w:rsid w:val="00895FF5"/>
    <w:rsid w:val="008A1DAB"/>
    <w:rsid w:val="008A67AB"/>
    <w:rsid w:val="008D0547"/>
    <w:rsid w:val="0092266A"/>
    <w:rsid w:val="00923C62"/>
    <w:rsid w:val="009262B6"/>
    <w:rsid w:val="00934888"/>
    <w:rsid w:val="009767BB"/>
    <w:rsid w:val="00977F56"/>
    <w:rsid w:val="009A7580"/>
    <w:rsid w:val="009B3934"/>
    <w:rsid w:val="009C28AE"/>
    <w:rsid w:val="009C4A1C"/>
    <w:rsid w:val="00A14315"/>
    <w:rsid w:val="00A223FC"/>
    <w:rsid w:val="00A23563"/>
    <w:rsid w:val="00A5654F"/>
    <w:rsid w:val="00A80BAD"/>
    <w:rsid w:val="00A827BD"/>
    <w:rsid w:val="00AC68FA"/>
    <w:rsid w:val="00AC7D5A"/>
    <w:rsid w:val="00AE33DC"/>
    <w:rsid w:val="00AE40BA"/>
    <w:rsid w:val="00B04114"/>
    <w:rsid w:val="00B158E7"/>
    <w:rsid w:val="00B17F4D"/>
    <w:rsid w:val="00B5211F"/>
    <w:rsid w:val="00B60E25"/>
    <w:rsid w:val="00B773DA"/>
    <w:rsid w:val="00B84B2B"/>
    <w:rsid w:val="00B84F66"/>
    <w:rsid w:val="00BA6133"/>
    <w:rsid w:val="00BC6134"/>
    <w:rsid w:val="00BC633A"/>
    <w:rsid w:val="00BD5FD0"/>
    <w:rsid w:val="00C01AB2"/>
    <w:rsid w:val="00C11655"/>
    <w:rsid w:val="00C168CE"/>
    <w:rsid w:val="00C21994"/>
    <w:rsid w:val="00C41210"/>
    <w:rsid w:val="00C52AF0"/>
    <w:rsid w:val="00C81329"/>
    <w:rsid w:val="00C85630"/>
    <w:rsid w:val="00C94B19"/>
    <w:rsid w:val="00C9752A"/>
    <w:rsid w:val="00CA4FD6"/>
    <w:rsid w:val="00CB451A"/>
    <w:rsid w:val="00CB7C37"/>
    <w:rsid w:val="00CF3742"/>
    <w:rsid w:val="00D128FF"/>
    <w:rsid w:val="00D15C1E"/>
    <w:rsid w:val="00D726D7"/>
    <w:rsid w:val="00D86E87"/>
    <w:rsid w:val="00D9006E"/>
    <w:rsid w:val="00D92FA2"/>
    <w:rsid w:val="00DC7958"/>
    <w:rsid w:val="00E06DE2"/>
    <w:rsid w:val="00E138FB"/>
    <w:rsid w:val="00E1668B"/>
    <w:rsid w:val="00E17CD0"/>
    <w:rsid w:val="00E206AF"/>
    <w:rsid w:val="00E21C09"/>
    <w:rsid w:val="00E35821"/>
    <w:rsid w:val="00E72B86"/>
    <w:rsid w:val="00E908BC"/>
    <w:rsid w:val="00EA1FBC"/>
    <w:rsid w:val="00EB0F07"/>
    <w:rsid w:val="00EE20A1"/>
    <w:rsid w:val="00EE5E23"/>
    <w:rsid w:val="00EF4FF0"/>
    <w:rsid w:val="00F029DD"/>
    <w:rsid w:val="00F1075C"/>
    <w:rsid w:val="00F1515F"/>
    <w:rsid w:val="00F15FBA"/>
    <w:rsid w:val="00F202DC"/>
    <w:rsid w:val="00F42DC6"/>
    <w:rsid w:val="00F465F7"/>
    <w:rsid w:val="00F62606"/>
    <w:rsid w:val="00F71D17"/>
    <w:rsid w:val="00F74CEA"/>
    <w:rsid w:val="00F802EF"/>
    <w:rsid w:val="00F85B78"/>
    <w:rsid w:val="00F97A17"/>
    <w:rsid w:val="00FC2FA6"/>
    <w:rsid w:val="018CF1CD"/>
    <w:rsid w:val="04298A26"/>
    <w:rsid w:val="06E18AD0"/>
    <w:rsid w:val="0C19124C"/>
    <w:rsid w:val="0EC3D18B"/>
    <w:rsid w:val="1171CA79"/>
    <w:rsid w:val="145DC207"/>
    <w:rsid w:val="170DA62E"/>
    <w:rsid w:val="19C38CC5"/>
    <w:rsid w:val="1E4AFA47"/>
    <w:rsid w:val="22726434"/>
    <w:rsid w:val="2610EA60"/>
    <w:rsid w:val="262DBEF6"/>
    <w:rsid w:val="2A51EFDE"/>
    <w:rsid w:val="2C743BCE"/>
    <w:rsid w:val="2CAD7528"/>
    <w:rsid w:val="2E55AB60"/>
    <w:rsid w:val="2EC57C4F"/>
    <w:rsid w:val="2EF61709"/>
    <w:rsid w:val="32FE6CC4"/>
    <w:rsid w:val="359030FD"/>
    <w:rsid w:val="3A4DC0A4"/>
    <w:rsid w:val="3A671962"/>
    <w:rsid w:val="3F0DC9EA"/>
    <w:rsid w:val="436FC32E"/>
    <w:rsid w:val="44A00A1F"/>
    <w:rsid w:val="44BD923A"/>
    <w:rsid w:val="496DA667"/>
    <w:rsid w:val="4A24C56C"/>
    <w:rsid w:val="4CC75889"/>
    <w:rsid w:val="4EBA017D"/>
    <w:rsid w:val="50AC3B5B"/>
    <w:rsid w:val="53E65F6F"/>
    <w:rsid w:val="58F1C905"/>
    <w:rsid w:val="5E8FED89"/>
    <w:rsid w:val="5ECC8D22"/>
    <w:rsid w:val="608FA2BE"/>
    <w:rsid w:val="60B0B24F"/>
    <w:rsid w:val="60C6ACC1"/>
    <w:rsid w:val="661952D4"/>
    <w:rsid w:val="682412ED"/>
    <w:rsid w:val="6A3D8AF6"/>
    <w:rsid w:val="6C5A4AD5"/>
    <w:rsid w:val="6D159877"/>
    <w:rsid w:val="6D8A8322"/>
    <w:rsid w:val="70280D49"/>
    <w:rsid w:val="71A4ACC0"/>
    <w:rsid w:val="71CEECA4"/>
    <w:rsid w:val="722D99E6"/>
    <w:rsid w:val="723B6925"/>
    <w:rsid w:val="72EFD935"/>
    <w:rsid w:val="758BC0E6"/>
    <w:rsid w:val="76FC9BD6"/>
    <w:rsid w:val="77BABC32"/>
    <w:rsid w:val="7A2B37A5"/>
    <w:rsid w:val="7F318E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uiPriority w:val="22"/>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 w:type="paragraph" w:styleId="xmsonormal" w:customStyle="1">
    <w:name w:val="x_msonormal"/>
    <w:basedOn w:val="Normal"/>
    <w:rsid w:val="003E4270"/>
    <w:rPr>
      <w:rFonts w:ascii="Calibri" w:hAnsi="Calibri" w:cs="Calibri" w:eastAsiaTheme="minorHAnsi"/>
      <w:sz w:val="22"/>
      <w:szCs w:val="22"/>
      <w:lang w:val="es-PE" w:eastAsia="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7570398">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26"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25"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24" Type="http://schemas.openxmlformats.org/officeDocument/2006/relationships/fontTable" Target="fontTable.xml"/><Relationship Id="Re03acbfea0334bd4" Type="http://schemas.openxmlformats.org/officeDocument/2006/relationships/hyperlink" Target="https://www.siicsalud.com/dato/resiiccompleto.php/163571" TargetMode="External"/><Relationship Id="rId5" Type="http://schemas.openxmlformats.org/officeDocument/2006/relationships/webSettings" Target="webSettings.xml"/><Relationship Id="rId23" Type="http://schemas.openxmlformats.org/officeDocument/2006/relationships/footer" Target="footer1.xml"/><Relationship Id="rId28" Type="http://schemas.openxmlformats.org/officeDocument/2006/relationships/customXml" Target="../customXml/item4.xml"/><Relationship Id="rId10" Type="http://schemas.openxmlformats.org/officeDocument/2006/relationships/image" Target="media/image1.emf"/><Relationship Id="rId19" Type="http://schemas.openxmlformats.org/officeDocument/2006/relationships/image" Target="media/image10.emf"/><Relationship Id="rId4" Type="http://schemas.openxmlformats.org/officeDocument/2006/relationships/settings" Target="settings.xml"/><Relationship Id="rId22" Type="http://schemas.openxmlformats.org/officeDocument/2006/relationships/header" Target="header1.xml"/><Relationship Id="rId27"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3.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4BB06DD3-6775-43D4-A979-640545537C1F}"/>
</file>

<file path=customXml/itemProps3.xml><?xml version="1.0" encoding="utf-8"?>
<ds:datastoreItem xmlns:ds="http://schemas.openxmlformats.org/officeDocument/2006/customXml" ds:itemID="{C1DEB759-67BE-4C90-BA15-FB467D182012}"/>
</file>

<file path=customXml/itemProps4.xml><?xml version="1.0" encoding="utf-8"?>
<ds:datastoreItem xmlns:ds="http://schemas.openxmlformats.org/officeDocument/2006/customXml" ds:itemID="{A093186A-CE38-43F0-8B5C-5653076A690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67</cp:revision>
  <cp:lastPrinted>2021-08-03T15:56:00Z</cp:lastPrinted>
  <dcterms:created xsi:type="dcterms:W3CDTF">2020-12-18T20:09:00Z</dcterms:created>
  <dcterms:modified xsi:type="dcterms:W3CDTF">2026-01-21T16:49:31Z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