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F0906" w:rsidR="00F15FBA" w:rsidP="00026017" w:rsidRDefault="00F15FBA" w14:paraId="6EF5AEAB" w14:textId="2A9FF937">
      <w:pPr>
        <w:pStyle w:val="Ttulo"/>
        <w:outlineLvl w:val="0"/>
        <w:rPr>
          <w:lang w:val="es-PE"/>
        </w:rPr>
      </w:pPr>
      <w:r w:rsidRPr="00BF0906">
        <w:rPr>
          <w:lang w:val="es-PE"/>
        </w:rPr>
        <w:t xml:space="preserve">RESOLUCIÓN </w:t>
      </w:r>
      <w:proofErr w:type="spellStart"/>
      <w:r w:rsidRPr="00BF0906">
        <w:rPr>
          <w:lang w:val="es-PE"/>
        </w:rPr>
        <w:t>N</w:t>
      </w:r>
      <w:r w:rsidRPr="00BF0906" w:rsidR="001631D6">
        <w:rPr>
          <w:lang w:val="es-PE"/>
        </w:rPr>
        <w:t>°</w:t>
      </w:r>
      <w:proofErr w:type="spellEnd"/>
      <w:r w:rsidRPr="00BF0906" w:rsidR="001631D6">
        <w:rPr>
          <w:lang w:val="es-PE"/>
        </w:rPr>
        <w:t xml:space="preserve"> </w:t>
      </w:r>
      <w:r w:rsidRPr="00BF0906" w:rsidR="00497FEF">
        <w:rPr>
          <w:lang w:val="es-PE"/>
        </w:rPr>
        <w:t>10</w:t>
      </w:r>
      <w:r w:rsidR="003D5224">
        <w:rPr>
          <w:lang w:val="es-PE"/>
        </w:rPr>
        <w:t>8</w:t>
      </w:r>
      <w:r w:rsidRPr="00BF0906" w:rsidR="001631D6">
        <w:rPr>
          <w:lang w:val="es-PE"/>
        </w:rPr>
        <w:t>/2</w:t>
      </w:r>
      <w:r w:rsidRPr="00BF0906" w:rsidR="003E6BA6">
        <w:rPr>
          <w:lang w:val="es-PE"/>
        </w:rPr>
        <w:t>1</w:t>
      </w:r>
    </w:p>
    <w:p w:rsidRPr="00BF0906" w:rsidR="00C94B19" w:rsidP="00C94B19" w:rsidRDefault="00C94B19" w14:paraId="3247FB63" w14:textId="77777777">
      <w:pPr>
        <w:rPr>
          <w:b/>
        </w:rPr>
      </w:pPr>
    </w:p>
    <w:p w:rsidRPr="003D5224" w:rsidR="00090B7C" w:rsidP="00090B7C" w:rsidRDefault="00090B7C" w14:paraId="097C572D" w14:textId="77777777">
      <w:pPr>
        <w:rPr>
          <w:b/>
        </w:rPr>
      </w:pPr>
    </w:p>
    <w:p w:rsidRPr="003D5224" w:rsidR="003D5224" w:rsidP="003D5224" w:rsidRDefault="003D5224" w14:paraId="5474AF29" w14:textId="77777777">
      <w:pPr>
        <w:jc w:val="both"/>
        <w:outlineLvl w:val="0"/>
        <w:rPr>
          <w:b/>
          <w:bCs/>
          <w:lang w:val="es-PE"/>
        </w:rPr>
      </w:pPr>
      <w:r w:rsidRPr="003D5224">
        <w:rPr>
          <w:b/>
          <w:bCs/>
          <w:lang w:val="es-PE"/>
        </w:rPr>
        <w:t>Vistos:</w:t>
      </w:r>
    </w:p>
    <w:p w:rsidRPr="003D5224" w:rsidR="003D5224" w:rsidP="003D5224" w:rsidRDefault="003D5224" w14:paraId="1B709050" w14:textId="77777777">
      <w:pPr>
        <w:jc w:val="both"/>
        <w:rPr>
          <w:b/>
          <w:bCs/>
          <w:lang w:val="es-PE"/>
        </w:rPr>
      </w:pPr>
    </w:p>
    <w:p w:rsidRPr="003D5224" w:rsidR="003D5224" w:rsidP="3E71729A" w:rsidRDefault="003D5224" w14:paraId="485D0D6D" w14:textId="24CA6799">
      <w:pPr>
        <w:tabs>
          <w:tab w:val="left" w:pos="708"/>
          <w:tab w:val="left" w:pos="1416"/>
          <w:tab w:val="left" w:pos="2977"/>
          <w:tab w:val="left" w:pos="4248"/>
          <w:tab w:val="left" w:pos="4956"/>
          <w:tab w:val="left" w:pos="5664"/>
          <w:tab w:val="left" w:pos="6372"/>
          <w:tab w:val="left" w:pos="7125"/>
        </w:tabs>
        <w:jc w:val="both"/>
        <w:rPr>
          <w:rFonts w:eastAsia="Calibri" w:eastAsiaTheme="minorAscii"/>
          <w:lang w:val="es-PE" w:eastAsia="en-US"/>
        </w:rPr>
      </w:pPr>
      <w:r w:rsidRPr="3E71729A" w:rsidR="003D5224">
        <w:rPr>
          <w:lang w:val="es-PE"/>
        </w:rPr>
        <w:t xml:space="preserve">Que, mediante escrito presentado con fecha 17 de mayo de 2021, complementado mediante escrito presentado con fecha 28 de mayo de 2021, don </w:t>
      </w:r>
      <w:r w:rsidR="1FB2A4AC">
        <w:rPr/>
        <w:t>.........................................................................</w:t>
      </w:r>
      <w:r w:rsidR="003D5224">
        <w:rPr/>
        <w:t xml:space="preserve"> interpone</w:t>
      </w:r>
      <w:r w:rsidRPr="3E71729A" w:rsidR="003D5224">
        <w:rPr>
          <w:lang w:val="es-PE"/>
        </w:rPr>
        <w:t xml:space="preserve"> reclamación ante esta Defensoría del Asegurado (DEFASEG), solicitando que</w:t>
      </w:r>
      <w:r w:rsidRPr="3E71729A" w:rsidR="003D5224">
        <w:rPr>
          <w:lang w:val="es-PE"/>
        </w:rPr>
        <w:t xml:space="preserve"> </w:t>
      </w:r>
      <w:bookmarkStart w:name="OLE_LINK2" w:id="0"/>
      <w:r w:rsidRPr="3E71729A" w:rsidR="3B1D607C">
        <w:rPr>
          <w:lang w:val="es-PE"/>
        </w:rPr>
        <w:t>...................................</w:t>
      </w:r>
      <w:r w:rsidRPr="3E71729A" w:rsidR="003D5224">
        <w:rPr>
          <w:lang w:val="es-PE"/>
        </w:rPr>
        <w:t xml:space="preserve"> </w:t>
      </w:r>
      <w:r w:rsidRPr="3E71729A" w:rsidR="003D5224">
        <w:rPr>
          <w:lang w:val="es-PE"/>
        </w:rPr>
        <w:t>otorgue cobertura al siniestro ocurrido con fecha 24 de abril de 2021</w:t>
      </w:r>
      <w:r w:rsidR="003D5224">
        <w:rPr/>
        <w:t>, conforme</w:t>
      </w:r>
      <w:r w:rsidRPr="3E71729A" w:rsidR="003D5224">
        <w:rPr>
          <w:lang w:val="es-PE"/>
        </w:rPr>
        <w:t xml:space="preserve"> a los términos y condiciones del </w:t>
      </w:r>
      <w:r w:rsidR="003D5224">
        <w:rPr/>
        <w:t>Seguro</w:t>
      </w:r>
      <w:bookmarkEnd w:id="0"/>
      <w:r w:rsidR="003D5224">
        <w:rPr/>
        <w:t xml:space="preserve"> de Protección de Tarjetas – Póliza </w:t>
      </w:r>
      <w:r w:rsidRPr="3E71729A" w:rsidR="003D5224">
        <w:rPr>
          <w:lang w:val="es-PE"/>
        </w:rPr>
        <w:t xml:space="preserve">Nro. </w:t>
      </w:r>
      <w:r w:rsidRPr="3E71729A" w:rsidR="57E894AA">
        <w:rPr>
          <w:lang w:val="es-PE"/>
        </w:rPr>
        <w:t>.........................</w:t>
      </w:r>
      <w:r w:rsidRPr="3E71729A" w:rsidR="003D5224">
        <w:rPr>
          <w:lang w:val="es-PE"/>
        </w:rPr>
        <w:t>;</w:t>
      </w:r>
    </w:p>
    <w:p w:rsidRPr="003D5224" w:rsidR="003D5224" w:rsidP="003D5224" w:rsidRDefault="003D5224" w14:paraId="34D8E990" w14:textId="77777777">
      <w:pPr>
        <w:tabs>
          <w:tab w:val="left" w:pos="708"/>
          <w:tab w:val="left" w:pos="1416"/>
          <w:tab w:val="left" w:pos="2977"/>
          <w:tab w:val="left" w:pos="4248"/>
          <w:tab w:val="left" w:pos="4956"/>
          <w:tab w:val="left" w:pos="5664"/>
          <w:tab w:val="left" w:pos="6372"/>
          <w:tab w:val="left" w:pos="7125"/>
        </w:tabs>
        <w:jc w:val="both"/>
        <w:rPr>
          <w:bCs/>
          <w:lang w:val="es-PE"/>
        </w:rPr>
      </w:pPr>
    </w:p>
    <w:p w:rsidRPr="003D5224" w:rsidR="003D5224" w:rsidP="003D5224" w:rsidRDefault="003D5224" w14:paraId="0085006C" w14:textId="77777777">
      <w:pPr>
        <w:jc w:val="both"/>
        <w:rPr>
          <w:rFonts w:eastAsia="Arial Unicode MS"/>
          <w:lang w:val="es-PE"/>
        </w:rPr>
      </w:pPr>
      <w:r w:rsidRPr="003D5224">
        <w:rPr>
          <w:rFonts w:eastAsia="Arial Unicode MS"/>
          <w:lang w:val="es-PE"/>
        </w:rPr>
        <w:t>Que, la señalada reclamación cumple con los requisitos de materia, cuantía y oportunidad establecidos en el Reglamento de la DEFASEG (</w:t>
      </w:r>
      <w:hyperlink w:history="1" r:id="rId8">
        <w:r w:rsidRPr="003D5224">
          <w:rPr>
            <w:rStyle w:val="Hipervnculo"/>
            <w:rFonts w:eastAsia="Arial Unicode MS"/>
            <w:lang w:val="es-PE"/>
          </w:rPr>
          <w:t>http://www.defaseg.com.pe/reglamento.html</w:t>
        </w:r>
      </w:hyperlink>
      <w:r w:rsidRPr="003D5224">
        <w:rPr>
          <w:rFonts w:eastAsia="Arial Unicode MS"/>
          <w:lang w:val="es-PE"/>
        </w:rPr>
        <w:t>);</w:t>
      </w:r>
    </w:p>
    <w:p w:rsidRPr="003D5224" w:rsidR="003D5224" w:rsidP="003D5224" w:rsidRDefault="003D5224" w14:paraId="096DF12D" w14:textId="77777777">
      <w:pPr>
        <w:tabs>
          <w:tab w:val="left" w:pos="2160"/>
        </w:tabs>
        <w:jc w:val="both"/>
        <w:rPr>
          <w:lang w:val="es-PE"/>
        </w:rPr>
      </w:pPr>
    </w:p>
    <w:p w:rsidRPr="003D5224" w:rsidR="003D5224" w:rsidP="003D5224" w:rsidRDefault="003D5224" w14:paraId="59C9F8D4" w14:textId="77777777">
      <w:pPr>
        <w:tabs>
          <w:tab w:val="num" w:pos="720"/>
        </w:tabs>
        <w:jc w:val="both"/>
        <w:rPr>
          <w:lang w:val="es-PE"/>
        </w:rPr>
      </w:pPr>
      <w:r w:rsidRPr="003D5224">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3D5224" w:rsidR="003D5224" w:rsidP="003D5224" w:rsidRDefault="003D5224" w14:paraId="345BCC2C" w14:textId="77777777">
      <w:pPr>
        <w:tabs>
          <w:tab w:val="num" w:pos="720"/>
        </w:tabs>
        <w:jc w:val="both"/>
        <w:rPr>
          <w:lang w:val="es-PE"/>
        </w:rPr>
      </w:pPr>
    </w:p>
    <w:p w:rsidRPr="003D5224" w:rsidR="003D5224" w:rsidP="003D5224" w:rsidRDefault="003D5224" w14:paraId="40B48C66" w14:textId="24D585FB">
      <w:pPr>
        <w:tabs>
          <w:tab w:val="num" w:pos="720"/>
        </w:tabs>
        <w:jc w:val="both"/>
        <w:rPr>
          <w:lang w:val="es-PE"/>
        </w:rPr>
      </w:pPr>
      <w:r w:rsidRPr="3E71729A" w:rsidR="003D5224">
        <w:rPr>
          <w:lang w:val="es-PE"/>
        </w:rPr>
        <w:t xml:space="preserve">Que, habiéndosele corrido traslado de la respectiva reclamación con fecha 1 de junio de 2021, </w:t>
      </w:r>
      <w:r w:rsidRPr="3E71729A" w:rsidR="3B1D607C">
        <w:rPr>
          <w:lang w:val="es-PE"/>
        </w:rPr>
        <w:t>...................................</w:t>
      </w:r>
      <w:r w:rsidRPr="3E71729A" w:rsidR="003D5224">
        <w:rPr>
          <w:lang w:val="es-PE"/>
        </w:rPr>
        <w:t xml:space="preserve"> solicitó con fecha 10 de junio de 2021 la ampliación reglamentaria para presentar sus descargos y documentación requerida.  Vencido ampliamente el plazo reglamentario correspondiente, </w:t>
      </w:r>
      <w:r w:rsidRPr="3E71729A" w:rsidR="3B1D607C">
        <w:rPr>
          <w:lang w:val="es-PE"/>
        </w:rPr>
        <w:t>...................................</w:t>
      </w:r>
      <w:r w:rsidRPr="3E71729A" w:rsidR="003D5224">
        <w:rPr>
          <w:lang w:val="es-PE"/>
        </w:rPr>
        <w:t xml:space="preserve"> con fecha 15 de julio de 2021 presentó sus descargos y la documentación correspondiente;</w:t>
      </w:r>
    </w:p>
    <w:p w:rsidRPr="003D5224" w:rsidR="003D5224" w:rsidP="003D5224" w:rsidRDefault="003D5224" w14:paraId="697B0BC7" w14:textId="77777777">
      <w:pPr>
        <w:tabs>
          <w:tab w:val="num" w:pos="720"/>
        </w:tabs>
        <w:jc w:val="both"/>
        <w:rPr>
          <w:lang w:val="es-PE"/>
        </w:rPr>
      </w:pPr>
    </w:p>
    <w:p w:rsidRPr="003D5224" w:rsidR="003D5224" w:rsidP="003D5224" w:rsidRDefault="003D5224" w14:paraId="307FD29F" w14:textId="77777777">
      <w:pPr>
        <w:tabs>
          <w:tab w:val="num" w:pos="720"/>
        </w:tabs>
        <w:jc w:val="both"/>
        <w:rPr>
          <w:rFonts w:eastAsiaTheme="minorHAnsi"/>
          <w:lang w:eastAsia="en-US"/>
        </w:rPr>
      </w:pPr>
      <w:r w:rsidRPr="003D5224">
        <w:rPr>
          <w:lang w:val="es-PE"/>
        </w:rPr>
        <w:t>Que, con fecha</w:t>
      </w:r>
      <w:r w:rsidRPr="003D5224">
        <w:rPr>
          <w:lang w:val="es-419"/>
        </w:rPr>
        <w:t xml:space="preserve"> 9 de agosto de 2021 </w:t>
      </w:r>
      <w:r w:rsidRPr="003D5224">
        <w:rPr>
          <w:lang w:val="es-PE"/>
        </w:rPr>
        <w:t>se realizó la audiencia de vista virtual, con la participación de ambas partes en la plataforma electrónica habilitada para dicho efecto por la secretaría técnica de la DEFASEG, siendo que ambas sustentaron su respectiva posición sobre la reclamación</w:t>
      </w:r>
      <w:r w:rsidRPr="003D5224">
        <w:t xml:space="preserve">, </w:t>
      </w:r>
      <w:r w:rsidRPr="003D5224">
        <w:rPr>
          <w:lang w:val="es-PE"/>
        </w:rPr>
        <w:t>absolviendo las diversas preguntas formuladas por este ORU, conforme consta de la correspondiente acta;</w:t>
      </w:r>
    </w:p>
    <w:p w:rsidRPr="003D5224" w:rsidR="003D5224" w:rsidP="003D5224" w:rsidRDefault="003D5224" w14:paraId="32BFE4DF" w14:textId="77777777">
      <w:pPr>
        <w:tabs>
          <w:tab w:val="num" w:pos="720"/>
        </w:tabs>
        <w:jc w:val="both"/>
      </w:pPr>
    </w:p>
    <w:p w:rsidRPr="003D5224" w:rsidR="003D5224" w:rsidP="3E71729A" w:rsidRDefault="003D5224" w14:paraId="06BC00F4" w14:textId="39CA65ED">
      <w:pPr>
        <w:jc w:val="both"/>
        <w:rPr>
          <w:rFonts w:eastAsia="Calibri" w:eastAsiaTheme="minorAscii"/>
          <w:lang w:val="es-PE" w:eastAsia="en-US"/>
        </w:rPr>
      </w:pPr>
      <w:r w:rsidRPr="3E71729A" w:rsidR="003D5224">
        <w:rPr>
          <w:lang w:val="es-PE"/>
        </w:rPr>
        <w:t xml:space="preserve">Que, conforme al escrito presentado, el reclamante solicita el apoyo de la DEFASEG para que </w:t>
      </w:r>
      <w:r w:rsidRPr="3E71729A" w:rsidR="3B1D607C">
        <w:rPr>
          <w:lang w:val="es-PE"/>
        </w:rPr>
        <w:t>...................................</w:t>
      </w:r>
      <w:r w:rsidRPr="3E71729A" w:rsidR="003D5224">
        <w:rPr>
          <w:lang w:val="es-PE"/>
        </w:rPr>
        <w:t xml:space="preserve"> proceda a otorgar cobertura al siniestro que corresponde al robo de dinero de la tarjeta de débito BBVA Continental bajo la modalidad de transferencia bancaria y retiro de cajero automático, ya que al momento de retirar efectivo en uno de los cajeros automáticos del centro comercial El Quinde, Cajamarca, fue víctima del robo de su tarjeta y clave secreta.  De acuerdo a los antecedentes que se acompañan, la reclamación se sustentaría resumidamente en los siguientes hechos y argumentos: a) El 24 de abril de 2021 intentó hacer un retiro de efectivo en uno de los cajeros del centro comercial El Quinde, pero no pudo concretar la operación porque el cajero no contaba con la moneda solicitada, por lo que pasó a otro cajero para realizar el retiro, el mismo que en ese momento estaba ocupado por otra persona, b) Cuando esa persona concluyó con la operación que estaba supuestamente realizando, le indicó que el cajero no estaba reconociendo las tarjetas y que tenía que limpiar su franja; sin embargo, intempestivamente y sin su permiso, tomó su tarjeta para limpiarla, devolviéndole una que era distinta, pero por lo sorpresivo de la acción no pudo advertir del cambio, c) Al intentar realizar el retiro se dio con la sorpresa que la tarjeta estaba bloqueada, </w:t>
      </w:r>
      <w:r w:rsidRPr="3E71729A" w:rsidR="003D5224">
        <w:rPr>
          <w:lang w:val="es-PE"/>
        </w:rPr>
        <w:t xml:space="preserve">pensando más bien que habría realizado algún movimiento erróneo, d) Sin embargo, al ingresar a la banca móvil advirtió que se acababa de retirar S/. 3,000 y que se había hecho una transferencia por S/. 3,300, lo que hace un total de S/. 6,300, e) En atención a ello, se comunicó con el banco para fines que se realice el bloqueo y se proceda a las investigaciones correspondientes, así como para asentar la denuncia policial del caso solicitándose la restitución del dinero, y f) Por último, mediante carta SPT.2021/0629 del 30 de abril de 2021, </w:t>
      </w:r>
      <w:r w:rsidRPr="3E71729A" w:rsidR="3B1D607C">
        <w:rPr>
          <w:lang w:val="es-PE"/>
        </w:rPr>
        <w:t>...................................</w:t>
      </w:r>
      <w:r w:rsidRPr="3E71729A" w:rsidR="003D5224">
        <w:rPr>
          <w:lang w:val="es-PE"/>
        </w:rPr>
        <w:t xml:space="preserve"> le comunicó su negativa al otorgamiento de cobertura, por cuanto lo sucedido corresponde a una modalidad de fraude conocida como “cambiazo”, lo cual no se ajusta a las modalidades de robo y hurto descritas en la póliza y respecto de las cuales se otorga cobertura;</w:t>
      </w:r>
    </w:p>
    <w:p w:rsidRPr="003D5224" w:rsidR="003D5224" w:rsidP="003D5224" w:rsidRDefault="003D5224" w14:paraId="757D3E1F" w14:textId="77777777">
      <w:pPr>
        <w:jc w:val="both"/>
        <w:rPr>
          <w:lang w:val="es-PE"/>
        </w:rPr>
      </w:pPr>
      <w:r w:rsidRPr="003D5224">
        <w:rPr>
          <w:lang w:val="es-PE"/>
        </w:rPr>
        <w:t xml:space="preserve">                                                                                                </w:t>
      </w:r>
    </w:p>
    <w:p w:rsidRPr="003D5224" w:rsidR="003D5224" w:rsidP="003D5224" w:rsidRDefault="003D5224" w14:paraId="60C50EEA" w14:textId="2CE35E8E">
      <w:pPr>
        <w:jc w:val="both"/>
        <w:rPr>
          <w:lang w:eastAsia="en-US"/>
        </w:rPr>
      </w:pPr>
      <w:r w:rsidR="003D5224">
        <w:rPr/>
        <w:t xml:space="preserve">Que, por su parte, ratificando el rechazo de cobertura, </w:t>
      </w:r>
      <w:r w:rsidR="3B1D607C">
        <w:rPr/>
        <w:t>...................................</w:t>
      </w:r>
      <w:r w:rsidR="003D5224">
        <w:rPr/>
        <w:t xml:space="preserve"> </w:t>
      </w:r>
      <w:r w:rsidRPr="3E71729A" w:rsidR="003D5224">
        <w:rPr>
          <w:lang w:val="es-PE"/>
        </w:rPr>
        <w:t>expresa</w:t>
      </w:r>
      <w:r w:rsidR="003D5224">
        <w:rPr/>
        <w:t xml:space="preserve"> resumidamente lo siguiente: a) </w:t>
      </w:r>
      <w:r w:rsidRPr="3E71729A" w:rsidR="003D5224">
        <w:rPr>
          <w:lang w:val="es-PE"/>
        </w:rPr>
        <w:t>En el Certificado de Seguro de Protección de Tarjetas consta el detalle pertinente de las coberturas contratadas, así como de las condiciones y deducibles, entre otros aspectos, es así que la cobertura sobre “uso indebido” está enunciada en los términos siguientes: “Si es que por el robo, hurto de la tarjeta asegurada, sea de crédito y/o débito, personas terceras hacen uso indebido de la misma únicamente en establecimientos comerciales”, b) Conforme a ello, lo sucedido no tiene correspondencia con la señalada cobertura contratada, correspondiendo a hechos de naturaleza distinta, siendo que el “cambiazo” es una modalidad de fraude que consiste en el cambio de una tarjeta de crédito y/o débito por una tarjeta falsa, y c) Se destaca que lo estipulado en la póliza no sólo es de obligatorio cumplimiento para las partes, sino que conforme a la propia Ley del Contrato de Seguro, sétima regla interpretativa contenida en su artículo IV, la cobertura y las exclusiones contratadas y, en general, la extensión del riesgo y los derechos del asegurado, deben interpretarse literalmente.  En consecuencia, se solicita que se declare infundada la respectiva reclamación por no estar sustentada conforme a las coberturas contratadas;</w:t>
      </w:r>
    </w:p>
    <w:p w:rsidRPr="003D5224" w:rsidR="003D5224" w:rsidP="003D5224" w:rsidRDefault="003D5224" w14:paraId="02DA1754" w14:textId="77777777">
      <w:pPr>
        <w:jc w:val="both"/>
        <w:rPr>
          <w:lang w:val="es-PE"/>
        </w:rPr>
      </w:pPr>
    </w:p>
    <w:p w:rsidRPr="003D5224" w:rsidR="003D5224" w:rsidP="003D5224" w:rsidRDefault="003D5224" w14:paraId="03BDAFB6" w14:textId="3FEE564C">
      <w:pPr>
        <w:jc w:val="both"/>
        <w:rPr>
          <w:lang w:val="es-PE"/>
        </w:rPr>
      </w:pPr>
      <w:r w:rsidRPr="3E71729A" w:rsidR="003D5224">
        <w:rPr>
          <w:lang w:val="es-PE"/>
        </w:rPr>
        <w:t xml:space="preserve">Que, conforme a lo tratado en la audiencia de vista, </w:t>
      </w:r>
      <w:r w:rsidRPr="3E71729A" w:rsidR="3B1D607C">
        <w:rPr>
          <w:lang w:val="es-PE"/>
        </w:rPr>
        <w:t>...................................</w:t>
      </w:r>
      <w:r w:rsidRPr="3E71729A" w:rsidR="003D5224">
        <w:rPr>
          <w:lang w:val="es-PE"/>
        </w:rPr>
        <w:t xml:space="preserve"> expresó que había reconsiderado el rechazo de cobertura, habiéndose adoptado la decisión de otorgarla parcialmente, en lo que se refiere a la transferencia del dinero, más no en cuanto al retiro en cajero automático, comprometiéndose a presentar un escrito en dicho sentido dentro del día hábil siguiente, plazo que le fue señalado por la DEFASEG.  No </w:t>
      </w:r>
      <w:r w:rsidRPr="3E71729A" w:rsidR="003D5224">
        <w:rPr>
          <w:lang w:val="es-PE"/>
        </w:rPr>
        <w:t>obstante</w:t>
      </w:r>
      <w:r w:rsidRPr="3E71729A" w:rsidR="003D5224">
        <w:rPr>
          <w:lang w:val="es-PE"/>
        </w:rPr>
        <w:t xml:space="preserve"> ello, dicho plazo se encuentra ampliamente vencido sin que </w:t>
      </w:r>
      <w:r w:rsidRPr="3E71729A" w:rsidR="3B1D607C">
        <w:rPr>
          <w:lang w:val="es-PE"/>
        </w:rPr>
        <w:t>...................................</w:t>
      </w:r>
      <w:r w:rsidRPr="3E71729A" w:rsidR="003D5224">
        <w:rPr>
          <w:lang w:val="es-PE"/>
        </w:rPr>
        <w:t xml:space="preserve"> haya formalizado el compromiso asumido, por lo que se mantiene la competencia de la Defensoría para resolver sobre el presente caso sometido a su conocimiento;</w:t>
      </w:r>
    </w:p>
    <w:p w:rsidRPr="003D5224" w:rsidR="003D5224" w:rsidP="003D5224" w:rsidRDefault="003D5224" w14:paraId="1F0A8375" w14:textId="77777777">
      <w:pPr>
        <w:jc w:val="both"/>
        <w:rPr>
          <w:lang w:val="es-PE"/>
        </w:rPr>
      </w:pPr>
    </w:p>
    <w:p w:rsidRPr="003D5224" w:rsidR="003D5224" w:rsidP="003D5224" w:rsidRDefault="003D5224" w14:paraId="7161DBA9" w14:textId="77777777">
      <w:pPr>
        <w:jc w:val="both"/>
        <w:rPr>
          <w:lang w:eastAsia="en-US"/>
        </w:rPr>
      </w:pPr>
      <w:r w:rsidRPr="003D5224">
        <w:rPr>
          <w:bCs/>
          <w:lang w:val="es-PE"/>
        </w:rPr>
        <w:t>Que,</w:t>
      </w:r>
      <w:r w:rsidRPr="003D5224">
        <w:rPr>
          <w:lang w:val="es-PE"/>
        </w:rPr>
        <w:t xml:space="preserve"> conforme a lo anterior, a la fecha, el estado del proceso permite que este ORU pueda expedir su pronunciamiento sobre el caso sometido a su conocimiento, sobre la base de la información y de los documentos que obran en el expediente;</w:t>
      </w:r>
    </w:p>
    <w:p w:rsidRPr="003D5224" w:rsidR="003D5224" w:rsidP="003D5224" w:rsidRDefault="003D5224" w14:paraId="5234CDE1" w14:textId="77777777">
      <w:pPr>
        <w:jc w:val="both"/>
        <w:rPr>
          <w:b/>
          <w:bCs/>
        </w:rPr>
      </w:pPr>
    </w:p>
    <w:p w:rsidRPr="003D5224" w:rsidR="003D5224" w:rsidP="003D5224" w:rsidRDefault="003D5224" w14:paraId="4ECB0D20" w14:textId="77777777">
      <w:pPr>
        <w:jc w:val="both"/>
        <w:rPr>
          <w:lang w:val="es-PE"/>
        </w:rPr>
      </w:pPr>
      <w:r w:rsidRPr="003D5224">
        <w:rPr>
          <w:b/>
          <w:bCs/>
          <w:lang w:val="es-PE"/>
        </w:rPr>
        <w:t>Considerando:</w:t>
      </w:r>
    </w:p>
    <w:p w:rsidRPr="003D5224" w:rsidR="003D5224" w:rsidP="003D5224" w:rsidRDefault="003D5224" w14:paraId="5EC35D0A" w14:textId="77777777">
      <w:pPr>
        <w:jc w:val="both"/>
        <w:rPr>
          <w:lang w:val="es-PE"/>
        </w:rPr>
      </w:pPr>
    </w:p>
    <w:p w:rsidRPr="003D5224" w:rsidR="003D5224" w:rsidP="003D5224" w:rsidRDefault="003D5224" w14:paraId="07D52F5D" w14:textId="77777777">
      <w:pPr>
        <w:jc w:val="both"/>
        <w:rPr>
          <w:lang w:val="es-PE"/>
        </w:rPr>
      </w:pPr>
      <w:r w:rsidRPr="003D5224">
        <w:rPr>
          <w:b/>
          <w:u w:val="single"/>
          <w:lang w:val="es-PE"/>
        </w:rPr>
        <w:t>Primero</w:t>
      </w:r>
      <w:r w:rsidRPr="003D5224">
        <w:rPr>
          <w:b/>
          <w:lang w:val="es-PE"/>
        </w:rPr>
        <w:t xml:space="preserve">: </w:t>
      </w:r>
      <w:r w:rsidRPr="003D5224">
        <w:rPr>
          <w:lang w:val="es-PE"/>
        </w:rPr>
        <w:t>Conforme a su Reglamento, la</w:t>
      </w:r>
      <w:r w:rsidRPr="003D5224">
        <w:rPr>
          <w:b/>
          <w:bCs/>
          <w:lang w:val="es-PE"/>
        </w:rPr>
        <w:t xml:space="preserve"> </w:t>
      </w:r>
      <w:r w:rsidRPr="003D522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D5224" w:rsidR="003D5224" w:rsidP="003D5224" w:rsidRDefault="003D5224" w14:paraId="1886B763" w14:textId="77777777">
      <w:pPr>
        <w:jc w:val="both"/>
        <w:rPr>
          <w:lang w:val="es-PE"/>
        </w:rPr>
      </w:pPr>
    </w:p>
    <w:p w:rsidRPr="003D5224" w:rsidR="003D5224" w:rsidP="003D5224" w:rsidRDefault="003D5224" w14:paraId="03361813" w14:textId="77777777">
      <w:pPr>
        <w:jc w:val="both"/>
        <w:rPr>
          <w:bCs/>
          <w:lang w:val="es-PE"/>
        </w:rPr>
      </w:pPr>
      <w:r w:rsidRPr="003D5224">
        <w:rPr>
          <w:b/>
          <w:bCs/>
          <w:u w:val="single"/>
          <w:lang w:val="es-PE"/>
        </w:rPr>
        <w:t>Segundo</w:t>
      </w:r>
      <w:r w:rsidRPr="003D5224">
        <w:rPr>
          <w:b/>
          <w:bCs/>
          <w:lang w:val="es-PE"/>
        </w:rPr>
        <w:t>:</w:t>
      </w:r>
      <w:r w:rsidRPr="003D5224">
        <w:rPr>
          <w:bCs/>
          <w:lang w:val="es-PE"/>
        </w:rPr>
        <w:t xml:space="preserve"> </w:t>
      </w:r>
      <w:r w:rsidRPr="003D5224">
        <w:rPr>
          <w:lang w:val="es-PE"/>
        </w:rPr>
        <w:t xml:space="preserve">Asimismo, </w:t>
      </w:r>
      <w:proofErr w:type="gramStart"/>
      <w:r w:rsidRPr="003D5224">
        <w:rPr>
          <w:lang w:val="es-PE"/>
        </w:rPr>
        <w:t>de acuerdo a</w:t>
      </w:r>
      <w:proofErr w:type="gramEnd"/>
      <w:r w:rsidRPr="003D5224">
        <w:rPr>
          <w:lang w:val="es-PE"/>
        </w:rPr>
        <w:t xml:space="preserve"> </w:t>
      </w:r>
      <w:r w:rsidRPr="003D522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3D5224" w:rsidR="003D5224" w:rsidP="003D5224" w:rsidRDefault="003D5224" w14:paraId="4D4652D7" w14:textId="77777777">
      <w:pPr>
        <w:jc w:val="both"/>
        <w:rPr>
          <w:bCs/>
          <w:lang w:val="es-PE"/>
        </w:rPr>
      </w:pPr>
    </w:p>
    <w:p w:rsidRPr="003D5224" w:rsidR="003D5224" w:rsidP="003D5224" w:rsidRDefault="003D5224" w14:paraId="1DE4D5F4" w14:textId="77777777">
      <w:pPr>
        <w:jc w:val="both"/>
      </w:pPr>
      <w:r w:rsidRPr="003D5224">
        <w:rPr>
          <w:b/>
          <w:bCs/>
          <w:u w:val="single"/>
          <w:lang w:val="es-PE"/>
        </w:rPr>
        <w:t>Tercero</w:t>
      </w:r>
      <w:r w:rsidRPr="003D5224">
        <w:rPr>
          <w:b/>
          <w:bCs/>
          <w:lang w:val="es-PE"/>
        </w:rPr>
        <w:t>:</w:t>
      </w:r>
      <w:r w:rsidRPr="003D5224">
        <w:rPr>
          <w:lang w:val="es-PE"/>
        </w:rPr>
        <w:t xml:space="preserve"> Que, de acuerdo a la Ley Nro. </w:t>
      </w:r>
      <w:r w:rsidRPr="003D5224">
        <w:t xml:space="preserve">29946 – Ley del Contrato de Seguro, norma legal vigente con ocasión de la celebración del contrato al cual se contrae el presente caso, </w:t>
      </w:r>
      <w:r w:rsidRPr="003D522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D5224" w:rsidR="003D5224" w:rsidP="003D5224" w:rsidRDefault="003D5224" w14:paraId="6EF0C5EF" w14:textId="77777777">
      <w:pPr>
        <w:jc w:val="both"/>
        <w:rPr>
          <w:b/>
          <w:u w:val="single"/>
          <w:lang w:val="es-PE"/>
        </w:rPr>
      </w:pPr>
    </w:p>
    <w:p w:rsidRPr="003D5224" w:rsidR="003D5224" w:rsidP="003D5224" w:rsidRDefault="003D5224" w14:paraId="25E648ED" w14:textId="77777777">
      <w:pPr>
        <w:jc w:val="both"/>
        <w:rPr>
          <w:lang w:val="es-PE"/>
        </w:rPr>
      </w:pPr>
      <w:r w:rsidRPr="003D5224">
        <w:rPr>
          <w:b/>
          <w:u w:val="single"/>
          <w:lang w:val="es-PE"/>
        </w:rPr>
        <w:t>Cuarto</w:t>
      </w:r>
      <w:r w:rsidRPr="003D5224">
        <w:rPr>
          <w:b/>
          <w:lang w:val="es-PE"/>
        </w:rPr>
        <w:t>:</w:t>
      </w:r>
      <w:r w:rsidRPr="003D522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D5224" w:rsidR="003D5224" w:rsidP="003D5224" w:rsidRDefault="003D5224" w14:paraId="0E88838B" w14:textId="77777777">
      <w:pPr>
        <w:jc w:val="both"/>
        <w:rPr>
          <w:bCs/>
        </w:rPr>
      </w:pPr>
    </w:p>
    <w:p w:rsidRPr="003D5224" w:rsidR="003D5224" w:rsidP="003D5224" w:rsidRDefault="003D5224" w14:paraId="262B1E00" w14:textId="77777777">
      <w:pPr>
        <w:jc w:val="both"/>
      </w:pPr>
      <w:r w:rsidRPr="003D5224">
        <w:rPr>
          <w:b/>
          <w:bCs/>
          <w:u w:val="single"/>
          <w:lang w:val="es-PE"/>
        </w:rPr>
        <w:t>Quinto</w:t>
      </w:r>
      <w:r w:rsidRPr="003D5224">
        <w:rPr>
          <w:b/>
          <w:bCs/>
          <w:lang w:val="es-PE"/>
        </w:rPr>
        <w:t xml:space="preserve">: </w:t>
      </w:r>
      <w:r w:rsidRPr="003D5224">
        <w:rPr>
          <w:bCs/>
          <w:lang w:val="es-PE"/>
        </w:rPr>
        <w:t>Que, conforme al</w:t>
      </w:r>
      <w:r w:rsidRPr="003D5224">
        <w:rPr>
          <w:b/>
          <w:bCs/>
          <w:lang w:val="es-PE"/>
        </w:rPr>
        <w:t xml:space="preserve"> </w:t>
      </w:r>
      <w:r w:rsidRPr="003D5224">
        <w:rPr>
          <w:lang w:val="es-PE"/>
        </w:rPr>
        <w:t>artículo 196 del Código Procesal Civil, la carga de la prueba corresponde a quien afirma hechos que configuran su pretensión, o a quien los contradice alegando nuevos hechos, salvo disposición legal diferente.</w:t>
      </w:r>
    </w:p>
    <w:p w:rsidRPr="003D5224" w:rsidR="003D5224" w:rsidP="003D5224" w:rsidRDefault="003D5224" w14:paraId="5F2AA9CF" w14:textId="77777777">
      <w:pPr>
        <w:jc w:val="both"/>
        <w:rPr>
          <w:lang w:val="es-PE"/>
        </w:rPr>
      </w:pPr>
    </w:p>
    <w:p w:rsidRPr="003D5224" w:rsidR="003D5224" w:rsidP="003D5224" w:rsidRDefault="003D5224" w14:paraId="02C152CE" w14:textId="77777777">
      <w:pPr>
        <w:tabs>
          <w:tab w:val="left" w:pos="2160"/>
        </w:tabs>
        <w:jc w:val="both"/>
        <w:rPr>
          <w:lang w:val="es-PE"/>
        </w:rPr>
      </w:pPr>
      <w:r w:rsidRPr="003D5224">
        <w:rPr>
          <w:b/>
          <w:u w:val="single"/>
        </w:rPr>
        <w:t>Sexto</w:t>
      </w:r>
      <w:r w:rsidRPr="003D5224">
        <w:rPr>
          <w:b/>
        </w:rPr>
        <w:t>:</w:t>
      </w:r>
      <w:r w:rsidRPr="003D5224">
        <w:rPr>
          <w:b/>
          <w:lang w:val="es-PE"/>
        </w:rPr>
        <w:t xml:space="preserve"> </w:t>
      </w:r>
      <w:r w:rsidRPr="003D5224">
        <w:rPr>
          <w:lang w:val="es-PE"/>
        </w:rPr>
        <w:t>Sobre la base de los términos contenidos en la reclamación</w:t>
      </w:r>
      <w:r w:rsidRPr="003D5224">
        <w:rPr>
          <w:lang w:val="es-419"/>
        </w:rPr>
        <w:t xml:space="preserve"> y </w:t>
      </w:r>
      <w:r w:rsidRPr="003D5224">
        <w:rPr>
          <w:lang w:val="es-PE"/>
        </w:rPr>
        <w:t>a lo tratado en la audiencia de vista, la cuestión controvertida radica en determinar si el rechazo de cobertura es legítimo o no.</w:t>
      </w:r>
    </w:p>
    <w:p w:rsidRPr="003D5224" w:rsidR="003D5224" w:rsidP="003D5224" w:rsidRDefault="003D5224" w14:paraId="4D924BD4" w14:textId="77777777">
      <w:pPr>
        <w:tabs>
          <w:tab w:val="left" w:pos="2160"/>
        </w:tabs>
        <w:jc w:val="both"/>
        <w:rPr>
          <w:lang w:val="es-PE"/>
        </w:rPr>
      </w:pPr>
    </w:p>
    <w:p w:rsidRPr="003D5224" w:rsidR="003D5224" w:rsidP="003D5224" w:rsidRDefault="003D5224" w14:paraId="0073D731" w14:textId="77777777">
      <w:pPr>
        <w:tabs>
          <w:tab w:val="left" w:pos="709"/>
          <w:tab w:val="left" w:pos="2160"/>
        </w:tabs>
        <w:ind w:left="709" w:hanging="709"/>
        <w:jc w:val="both"/>
        <w:rPr>
          <w:lang w:val="es-PE"/>
        </w:rPr>
      </w:pPr>
      <w:r w:rsidRPr="003D5224">
        <w:rPr>
          <w:lang w:val="es-PE"/>
        </w:rPr>
        <w:t>6.1.</w:t>
      </w:r>
      <w:r w:rsidRPr="003D5224">
        <w:rPr>
          <w:lang w:val="es-PE"/>
        </w:rPr>
        <w:tab/>
      </w:r>
      <w:proofErr w:type="gramStart"/>
      <w:r w:rsidRPr="003D5224">
        <w:rPr>
          <w:lang w:val="es-PE"/>
        </w:rPr>
        <w:t>De acuerdo a</w:t>
      </w:r>
      <w:proofErr w:type="gramEnd"/>
      <w:r w:rsidRPr="003D5224">
        <w:rPr>
          <w:lang w:val="es-PE"/>
        </w:rPr>
        <w:t xml:space="preserve"> la narrativa de los hechos expresada por el asegurado, lo sucedido no corresponde estrictamente a un robo de su tarjeta de débito, sino a una modalidad de estafa conocida como “cambiazo”, porque sorprendiendo al asegurado, una tercera persona le cambia su tarjeta de débito por otra, aprovechándose de las circunstancias, cambio que no se advirtió o apreció de manera inmediata.</w:t>
      </w:r>
    </w:p>
    <w:p w:rsidRPr="003D5224" w:rsidR="003D5224" w:rsidP="003D5224" w:rsidRDefault="003D5224" w14:paraId="77132EBE" w14:textId="77777777">
      <w:pPr>
        <w:tabs>
          <w:tab w:val="left" w:pos="709"/>
          <w:tab w:val="left" w:pos="2160"/>
        </w:tabs>
        <w:ind w:left="709" w:hanging="709"/>
        <w:jc w:val="both"/>
        <w:rPr>
          <w:lang w:val="es-PE"/>
        </w:rPr>
      </w:pPr>
    </w:p>
    <w:p w:rsidRPr="003D5224" w:rsidR="003D5224" w:rsidP="003D5224" w:rsidRDefault="003D5224" w14:paraId="35F514DA" w14:textId="77777777">
      <w:pPr>
        <w:tabs>
          <w:tab w:val="left" w:pos="709"/>
          <w:tab w:val="left" w:pos="2160"/>
        </w:tabs>
        <w:ind w:left="709" w:hanging="709"/>
        <w:jc w:val="both"/>
        <w:rPr>
          <w:lang w:val="es-PE"/>
        </w:rPr>
      </w:pPr>
      <w:r w:rsidRPr="003D5224">
        <w:rPr>
          <w:lang w:val="es-PE"/>
        </w:rPr>
        <w:t>6.2.</w:t>
      </w:r>
      <w:r w:rsidRPr="003D5224">
        <w:rPr>
          <w:lang w:val="es-PE"/>
        </w:rPr>
        <w:tab/>
      </w:r>
      <w:r w:rsidRPr="003D5224">
        <w:rPr>
          <w:lang w:val="es-PE"/>
        </w:rPr>
        <w:t>Conforme a la documentación presentada por la aseguradora, no es controvertido que el “cambiazo” no se encuentra cubierto.  En efecto, si se cuida de revisar con detenimiento las diversas coberturas que ofrece la póliza contratada, y que se reproducen a continuación, se advertirá que ninguna de ellas refiere al “cambiazo”, siendo que sus distintos supuestos de hecho son además distintos a dicha maniobra.</w:t>
      </w:r>
    </w:p>
    <w:p w:rsidRPr="003D5224" w:rsidR="003D5224" w:rsidP="003D5224" w:rsidRDefault="003D5224" w14:paraId="162DCEE2" w14:textId="77777777">
      <w:pPr>
        <w:tabs>
          <w:tab w:val="left" w:pos="709"/>
          <w:tab w:val="left" w:pos="2160"/>
        </w:tabs>
        <w:ind w:left="709" w:hanging="709"/>
        <w:jc w:val="both"/>
        <w:rPr>
          <w:lang w:val="es-PE"/>
        </w:rPr>
      </w:pPr>
    </w:p>
    <w:p w:rsidRPr="003D5224" w:rsidR="003D5224" w:rsidP="003D5224" w:rsidRDefault="003D5224" w14:paraId="766665DA" w14:textId="77777777">
      <w:pPr>
        <w:tabs>
          <w:tab w:val="left" w:pos="709"/>
          <w:tab w:val="left" w:pos="2160"/>
        </w:tabs>
        <w:ind w:left="709" w:hanging="709"/>
        <w:jc w:val="both"/>
        <w:rPr>
          <w:lang w:val="es-PE"/>
        </w:rPr>
      </w:pPr>
      <w:r w:rsidRPr="003D5224">
        <w:rPr>
          <w:lang w:val="es-PE"/>
        </w:rPr>
        <w:tab/>
      </w:r>
      <w:r w:rsidRPr="003D5224">
        <w:rPr>
          <w:lang w:val="es-PE"/>
        </w:rPr>
        <w:t xml:space="preserve">No hay, por consiguiente, una cobertura que considere el retiro no autorizado de efectivo con la tarjeta asegurada, en cajero automático, como consecuencia de un “cambiazo”, siendo que las coberturas se aplican estricta, literalmente, según sus enunciadas. </w:t>
      </w:r>
    </w:p>
    <w:p w:rsidRPr="003D5224" w:rsidR="003D5224" w:rsidP="003D5224" w:rsidRDefault="003D5224" w14:paraId="515E4D69" w14:textId="77777777">
      <w:pPr>
        <w:tabs>
          <w:tab w:val="left" w:pos="2160"/>
        </w:tabs>
        <w:jc w:val="both"/>
        <w:rPr>
          <w:lang w:val="es-PE"/>
        </w:rPr>
      </w:pPr>
    </w:p>
    <w:p w:rsidRPr="003D5224" w:rsidR="003D5224" w:rsidP="003D5224" w:rsidRDefault="003D5224" w14:paraId="29CCA0AB" w14:textId="64AC5FE5">
      <w:pPr>
        <w:tabs>
          <w:tab w:val="left" w:pos="2160"/>
        </w:tabs>
        <w:ind w:left="709"/>
        <w:jc w:val="both"/>
      </w:pPr>
      <w:r w:rsidR="6AB73853">
        <w:rPr/>
        <w:t>...............................................................................................................................</w:t>
      </w:r>
    </w:p>
    <w:p w:rsidR="3E71729A" w:rsidP="3E71729A" w:rsidRDefault="3E71729A" w14:paraId="6BE458BA" w14:textId="77BD2AAA">
      <w:pPr>
        <w:tabs>
          <w:tab w:val="left" w:leader="none" w:pos="2160"/>
        </w:tabs>
        <w:ind w:left="709"/>
        <w:jc w:val="both"/>
      </w:pPr>
    </w:p>
    <w:p w:rsidRPr="003D5224" w:rsidR="003D5224" w:rsidP="003D5224" w:rsidRDefault="003D5224" w14:paraId="2A3C8CB3" w14:textId="15FF9582">
      <w:pPr>
        <w:tabs>
          <w:tab w:val="left" w:pos="2160"/>
        </w:tabs>
        <w:ind w:left="709"/>
        <w:jc w:val="both"/>
      </w:pPr>
      <w:r w:rsidR="6AB73853">
        <w:rPr/>
        <w:t>................................................................................................................................</w:t>
      </w:r>
    </w:p>
    <w:p w:rsidRPr="003D5224" w:rsidR="003D5224" w:rsidP="003D5224" w:rsidRDefault="003D5224" w14:paraId="6FEE7AED" w14:textId="77777777">
      <w:pPr>
        <w:tabs>
          <w:tab w:val="left" w:pos="2160"/>
        </w:tabs>
        <w:jc w:val="both"/>
        <w:rPr>
          <w:lang w:val="es-PE"/>
        </w:rPr>
      </w:pPr>
    </w:p>
    <w:p w:rsidRPr="003D5224" w:rsidR="003D5224" w:rsidP="003D5224" w:rsidRDefault="003D5224" w14:paraId="2AEED660" w14:textId="59E35ED1">
      <w:pPr>
        <w:tabs>
          <w:tab w:val="left" w:pos="2160"/>
        </w:tabs>
        <w:ind w:left="709"/>
        <w:jc w:val="both"/>
        <w:rPr>
          <w:lang w:val="es-PE"/>
        </w:rPr>
      </w:pPr>
      <w:r w:rsidRPr="3E71729A" w:rsidR="003D5224">
        <w:rPr>
          <w:lang w:val="es-PE"/>
        </w:rPr>
        <w:t xml:space="preserve">Conforme a lo anterior, lo que sería un retiro indebido por cajero automático por la suma de S/. 3,000 no estaría cubierto por el seguro.  Yes que lo sucedido no tipifica, no encuadra, con las coberturas contratadas, en particular, sobre “uso indebido”, “uso forzado”, “robo” ni “uso indebido por compra fraudulenta vía internet” que corresponden a los riesgos aceptados por </w:t>
      </w:r>
      <w:r w:rsidRPr="3E71729A" w:rsidR="3B1D607C">
        <w:rPr>
          <w:lang w:val="es-PE"/>
        </w:rPr>
        <w:t>...................................</w:t>
      </w:r>
      <w:r w:rsidRPr="3E71729A" w:rsidR="003D5224">
        <w:rPr>
          <w:lang w:val="es-PE"/>
        </w:rPr>
        <w:t xml:space="preserve"> y respecto de cuya materialización corresponde reclamar cobertura.</w:t>
      </w:r>
    </w:p>
    <w:p w:rsidRPr="003D5224" w:rsidR="003D5224" w:rsidP="003D5224" w:rsidRDefault="003D5224" w14:paraId="27A2F984" w14:textId="77777777">
      <w:pPr>
        <w:tabs>
          <w:tab w:val="left" w:pos="2160"/>
        </w:tabs>
        <w:ind w:left="709"/>
        <w:jc w:val="both"/>
        <w:rPr>
          <w:lang w:val="es-PE"/>
        </w:rPr>
      </w:pPr>
    </w:p>
    <w:p w:rsidRPr="003D5224" w:rsidR="003D5224" w:rsidP="003D5224" w:rsidRDefault="003D5224" w14:paraId="324B1239" w14:textId="77777777">
      <w:pPr>
        <w:tabs>
          <w:tab w:val="left" w:pos="2160"/>
        </w:tabs>
        <w:ind w:left="709"/>
        <w:jc w:val="both"/>
        <w:rPr>
          <w:lang w:val="es-PE"/>
        </w:rPr>
      </w:pPr>
      <w:r w:rsidRPr="003D5224">
        <w:rPr>
          <w:lang w:val="es-PE"/>
        </w:rPr>
        <w:t>Por consiguiente, en este extremo, el rechazo de cobertura es legítimo.</w:t>
      </w:r>
    </w:p>
    <w:p w:rsidRPr="003D5224" w:rsidR="003D5224" w:rsidP="003D5224" w:rsidRDefault="003D5224" w14:paraId="0506E350" w14:textId="77777777">
      <w:pPr>
        <w:tabs>
          <w:tab w:val="left" w:pos="2160"/>
        </w:tabs>
        <w:jc w:val="both"/>
        <w:rPr>
          <w:lang w:val="es-PE"/>
        </w:rPr>
      </w:pPr>
    </w:p>
    <w:p w:rsidRPr="003D5224" w:rsidR="003D5224" w:rsidP="003D5224" w:rsidRDefault="003D5224" w14:paraId="744B15ED" w14:textId="77777777">
      <w:pPr>
        <w:tabs>
          <w:tab w:val="left" w:pos="709"/>
          <w:tab w:val="left" w:pos="2160"/>
        </w:tabs>
        <w:ind w:left="705" w:hanging="705"/>
        <w:jc w:val="both"/>
        <w:rPr>
          <w:lang w:val="es-PE"/>
        </w:rPr>
      </w:pPr>
      <w:r w:rsidRPr="003D5224">
        <w:rPr>
          <w:lang w:val="es-PE"/>
        </w:rPr>
        <w:t>6.3.</w:t>
      </w:r>
      <w:r w:rsidRPr="003D5224">
        <w:rPr>
          <w:lang w:val="es-PE"/>
        </w:rPr>
        <w:tab/>
      </w:r>
      <w:r w:rsidRPr="003D5224">
        <w:rPr>
          <w:lang w:val="es-PE"/>
        </w:rPr>
        <w:t xml:space="preserve">Sin embargo, conforme a lo señalado por el reclamante y sustentado en la audiencia de vista, el perjuicio que ha soportado no se limita al retiro no autorizado de dinero en cajero automático, sino que la tercera persona que se habría apropiado de su tarjeta de débito habría realizado una transferencia a tercera persona, ascendente a S/. 3,300, hecho que si </w:t>
      </w:r>
      <w:proofErr w:type="gramStart"/>
      <w:r w:rsidRPr="003D5224">
        <w:rPr>
          <w:lang w:val="es-PE"/>
        </w:rPr>
        <w:t>encuadraría</w:t>
      </w:r>
      <w:proofErr w:type="gramEnd"/>
      <w:r w:rsidRPr="003D5224">
        <w:rPr>
          <w:lang w:val="es-PE"/>
        </w:rPr>
        <w:t xml:space="preserve"> con la cobertura sobre “cobertura patrimonial por transferencias”, tal como se define, sujeto al límite establecido de US$ 450 al año, máximo dos eventos.</w:t>
      </w:r>
    </w:p>
    <w:p w:rsidRPr="003D5224" w:rsidR="003D5224" w:rsidP="003D5224" w:rsidRDefault="003D5224" w14:paraId="7F952931" w14:textId="77777777">
      <w:pPr>
        <w:tabs>
          <w:tab w:val="left" w:pos="709"/>
          <w:tab w:val="left" w:pos="2160"/>
        </w:tabs>
        <w:ind w:left="705" w:hanging="705"/>
        <w:jc w:val="both"/>
        <w:rPr>
          <w:lang w:val="es-PE"/>
        </w:rPr>
      </w:pPr>
    </w:p>
    <w:p w:rsidRPr="003D5224" w:rsidR="003D5224" w:rsidP="003D5224" w:rsidRDefault="003D5224" w14:paraId="185A45FF" w14:textId="71D5DEB4">
      <w:pPr>
        <w:tabs>
          <w:tab w:val="left" w:pos="709"/>
          <w:tab w:val="left" w:pos="2160"/>
        </w:tabs>
        <w:ind w:left="705" w:hanging="705"/>
        <w:jc w:val="both"/>
        <w:rPr>
          <w:lang w:val="es-PE"/>
        </w:rPr>
      </w:pPr>
      <w:r w:rsidRPr="003D5224">
        <w:rPr>
          <w:lang w:val="es-PE"/>
        </w:rPr>
        <w:tab/>
      </w:r>
      <w:r w:rsidRPr="003D5224" w:rsidR="003D5224">
        <w:rPr>
          <w:lang w:val="es-PE"/>
        </w:rPr>
        <w:t xml:space="preserve">Siendo que, en la audiencia de vista, </w:t>
      </w:r>
      <w:r w:rsidRPr="3E71729A" w:rsidR="3B1D607C">
        <w:rPr>
          <w:lang w:val="es-PE"/>
        </w:rPr>
        <w:t>...................................</w:t>
      </w:r>
      <w:r w:rsidRPr="3E71729A" w:rsidR="003D5224">
        <w:rPr>
          <w:lang w:val="es-PE"/>
        </w:rPr>
        <w:t xml:space="preserve"> afirmó y reiteró que, en vía de reconsideración, se había adoptado la decisión de otorgar esta cobertura, hasta por el límite pactado, resulta impertinente que la Defensoría proceda a analizar si la negativa inicial estaba justificada o no, entendiéndose que la aseguradora ya ha realizado la calificación de los hechos, y la verificación del cumplimiento de los requisitos necesarios, para otorgar la respectiva cobertura.</w:t>
      </w:r>
    </w:p>
    <w:p w:rsidRPr="003D5224" w:rsidR="003D5224" w:rsidP="003D5224" w:rsidRDefault="003D5224" w14:paraId="5A3C1197" w14:textId="77777777">
      <w:pPr>
        <w:tabs>
          <w:tab w:val="left" w:pos="709"/>
          <w:tab w:val="left" w:pos="2160"/>
        </w:tabs>
        <w:ind w:left="705" w:hanging="705"/>
        <w:jc w:val="both"/>
        <w:rPr>
          <w:lang w:val="es-PE"/>
        </w:rPr>
      </w:pPr>
    </w:p>
    <w:p w:rsidRPr="003D5224" w:rsidR="003D5224" w:rsidP="003D5224" w:rsidRDefault="003D5224" w14:paraId="4D7BB269" w14:textId="04530E7A">
      <w:pPr>
        <w:tabs>
          <w:tab w:val="left" w:pos="709"/>
          <w:tab w:val="left" w:pos="2160"/>
        </w:tabs>
        <w:ind w:left="705" w:hanging="705"/>
        <w:jc w:val="both"/>
        <w:rPr>
          <w:lang w:val="es-PE"/>
        </w:rPr>
      </w:pPr>
      <w:r w:rsidRPr="003D5224">
        <w:rPr>
          <w:lang w:val="es-PE"/>
        </w:rPr>
        <w:tab/>
      </w:r>
      <w:r w:rsidRPr="003D5224" w:rsidR="003D5224">
        <w:rPr>
          <w:lang w:val="es-PE"/>
        </w:rPr>
        <w:t xml:space="preserve">Merece destacarse que, aunque el asegurado refirió en su reclamación tanto al retiro no autorizado de cajero automático como a la transferencia no autorizada desde su cuenta de ahorro personal, identificando en cada caso el monto de dinero comprometido, </w:t>
      </w:r>
      <w:r w:rsidRPr="3E71729A" w:rsidR="3B1D607C">
        <w:rPr>
          <w:lang w:val="es-PE"/>
        </w:rPr>
        <w:t>...................................</w:t>
      </w:r>
      <w:r w:rsidRPr="3E71729A" w:rsidR="003D5224">
        <w:rPr>
          <w:lang w:val="es-PE"/>
        </w:rPr>
        <w:t xml:space="preserve"> en sus descargos no hizo dicha distinción, manifestando que ratificaba el rechazo de cobertura porque el “cambiazo” no está cubierto conforme a la póliza; empero, en la audiencia de vista, este tema fue expresamente abordado, siendo que la aseguradora expresó la decisión ya adoptada de brindar una cobertura parcial respecto de lo sucedido, aunque ello no ha sido formalizado como hubiese correspondido, honrando el compromiso ante la DEFASEG.</w:t>
      </w:r>
    </w:p>
    <w:p w:rsidRPr="003D5224" w:rsidR="003D5224" w:rsidP="003D5224" w:rsidRDefault="003D5224" w14:paraId="1D7836D8" w14:textId="77777777">
      <w:pPr>
        <w:tabs>
          <w:tab w:val="left" w:pos="709"/>
          <w:tab w:val="left" w:pos="2160"/>
        </w:tabs>
        <w:ind w:left="705" w:hanging="705"/>
        <w:jc w:val="both"/>
        <w:rPr>
          <w:lang w:val="es-PE"/>
        </w:rPr>
      </w:pPr>
    </w:p>
    <w:p w:rsidRPr="003D5224" w:rsidR="003D5224" w:rsidP="003D5224" w:rsidRDefault="003D5224" w14:paraId="27DCC800" w14:textId="77777777">
      <w:pPr>
        <w:tabs>
          <w:tab w:val="left" w:pos="709"/>
          <w:tab w:val="left" w:pos="2160"/>
        </w:tabs>
        <w:ind w:left="705" w:hanging="705"/>
        <w:jc w:val="both"/>
        <w:rPr>
          <w:lang w:val="es-PE"/>
        </w:rPr>
      </w:pPr>
      <w:r w:rsidRPr="003D5224">
        <w:rPr>
          <w:lang w:val="es-PE"/>
        </w:rPr>
        <w:tab/>
      </w:r>
      <w:r w:rsidRPr="003D5224">
        <w:rPr>
          <w:lang w:val="es-PE"/>
        </w:rPr>
        <w:t>Por consiguiente, en este extremo, el rechazo de cobertura deviene en ilegitimo, debiéndose otorgar la misma.</w:t>
      </w:r>
    </w:p>
    <w:p w:rsidRPr="003D5224" w:rsidR="003D5224" w:rsidP="003D5224" w:rsidRDefault="003D5224" w14:paraId="5BF15F12" w14:textId="77777777">
      <w:pPr>
        <w:tabs>
          <w:tab w:val="left" w:pos="709"/>
          <w:tab w:val="left" w:pos="2160"/>
        </w:tabs>
        <w:jc w:val="both"/>
        <w:rPr>
          <w:lang w:val="es-PE"/>
        </w:rPr>
      </w:pPr>
    </w:p>
    <w:p w:rsidRPr="003D5224" w:rsidR="003D5224" w:rsidP="003D5224" w:rsidRDefault="003D5224" w14:paraId="55D922C9" w14:textId="690B42A8">
      <w:pPr>
        <w:tabs>
          <w:tab w:val="left" w:pos="709"/>
          <w:tab w:val="left" w:pos="2160"/>
        </w:tabs>
        <w:jc w:val="both"/>
        <w:rPr>
          <w:lang w:val="es-PE"/>
        </w:rPr>
      </w:pPr>
      <w:r w:rsidRPr="3E71729A" w:rsidR="003D5224">
        <w:rPr>
          <w:b w:val="1"/>
          <w:bCs w:val="1"/>
          <w:u w:val="single"/>
        </w:rPr>
        <w:t>Sétimo</w:t>
      </w:r>
      <w:r w:rsidRPr="3E71729A" w:rsidR="003D5224">
        <w:rPr>
          <w:b w:val="1"/>
          <w:bCs w:val="1"/>
        </w:rPr>
        <w:t>:</w:t>
      </w:r>
      <w:r w:rsidRPr="3E71729A" w:rsidR="003D5224">
        <w:rPr>
          <w:b w:val="1"/>
          <w:bCs w:val="1"/>
          <w:lang w:val="es-PE"/>
        </w:rPr>
        <w:t xml:space="preserve"> </w:t>
      </w:r>
      <w:r w:rsidRPr="3E71729A" w:rsidR="003D5224">
        <w:rPr>
          <w:lang w:val="es-PE"/>
        </w:rPr>
        <w:t xml:space="preserve">Se exhorta finalmente a </w:t>
      </w:r>
      <w:r w:rsidRPr="3E71729A" w:rsidR="3B1D607C">
        <w:rPr>
          <w:lang w:val="es-PE"/>
        </w:rPr>
        <w:t>...................................</w:t>
      </w:r>
      <w:r w:rsidRPr="3E71729A" w:rsidR="003D5224">
        <w:rPr>
          <w:lang w:val="es-PE"/>
        </w:rPr>
        <w:t xml:space="preserve"> para que cuide de cumplir oportunamente con la presentación de sus descargos, de la documentación requerida, así como de la formalización de sus compromisos ante esta Defensoría.</w:t>
      </w:r>
    </w:p>
    <w:p w:rsidRPr="003D5224" w:rsidR="003D5224" w:rsidP="003D5224" w:rsidRDefault="003D5224" w14:paraId="06184C6B" w14:textId="77777777">
      <w:pPr>
        <w:tabs>
          <w:tab w:val="left" w:pos="709"/>
          <w:tab w:val="left" w:pos="2160"/>
        </w:tabs>
        <w:jc w:val="both"/>
        <w:rPr>
          <w:lang w:val="es-PE"/>
        </w:rPr>
      </w:pPr>
    </w:p>
    <w:p w:rsidRPr="003D5224" w:rsidR="003D5224" w:rsidP="003D5224" w:rsidRDefault="003D5224" w14:paraId="6D385EB7" w14:textId="77777777">
      <w:pPr>
        <w:tabs>
          <w:tab w:val="left" w:pos="709"/>
          <w:tab w:val="left" w:pos="2160"/>
        </w:tabs>
        <w:jc w:val="both"/>
      </w:pPr>
      <w:r w:rsidRPr="003D5224">
        <w:rPr>
          <w:lang w:val="es-PE"/>
        </w:rPr>
        <w:t xml:space="preserve">Atendiendo a las consideraciones expresadas, este Órgano Resolutivo Unipersonal </w:t>
      </w:r>
      <w:r w:rsidRPr="003D5224">
        <w:t>concluye su apreciación razonada y conjunta al amparo de lo establecido en su Reglamento, por lo que</w:t>
      </w:r>
    </w:p>
    <w:p w:rsidRPr="003D5224" w:rsidR="003D5224" w:rsidP="003D5224" w:rsidRDefault="003D5224" w14:paraId="26967503" w14:textId="77777777">
      <w:pPr>
        <w:tabs>
          <w:tab w:val="left" w:pos="709"/>
          <w:tab w:val="left" w:pos="2160"/>
        </w:tabs>
        <w:jc w:val="both"/>
      </w:pPr>
    </w:p>
    <w:p w:rsidRPr="003D5224" w:rsidR="003D5224" w:rsidP="003D5224" w:rsidRDefault="003D5224" w14:paraId="7513C888" w14:textId="77777777">
      <w:pPr>
        <w:tabs>
          <w:tab w:val="left" w:pos="709"/>
          <w:tab w:val="left" w:pos="2160"/>
        </w:tabs>
        <w:jc w:val="both"/>
        <w:rPr>
          <w:b/>
        </w:rPr>
      </w:pPr>
      <w:r w:rsidRPr="003D5224">
        <w:rPr>
          <w:b/>
        </w:rPr>
        <w:t>SE RESUELVE</w:t>
      </w:r>
      <w:r w:rsidRPr="003D5224">
        <w:rPr>
          <w:b/>
          <w:lang w:val="es-PE"/>
        </w:rPr>
        <w:t>:</w:t>
      </w:r>
    </w:p>
    <w:p w:rsidRPr="003D5224" w:rsidR="003D5224" w:rsidP="003D5224" w:rsidRDefault="003D5224" w14:paraId="1300FE73" w14:textId="77777777">
      <w:pPr>
        <w:tabs>
          <w:tab w:val="left" w:pos="709"/>
          <w:tab w:val="left" w:pos="2160"/>
        </w:tabs>
        <w:jc w:val="both"/>
        <w:rPr>
          <w:b/>
          <w:bCs/>
        </w:rPr>
      </w:pPr>
    </w:p>
    <w:p w:rsidRPr="003D5224" w:rsidR="003D5224" w:rsidP="003D5224" w:rsidRDefault="003D5224" w14:paraId="282E2AC4" w14:textId="19FC6694">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3E71729A" w:rsidR="003D5224">
        <w:rPr>
          <w:b w:val="1"/>
          <w:bCs w:val="1"/>
          <w:lang w:val="es-PE"/>
        </w:rPr>
        <w:t xml:space="preserve">Declarar FUNDADA en parte </w:t>
      </w:r>
      <w:r w:rsidRPr="3E71729A" w:rsidR="003D5224">
        <w:rPr>
          <w:lang w:val="es-PE"/>
        </w:rPr>
        <w:t xml:space="preserve">la reclamación interpuesta por don </w:t>
      </w:r>
      <w:r w:rsidR="1FB2A4AC">
        <w:rPr/>
        <w:t>.........................................................................</w:t>
      </w:r>
      <w:r w:rsidRPr="3E71729A" w:rsidR="003D5224">
        <w:rPr>
          <w:lang w:val="es-PE"/>
        </w:rPr>
        <w:t xml:space="preserve">, por lo que </w:t>
      </w:r>
      <w:r w:rsidRPr="3E71729A" w:rsidR="3B1D607C">
        <w:rPr>
          <w:lang w:val="es-PE"/>
        </w:rPr>
        <w:t>...................................</w:t>
      </w:r>
      <w:r w:rsidRPr="3E71729A" w:rsidR="003D5224">
        <w:rPr>
          <w:lang w:val="es-PE"/>
        </w:rPr>
        <w:t xml:space="preserve"> sólo debe otorgar la denominada contractualmente como “cobertura patrimonial por transferencias”, hasta por el límite enunciado en la correspondiente póliza.</w:t>
      </w:r>
    </w:p>
    <w:p w:rsidRPr="003D5224" w:rsidR="004832BF" w:rsidP="004832BF" w:rsidRDefault="004832BF" w14:paraId="0EA9D493" w14:textId="77777777">
      <w:pPr>
        <w:outlineLvl w:val="0"/>
        <w:rPr>
          <w:lang w:val="es-PE"/>
        </w:rPr>
      </w:pPr>
    </w:p>
    <w:p w:rsidRPr="003D5224" w:rsidR="001631D6" w:rsidP="00401DE3" w:rsidRDefault="00F15FBA" w14:paraId="30F8D459" w14:textId="223B0817">
      <w:pPr>
        <w:jc w:val="right"/>
        <w:outlineLvl w:val="0"/>
        <w:rPr>
          <w:lang w:val="es-PE"/>
        </w:rPr>
      </w:pPr>
      <w:r w:rsidRPr="003D5224">
        <w:rPr>
          <w:lang w:val="es-PE"/>
        </w:rPr>
        <w:t xml:space="preserve">Lima, </w:t>
      </w:r>
      <w:r w:rsidRPr="003D5224" w:rsidR="00090B7C">
        <w:rPr>
          <w:lang w:val="es-PE"/>
        </w:rPr>
        <w:t>1</w:t>
      </w:r>
      <w:r w:rsidRPr="003D5224" w:rsidR="00F3706B">
        <w:rPr>
          <w:lang w:val="es-PE"/>
        </w:rPr>
        <w:t>2</w:t>
      </w:r>
      <w:r w:rsidRPr="003D5224" w:rsidR="00EA1FBC">
        <w:rPr>
          <w:lang w:val="es-PE"/>
        </w:rPr>
        <w:t xml:space="preserve"> </w:t>
      </w:r>
      <w:r w:rsidRPr="003D5224" w:rsidR="00F62606">
        <w:t>d</w:t>
      </w:r>
      <w:proofErr w:type="spellStart"/>
      <w:r w:rsidRPr="003D5224">
        <w:rPr>
          <w:lang w:val="es-PE"/>
        </w:rPr>
        <w:t>e</w:t>
      </w:r>
      <w:proofErr w:type="spellEnd"/>
      <w:r w:rsidRPr="003D5224" w:rsidR="00642D5C">
        <w:rPr>
          <w:lang w:val="es-PE"/>
        </w:rPr>
        <w:t xml:space="preserve"> </w:t>
      </w:r>
      <w:r w:rsidRPr="003D5224" w:rsidR="00EA1FBC">
        <w:rPr>
          <w:lang w:val="es-PE"/>
        </w:rPr>
        <w:t>agosto</w:t>
      </w:r>
      <w:r w:rsidRPr="003D5224" w:rsidR="001631D6">
        <w:rPr>
          <w:lang w:val="es-PE"/>
        </w:rPr>
        <w:t xml:space="preserve"> </w:t>
      </w:r>
      <w:r w:rsidRPr="003D5224">
        <w:rPr>
          <w:lang w:val="es-PE"/>
        </w:rPr>
        <w:t>de 20</w:t>
      </w:r>
      <w:r w:rsidRPr="003D5224" w:rsidR="001631D6">
        <w:rPr>
          <w:lang w:val="es-PE"/>
        </w:rPr>
        <w:t>2</w:t>
      </w:r>
      <w:r w:rsidRPr="003D5224" w:rsidR="003E6BA6">
        <w:rPr>
          <w:lang w:val="es-PE"/>
        </w:rPr>
        <w:t>1</w:t>
      </w:r>
    </w:p>
    <w:p w:rsidRPr="003D5224" w:rsidR="00C01AB2" w:rsidP="00B5211F" w:rsidRDefault="00C01AB2" w14:paraId="37DB6607" w14:textId="77777777"/>
    <w:p w:rsidRPr="003D5224" w:rsidR="00497FEF" w:rsidP="00497FEF" w:rsidRDefault="00497FEF" w14:paraId="5EA0B05B" w14:textId="77777777">
      <w:pPr>
        <w:jc w:val="both"/>
        <w:rPr>
          <w:b/>
          <w:bCs/>
          <w:i/>
          <w:iCs/>
        </w:rPr>
      </w:pPr>
      <w:r w:rsidRPr="003D5224">
        <w:rPr>
          <w:b/>
          <w:bCs/>
          <w:i/>
          <w:iCs/>
        </w:rPr>
        <w:t>La Secretaría Técnica certifica que la presente resolución, al haber sido emitida por el Órgano Resolutivo Unipersonal, cuenta con el voto del vocal cuyo nombre figura al final del presente documento.</w:t>
      </w:r>
    </w:p>
    <w:p w:rsidRPr="003D5224" w:rsidR="000D588E" w:rsidP="000D588E" w:rsidRDefault="000D588E" w14:paraId="2E675B6E" w14:textId="4E2AE504">
      <w:pPr>
        <w:jc w:val="both"/>
        <w:rPr>
          <w:b/>
          <w:bCs/>
          <w:i/>
          <w:iCs/>
          <w:lang w:val="es-ES_tradnl"/>
        </w:rPr>
      </w:pPr>
      <w:r w:rsidRPr="003D5224">
        <w:rPr>
          <w:b/>
          <w:bCs/>
          <w:i/>
          <w:iCs/>
          <w:lang w:val="es-ES_tradnl"/>
        </w:rPr>
        <w:t>.</w:t>
      </w:r>
    </w:p>
    <w:p w:rsidRPr="003D5224" w:rsidR="000D588E" w:rsidP="000D588E" w:rsidRDefault="000D588E" w14:paraId="4E2B6639" w14:textId="77777777">
      <w:pPr>
        <w:jc w:val="both"/>
        <w:rPr>
          <w:b/>
          <w:bCs/>
          <w:i/>
          <w:iCs/>
          <w:lang w:val="es-ES_tradnl"/>
        </w:rPr>
      </w:pPr>
    </w:p>
    <w:p w:rsidRPr="003D5224" w:rsidR="000D588E" w:rsidP="000D588E" w:rsidRDefault="00E57499" w14:paraId="33674F75" w14:textId="09CE5D9C">
      <w:pPr>
        <w:spacing w:line="360" w:lineRule="auto"/>
        <w:jc w:val="center"/>
        <w:rPr>
          <w:b/>
          <w:bCs/>
        </w:rPr>
      </w:pPr>
      <w:r w:rsidRPr="003D5224">
        <w:rPr>
          <w:b/>
          <w:bCs/>
        </w:rPr>
        <w:t xml:space="preserve">Marco Antonio Ortega Piana </w:t>
      </w:r>
      <w:r w:rsidRPr="003D5224" w:rsidR="000D588E">
        <w:rPr>
          <w:b/>
          <w:bCs/>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5D3AFA" w14:paraId="164CAA9F" w14:textId="77777777"/>
    <w:sectPr w:rsidRPr="003D5224"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3AFA" w:rsidP="005F148C" w:rsidRDefault="005D3AFA" w14:paraId="767FEC4E" w14:textId="77777777">
      <w:r>
        <w:separator/>
      </w:r>
    </w:p>
  </w:endnote>
  <w:endnote w:type="continuationSeparator" w:id="0">
    <w:p w:rsidR="005D3AFA" w:rsidP="005F148C" w:rsidRDefault="005D3AFA" w14:paraId="28FA891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3AFA" w:rsidP="005F148C" w:rsidRDefault="005D3AFA" w14:paraId="3DB876DA" w14:textId="77777777">
      <w:r>
        <w:separator/>
      </w:r>
    </w:p>
  </w:footnote>
  <w:footnote w:type="continuationSeparator" w:id="0">
    <w:p w:rsidR="005D3AFA" w:rsidP="005F148C" w:rsidRDefault="005D3AFA" w14:paraId="6BCF3BD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0"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6"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8"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1"/>
  </w:num>
  <w:num w:numId="3">
    <w:abstractNumId w:val="11"/>
  </w:num>
  <w:num w:numId="4">
    <w:abstractNumId w:val="2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29"/>
  </w:num>
  <w:num w:numId="12">
    <w:abstractNumId w:val="16"/>
  </w:num>
  <w:num w:numId="13">
    <w:abstractNumId w:val="27"/>
  </w:num>
  <w:num w:numId="14">
    <w:abstractNumId w:val="14"/>
  </w:num>
  <w:num w:numId="15">
    <w:abstractNumId w:val="15"/>
  </w:num>
  <w:num w:numId="16">
    <w:abstractNumId w:val="26"/>
  </w:num>
  <w:num w:numId="17">
    <w:abstractNumId w:val="12"/>
  </w:num>
  <w:num w:numId="18">
    <w:abstractNumId w:val="22"/>
  </w:num>
  <w:num w:numId="19">
    <w:abstractNumId w:val="9"/>
  </w:num>
  <w:num w:numId="20">
    <w:abstractNumId w:val="18"/>
  </w:num>
  <w:num w:numId="21">
    <w:abstractNumId w:val="28"/>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0"/>
  </w:num>
  <w:num w:numId="26">
    <w:abstractNumId w:val="6"/>
  </w:num>
  <w:num w:numId="27">
    <w:abstractNumId w:val="8"/>
  </w:num>
  <w:num w:numId="28">
    <w:abstractNumId w:val="24"/>
  </w:num>
  <w:num w:numId="29">
    <w:abstractNumId w:val="3"/>
  </w:num>
  <w:num w:numId="30">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55A27"/>
    <w:rsid w:val="00467825"/>
    <w:rsid w:val="00477D05"/>
    <w:rsid w:val="004832BF"/>
    <w:rsid w:val="004854D9"/>
    <w:rsid w:val="00497FEF"/>
    <w:rsid w:val="004A5F55"/>
    <w:rsid w:val="004E50D6"/>
    <w:rsid w:val="004F1C73"/>
    <w:rsid w:val="00516549"/>
    <w:rsid w:val="00531FBE"/>
    <w:rsid w:val="00577AEB"/>
    <w:rsid w:val="0058358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6041F"/>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16CAC7C4"/>
    <w:rsid w:val="1FB2A4AC"/>
    <w:rsid w:val="3B1D607C"/>
    <w:rsid w:val="3E71729A"/>
    <w:rsid w:val="57E894AA"/>
    <w:rsid w:val="6AB73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23A5E98-A088-4AC1-BB88-76EE87375DD3}"/>
</file>

<file path=customXml/itemProps3.xml><?xml version="1.0" encoding="utf-8"?>
<ds:datastoreItem xmlns:ds="http://schemas.openxmlformats.org/officeDocument/2006/customXml" ds:itemID="{0B93B8C2-34AE-4228-ACA8-F870CFA73436}"/>
</file>

<file path=customXml/itemProps4.xml><?xml version="1.0" encoding="utf-8"?>
<ds:datastoreItem xmlns:ds="http://schemas.openxmlformats.org/officeDocument/2006/customXml" ds:itemID="{C8515F6D-D8DF-4AAC-8131-4E722C1883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77</cp:revision>
  <cp:lastPrinted>2021-08-13T15:02:00Z</cp:lastPrinted>
  <dcterms:created xsi:type="dcterms:W3CDTF">2020-12-18T20:09:00Z</dcterms:created>
  <dcterms:modified xsi:type="dcterms:W3CDTF">2026-01-26T20:50:46Z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