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F3A41" w:rsidR="00F15FBA" w:rsidP="007D4B05" w:rsidRDefault="00F15FBA" w14:paraId="6EF5AEAB" w14:textId="6CF40B7D">
      <w:pPr>
        <w:pStyle w:val="Ttulo"/>
        <w:outlineLvl w:val="0"/>
        <w:rPr>
          <w:lang w:val="es-PE"/>
        </w:rPr>
      </w:pPr>
      <w:r w:rsidRPr="007F3A41">
        <w:rPr>
          <w:lang w:val="es-PE"/>
        </w:rPr>
        <w:t>RESOLUCIÓN N</w:t>
      </w:r>
      <w:r w:rsidRPr="007F3A41" w:rsidR="001631D6">
        <w:rPr>
          <w:lang w:val="es-PE"/>
        </w:rPr>
        <w:t xml:space="preserve">° </w:t>
      </w:r>
      <w:r w:rsidRPr="007F3A41" w:rsidR="008F7427">
        <w:rPr>
          <w:lang w:val="es-PE"/>
        </w:rPr>
        <w:t>11</w:t>
      </w:r>
      <w:r w:rsidR="009067A0">
        <w:rPr>
          <w:lang w:val="es-PE"/>
        </w:rPr>
        <w:t>6</w:t>
      </w:r>
      <w:r w:rsidRPr="007F3A41" w:rsidR="008F7427">
        <w:rPr>
          <w:lang w:val="es-PE"/>
        </w:rPr>
        <w:t>/</w:t>
      </w:r>
      <w:r w:rsidRPr="007F3A41" w:rsidR="001631D6">
        <w:rPr>
          <w:lang w:val="es-PE"/>
        </w:rPr>
        <w:t>2</w:t>
      </w:r>
      <w:r w:rsidRPr="007F3A41" w:rsidR="003E6BA6">
        <w:rPr>
          <w:lang w:val="es-PE"/>
        </w:rPr>
        <w:t>1</w:t>
      </w:r>
    </w:p>
    <w:p w:rsidRPr="007F3A41" w:rsidR="00C94B19" w:rsidP="007D4B05" w:rsidRDefault="00C94B19" w14:paraId="3247FB63" w14:textId="77777777">
      <w:pPr>
        <w:jc w:val="both"/>
        <w:rPr>
          <w:b/>
        </w:rPr>
      </w:pPr>
    </w:p>
    <w:p w:rsidRPr="009067A0" w:rsidR="009067A0" w:rsidP="007D4B05" w:rsidRDefault="009067A0" w14:paraId="37954FA4" w14:textId="77777777">
      <w:pPr>
        <w:autoSpaceDE w:val="0"/>
        <w:autoSpaceDN w:val="0"/>
        <w:adjustRightInd w:val="0"/>
        <w:jc w:val="both"/>
        <w:rPr>
          <w:rFonts w:eastAsiaTheme="minorHAnsi"/>
          <w:color w:val="000000"/>
          <w:lang w:val="es-PE" w:eastAsia="en-US"/>
        </w:rPr>
      </w:pPr>
    </w:p>
    <w:p w:rsidR="009067A0" w:rsidP="007D4B05" w:rsidRDefault="009067A0" w14:paraId="761D1E17" w14:textId="3D47CF19">
      <w:pPr>
        <w:autoSpaceDE w:val="0"/>
        <w:autoSpaceDN w:val="0"/>
        <w:adjustRightInd w:val="0"/>
        <w:jc w:val="both"/>
        <w:rPr>
          <w:rFonts w:eastAsiaTheme="minorHAnsi"/>
          <w:b/>
          <w:bCs/>
          <w:color w:val="000000"/>
          <w:sz w:val="23"/>
          <w:szCs w:val="23"/>
          <w:lang w:val="es-PE" w:eastAsia="en-US"/>
        </w:rPr>
      </w:pPr>
      <w:r w:rsidRPr="009067A0">
        <w:rPr>
          <w:rFonts w:eastAsiaTheme="minorHAnsi"/>
          <w:color w:val="000000"/>
          <w:lang w:val="es-PE" w:eastAsia="en-US"/>
        </w:rPr>
        <w:t xml:space="preserve"> </w:t>
      </w:r>
      <w:r w:rsidRPr="009067A0">
        <w:rPr>
          <w:rFonts w:eastAsiaTheme="minorHAnsi"/>
          <w:b/>
          <w:bCs/>
          <w:color w:val="000000"/>
          <w:sz w:val="23"/>
          <w:szCs w:val="23"/>
          <w:lang w:val="es-PE" w:eastAsia="en-US"/>
        </w:rPr>
        <w:t xml:space="preserve">Vistos: </w:t>
      </w:r>
    </w:p>
    <w:p w:rsidRPr="009067A0" w:rsidR="007D4B05" w:rsidP="007D4B05" w:rsidRDefault="007D4B05" w14:paraId="06E0D9DD" w14:textId="77777777">
      <w:pPr>
        <w:autoSpaceDE w:val="0"/>
        <w:autoSpaceDN w:val="0"/>
        <w:adjustRightInd w:val="0"/>
        <w:jc w:val="both"/>
        <w:rPr>
          <w:rFonts w:eastAsiaTheme="minorHAnsi"/>
          <w:color w:val="000000"/>
          <w:sz w:val="23"/>
          <w:szCs w:val="23"/>
          <w:lang w:val="es-PE" w:eastAsia="en-US"/>
        </w:rPr>
      </w:pPr>
    </w:p>
    <w:p w:rsidR="009067A0" w:rsidP="011F44E2" w:rsidRDefault="009067A0" w14:paraId="56185E8D" w14:textId="5A47F395">
      <w:pPr>
        <w:autoSpaceDE w:val="0"/>
        <w:autoSpaceDN w:val="0"/>
        <w:adjustRightInd w:val="0"/>
        <w:jc w:val="both"/>
        <w:rPr>
          <w:rFonts w:eastAsia="Calibri" w:eastAsiaTheme="minorAscii"/>
          <w:color w:val="000000"/>
          <w:sz w:val="23"/>
          <w:szCs w:val="23"/>
          <w:lang w:val="es-PE" w:eastAsia="en-US"/>
        </w:rPr>
      </w:pPr>
      <w:r w:rsidRPr="011F44E2" w:rsidR="009067A0">
        <w:rPr>
          <w:rFonts w:eastAsia="Calibri" w:eastAsiaTheme="minorAscii"/>
          <w:color w:val="000000" w:themeColor="text1" w:themeTint="FF" w:themeShade="FF"/>
          <w:sz w:val="23"/>
          <w:szCs w:val="23"/>
          <w:lang w:val="es-PE" w:eastAsia="en-US"/>
        </w:rPr>
        <w:t xml:space="preserve">Que, mediante escrito presentado con fecha 17 de mayo de 2021, doña </w:t>
      </w:r>
      <w:r w:rsidRPr="011F44E2" w:rsidR="7ABBC021">
        <w:rPr>
          <w:rFonts w:eastAsia="Calibri" w:eastAsiaTheme="minorAscii"/>
          <w:color w:val="000000" w:themeColor="text1" w:themeTint="FF" w:themeShade="FF"/>
          <w:sz w:val="23"/>
          <w:szCs w:val="23"/>
          <w:lang w:val="es-PE" w:eastAsia="en-US"/>
        </w:rPr>
        <w:t>.............................................................................</w:t>
      </w:r>
      <w:r w:rsidRPr="011F44E2" w:rsidR="009067A0">
        <w:rPr>
          <w:rFonts w:eastAsia="Calibri" w:eastAsiaTheme="minorAscii"/>
          <w:color w:val="000000" w:themeColor="text1" w:themeTint="FF" w:themeShade="FF"/>
          <w:sz w:val="23"/>
          <w:szCs w:val="23"/>
          <w:lang w:val="es-PE" w:eastAsia="en-US"/>
        </w:rPr>
        <w:t xml:space="preserve"> interpone reclamación ante esta Defensoría del Asegurado (DEFASEG), solicitando que </w:t>
      </w:r>
      <w:r w:rsidRPr="011F44E2" w:rsidR="2FC9D809">
        <w:rPr>
          <w:rFonts w:eastAsia="Calibri" w:eastAsiaTheme="minorAscii"/>
          <w:color w:val="000000" w:themeColor="text1" w:themeTint="FF" w:themeShade="FF"/>
          <w:sz w:val="23"/>
          <w:szCs w:val="23"/>
          <w:lang w:val="es-PE" w:eastAsia="en-US"/>
        </w:rPr>
        <w:t>...................................</w:t>
      </w:r>
      <w:r w:rsidRPr="011F44E2" w:rsidR="009067A0">
        <w:rPr>
          <w:rFonts w:eastAsia="Calibri" w:eastAsiaTheme="minorAscii"/>
          <w:color w:val="000000" w:themeColor="text1" w:themeTint="FF" w:themeShade="FF"/>
          <w:sz w:val="23"/>
          <w:szCs w:val="23"/>
          <w:lang w:val="es-PE" w:eastAsia="en-US"/>
        </w:rPr>
        <w:t xml:space="preserve"> otorgue cobertura al siniestro ocurrido con fecha 12 de marzo de 2021, conforme a los términos y condiciones del Seguro de Protección de Tarjeta BBVA – Póliza Nro. </w:t>
      </w:r>
      <w:r w:rsidRPr="011F44E2" w:rsidR="58847DF0">
        <w:rPr>
          <w:rFonts w:eastAsia="Calibri" w:eastAsiaTheme="minorAscii"/>
          <w:color w:val="000000" w:themeColor="text1" w:themeTint="FF" w:themeShade="FF"/>
          <w:sz w:val="23"/>
          <w:szCs w:val="23"/>
          <w:lang w:val="es-PE" w:eastAsia="en-US"/>
        </w:rPr>
        <w:t>...........................</w:t>
      </w:r>
      <w:r w:rsidRPr="011F44E2" w:rsidR="009067A0">
        <w:rPr>
          <w:rFonts w:eastAsia="Calibri" w:eastAsiaTheme="minorAscii"/>
          <w:color w:val="000000" w:themeColor="text1" w:themeTint="FF" w:themeShade="FF"/>
          <w:sz w:val="23"/>
          <w:szCs w:val="23"/>
          <w:lang w:val="es-PE" w:eastAsia="en-US"/>
        </w:rPr>
        <w:t xml:space="preserve">; </w:t>
      </w:r>
    </w:p>
    <w:p w:rsidRPr="009067A0" w:rsidR="007D4B05" w:rsidP="007D4B05" w:rsidRDefault="007D4B05" w14:paraId="131ED4D6" w14:textId="77777777">
      <w:pPr>
        <w:autoSpaceDE w:val="0"/>
        <w:autoSpaceDN w:val="0"/>
        <w:adjustRightInd w:val="0"/>
        <w:jc w:val="both"/>
        <w:rPr>
          <w:rFonts w:eastAsiaTheme="minorHAnsi"/>
          <w:color w:val="000000"/>
          <w:sz w:val="23"/>
          <w:szCs w:val="23"/>
          <w:lang w:val="es-PE" w:eastAsia="en-US"/>
        </w:rPr>
      </w:pPr>
    </w:p>
    <w:p w:rsidR="009067A0" w:rsidP="007D4B05" w:rsidRDefault="009067A0" w14:paraId="7FF02D59" w14:textId="5B115450">
      <w:pPr>
        <w:autoSpaceDE w:val="0"/>
        <w:autoSpaceDN w:val="0"/>
        <w:adjustRightInd w:val="0"/>
        <w:jc w:val="both"/>
        <w:rPr>
          <w:rFonts w:eastAsiaTheme="minorHAnsi"/>
          <w:color w:val="000000"/>
          <w:sz w:val="23"/>
          <w:szCs w:val="23"/>
          <w:lang w:val="es-PE" w:eastAsia="en-US"/>
        </w:rPr>
      </w:pPr>
      <w:r w:rsidRPr="009067A0">
        <w:rPr>
          <w:rFonts w:eastAsiaTheme="minorHAnsi"/>
          <w:color w:val="000000"/>
          <w:sz w:val="23"/>
          <w:szCs w:val="23"/>
          <w:lang w:val="es-PE" w:eastAsia="en-US"/>
        </w:rPr>
        <w:t>Que, la señalada reclamación cumple con los requisitos de materia, cuantía y oportunidad establecidos en el Reglamento de la DEFASEG (</w:t>
      </w:r>
      <w:hyperlink w:history="1" r:id="rId8">
        <w:r w:rsidRPr="009067A0" w:rsidR="007D4B05">
          <w:rPr>
            <w:rStyle w:val="Hipervnculo"/>
            <w:rFonts w:eastAsiaTheme="minorHAnsi"/>
            <w:sz w:val="23"/>
            <w:szCs w:val="23"/>
            <w:lang w:val="es-PE" w:eastAsia="en-US"/>
          </w:rPr>
          <w:t>http://www.defaseg.com.pe/reglamento.html</w:t>
        </w:r>
      </w:hyperlink>
      <w:r w:rsidRPr="009067A0">
        <w:rPr>
          <w:rFonts w:eastAsiaTheme="minorHAnsi"/>
          <w:color w:val="000000"/>
          <w:sz w:val="23"/>
          <w:szCs w:val="23"/>
          <w:lang w:val="es-PE" w:eastAsia="en-US"/>
        </w:rPr>
        <w:t xml:space="preserve">); </w:t>
      </w:r>
    </w:p>
    <w:p w:rsidRPr="009067A0" w:rsidR="007D4B05" w:rsidP="007D4B05" w:rsidRDefault="007D4B05" w14:paraId="144618E0" w14:textId="77777777">
      <w:pPr>
        <w:autoSpaceDE w:val="0"/>
        <w:autoSpaceDN w:val="0"/>
        <w:adjustRightInd w:val="0"/>
        <w:jc w:val="both"/>
        <w:rPr>
          <w:rFonts w:eastAsiaTheme="minorHAnsi"/>
          <w:color w:val="000000"/>
          <w:sz w:val="23"/>
          <w:szCs w:val="23"/>
          <w:lang w:val="es-PE" w:eastAsia="en-US"/>
        </w:rPr>
      </w:pPr>
    </w:p>
    <w:p w:rsidR="009067A0" w:rsidP="007D4B05" w:rsidRDefault="009067A0" w14:paraId="3C089F47" w14:textId="519F7951">
      <w:pPr>
        <w:autoSpaceDE w:val="0"/>
        <w:autoSpaceDN w:val="0"/>
        <w:adjustRightInd w:val="0"/>
        <w:jc w:val="both"/>
        <w:rPr>
          <w:rFonts w:eastAsiaTheme="minorHAnsi"/>
          <w:color w:val="000000"/>
          <w:sz w:val="23"/>
          <w:szCs w:val="23"/>
          <w:lang w:val="es-PE" w:eastAsia="en-US"/>
        </w:rPr>
      </w:pPr>
      <w:r w:rsidRPr="009067A0">
        <w:rPr>
          <w:rFonts w:eastAsiaTheme="minorHAnsi"/>
          <w:color w:val="000000"/>
          <w:sz w:val="23"/>
          <w:szCs w:val="23"/>
          <w:lang w:val="es-PE" w:eastAsia="en-US"/>
        </w:rPr>
        <w:t xml:space="preserve">Que, conforme al Reglamento de la DEFASEG, atendiendo a la cuantía de la reclamación, que no supera la suma de US$ 3,000 (o su equivalente en moneda nacional), esta última puede ser resuelta por un Órgano Resolutivo Unipersonal (ORU), el mismo que, en el presente caso, está a cargo del vocal que suscribe; </w:t>
      </w:r>
    </w:p>
    <w:p w:rsidRPr="009067A0" w:rsidR="007D4B05" w:rsidP="007D4B05" w:rsidRDefault="007D4B05" w14:paraId="6DFDEA65" w14:textId="77777777">
      <w:pPr>
        <w:autoSpaceDE w:val="0"/>
        <w:autoSpaceDN w:val="0"/>
        <w:adjustRightInd w:val="0"/>
        <w:jc w:val="both"/>
        <w:rPr>
          <w:rFonts w:eastAsiaTheme="minorHAnsi"/>
          <w:color w:val="000000"/>
          <w:sz w:val="23"/>
          <w:szCs w:val="23"/>
          <w:lang w:val="es-PE" w:eastAsia="en-US"/>
        </w:rPr>
      </w:pPr>
    </w:p>
    <w:p w:rsidR="009067A0" w:rsidP="011F44E2" w:rsidRDefault="009067A0" w14:paraId="31D328A8" w14:textId="240A94BF">
      <w:pPr>
        <w:autoSpaceDE w:val="0"/>
        <w:autoSpaceDN w:val="0"/>
        <w:adjustRightInd w:val="0"/>
        <w:jc w:val="both"/>
        <w:rPr>
          <w:rFonts w:eastAsia="Calibri" w:eastAsiaTheme="minorAscii"/>
          <w:color w:val="000000"/>
          <w:sz w:val="23"/>
          <w:szCs w:val="23"/>
          <w:lang w:val="es-PE" w:eastAsia="en-US"/>
        </w:rPr>
      </w:pPr>
      <w:r w:rsidRPr="011F44E2" w:rsidR="009067A0">
        <w:rPr>
          <w:rFonts w:eastAsia="Calibri" w:eastAsiaTheme="minorAscii"/>
          <w:color w:val="000000" w:themeColor="text1" w:themeTint="FF" w:themeShade="FF"/>
          <w:sz w:val="23"/>
          <w:szCs w:val="23"/>
          <w:lang w:val="es-PE" w:eastAsia="en-US"/>
        </w:rPr>
        <w:t xml:space="preserve">Que, habiéndosele corrido traslado de la respectiva reclamación con fecha 11 de junio de 2021, </w:t>
      </w:r>
      <w:r w:rsidRPr="011F44E2" w:rsidR="2FC9D809">
        <w:rPr>
          <w:rFonts w:eastAsia="Calibri" w:eastAsiaTheme="minorAscii"/>
          <w:color w:val="000000" w:themeColor="text1" w:themeTint="FF" w:themeShade="FF"/>
          <w:sz w:val="23"/>
          <w:szCs w:val="23"/>
          <w:lang w:val="es-PE" w:eastAsia="en-US"/>
        </w:rPr>
        <w:t>...................................</w:t>
      </w:r>
      <w:r w:rsidRPr="011F44E2" w:rsidR="009067A0">
        <w:rPr>
          <w:rFonts w:eastAsia="Calibri" w:eastAsiaTheme="minorAscii"/>
          <w:color w:val="000000" w:themeColor="text1" w:themeTint="FF" w:themeShade="FF"/>
          <w:sz w:val="23"/>
          <w:szCs w:val="23"/>
          <w:lang w:val="es-PE" w:eastAsia="en-US"/>
        </w:rPr>
        <w:t xml:space="preserve"> solicitó con fecha 22 de junio de 2021 la ampliación reglamentaria para presentar sus descargos y documentación requerida. Vencido ampliamente el plazo reglamentario correspondiente, </w:t>
      </w:r>
      <w:r w:rsidRPr="011F44E2" w:rsidR="2FC9D809">
        <w:rPr>
          <w:rFonts w:eastAsia="Calibri" w:eastAsiaTheme="minorAscii"/>
          <w:color w:val="000000" w:themeColor="text1" w:themeTint="FF" w:themeShade="FF"/>
          <w:sz w:val="23"/>
          <w:szCs w:val="23"/>
          <w:lang w:val="es-PE" w:eastAsia="en-US"/>
        </w:rPr>
        <w:t>...................................</w:t>
      </w:r>
      <w:r w:rsidRPr="011F44E2" w:rsidR="009067A0">
        <w:rPr>
          <w:rFonts w:eastAsia="Calibri" w:eastAsiaTheme="minorAscii"/>
          <w:color w:val="000000" w:themeColor="text1" w:themeTint="FF" w:themeShade="FF"/>
          <w:sz w:val="23"/>
          <w:szCs w:val="23"/>
          <w:lang w:val="es-PE" w:eastAsia="en-US"/>
        </w:rPr>
        <w:t xml:space="preserve"> con fecha 14 de julio de 2021 presentó sus descargos y la documentación correspondiente; </w:t>
      </w:r>
    </w:p>
    <w:p w:rsidRPr="009067A0" w:rsidR="007D4B05" w:rsidP="007D4B05" w:rsidRDefault="007D4B05" w14:paraId="07EE89D3" w14:textId="77777777">
      <w:pPr>
        <w:autoSpaceDE w:val="0"/>
        <w:autoSpaceDN w:val="0"/>
        <w:adjustRightInd w:val="0"/>
        <w:jc w:val="both"/>
        <w:rPr>
          <w:rFonts w:eastAsiaTheme="minorHAnsi"/>
          <w:color w:val="000000"/>
          <w:sz w:val="23"/>
          <w:szCs w:val="23"/>
          <w:lang w:val="es-PE" w:eastAsia="en-US"/>
        </w:rPr>
      </w:pPr>
    </w:p>
    <w:p w:rsidR="009067A0" w:rsidP="007D4B05" w:rsidRDefault="009067A0" w14:paraId="0CCB81E9" w14:textId="43D35364">
      <w:pPr>
        <w:autoSpaceDE w:val="0"/>
        <w:autoSpaceDN w:val="0"/>
        <w:adjustRightInd w:val="0"/>
        <w:jc w:val="both"/>
        <w:rPr>
          <w:rFonts w:eastAsiaTheme="minorHAnsi"/>
          <w:color w:val="000000"/>
          <w:sz w:val="23"/>
          <w:szCs w:val="23"/>
          <w:lang w:val="es-PE" w:eastAsia="en-US"/>
        </w:rPr>
      </w:pPr>
      <w:r w:rsidRPr="009067A0">
        <w:rPr>
          <w:rFonts w:eastAsiaTheme="minorHAnsi"/>
          <w:color w:val="000000"/>
          <w:sz w:val="23"/>
          <w:szCs w:val="23"/>
          <w:lang w:val="es-PE" w:eastAsia="en-US"/>
        </w:rPr>
        <w:t xml:space="preserve">Que, con fecha 23 de agosto de 2021 se realizó la audiencia de vista virtual, con la participación de la aseguradora en la plataforma electrónica habilitada para dicho efecto por la secretaría técnica de la DEFASEG, la que sustentó su posición sobre la reclamación, absolviendo las preguntas formuladas por este ORU, habiéndose dejado constancia de la inasistencia de la reclamante, conforme consta de la correspondiente acta; </w:t>
      </w:r>
    </w:p>
    <w:p w:rsidRPr="009067A0" w:rsidR="000B7C53" w:rsidP="011F44E2" w:rsidRDefault="000B7C53" w14:paraId="45588CA0" w14:textId="326E5D9B">
      <w:pPr>
        <w:pageBreakBefore w:val="1"/>
        <w:autoSpaceDE w:val="0"/>
        <w:autoSpaceDN w:val="0"/>
        <w:adjustRightInd w:val="0"/>
        <w:jc w:val="both"/>
        <w:rPr>
          <w:rFonts w:eastAsia="Calibri" w:eastAsiaTheme="minorAscii"/>
          <w:sz w:val="23"/>
          <w:szCs w:val="23"/>
          <w:lang w:val="es-PE" w:eastAsia="en-US"/>
        </w:rPr>
      </w:pPr>
      <w:r w:rsidRPr="011F44E2" w:rsidR="000B7C53">
        <w:rPr>
          <w:rFonts w:eastAsia="Calibri" w:eastAsiaTheme="minorAscii"/>
          <w:color w:val="000000" w:themeColor="text1" w:themeTint="FF" w:themeShade="FF"/>
          <w:sz w:val="23"/>
          <w:szCs w:val="23"/>
          <w:lang w:val="es-PE" w:eastAsia="en-US"/>
        </w:rPr>
        <w:t xml:space="preserve">Que, conforme al escrito presentado, la reclamante expresa lo siguiente: a) El 13 de marzo de 2021 se dio cuenta de una operación que no reconoce realizada con su tarjeta de crédito (TC) BBVA, por una disposición de pago en efectivo por S/. 9.710.90 realizada el 12 de marzo de 2021, sobre la cual nunca recibió aviso alguno del banco, enterándose de ella porque al intentar realizar una operación en determinado establecimiento se le informó que su TC aparecía como restringida, procediendo a bloquearla y a ingresar la respectiva reclamación vía banca electrónica, b) Al ingresar su reclamación recordó que con fecha 11 de marzo de 2021, a las 17:48 horas, recibió una llamada del número </w:t>
      </w:r>
      <w:r w:rsidRPr="011F44E2" w:rsidR="4C68A648">
        <w:rPr>
          <w:rFonts w:eastAsia="Calibri" w:eastAsiaTheme="minorAscii"/>
          <w:color w:val="000000" w:themeColor="text1" w:themeTint="FF" w:themeShade="FF"/>
          <w:sz w:val="23"/>
          <w:szCs w:val="23"/>
          <w:lang w:val="es-PE" w:eastAsia="en-US"/>
        </w:rPr>
        <w:t>......................</w:t>
      </w:r>
      <w:r w:rsidRPr="011F44E2" w:rsidR="000B7C53">
        <w:rPr>
          <w:rFonts w:eastAsia="Calibri" w:eastAsiaTheme="minorAscii"/>
          <w:color w:val="000000" w:themeColor="text1" w:themeTint="FF" w:themeShade="FF"/>
          <w:sz w:val="23"/>
          <w:szCs w:val="23"/>
          <w:lang w:val="es-PE" w:eastAsia="en-US"/>
        </w:rPr>
        <w:t xml:space="preserve"> para fines de actualización de datos, siendo que, sin que se los haya brindado, la persona que la llamó tenía todos sus datos personales y solicitaba que se los confirme con un sí o no, por lo que asumió que se trataba de personal del banco al conocer de su información personal, movimientos de tarjetas de débito y crédito, etc., siendo que al final se le indicó que le harían llegar un SMS con un código de validación para confirmar los datos, ignorando que se trataba del uso del token digital al cual no está familiarizada, de manera que terminó dando el dato de la clave token digital, c) Atendiendo a ello, el seguro sostiene que la operación se realizó con su DNI, clave web y token digital, siendo además que siempre estuvo en posesión de su</w:t>
      </w:r>
      <w:r w:rsidRPr="011F44E2" w:rsidR="000B7C53">
        <w:rPr>
          <w:rFonts w:eastAsia="Calibri" w:eastAsiaTheme="minorAscii"/>
          <w:color w:val="000000" w:themeColor="text1" w:themeTint="FF" w:themeShade="FF"/>
          <w:sz w:val="23"/>
          <w:szCs w:val="23"/>
          <w:lang w:val="es-PE" w:eastAsia="en-US"/>
        </w:rPr>
        <w:t xml:space="preserve"> </w:t>
      </w:r>
      <w:r w:rsidRPr="011F44E2" w:rsidR="000B7C53">
        <w:rPr>
          <w:rFonts w:eastAsia="Calibri" w:eastAsiaTheme="minorAscii"/>
          <w:sz w:val="23"/>
          <w:szCs w:val="23"/>
          <w:lang w:val="es-PE" w:eastAsia="en-US"/>
        </w:rPr>
        <w:t xml:space="preserve">TC, por lo que le niega la cobertura, d) Hace responsable al banco por el acceso a su información personal y financiera, siendo que el área de prevención de fraude no le advirtió sobre el consumo no reconocido, acceso que permitió que terceros contasen con su DNI y clave digital, y si bien la reclamante entregó la clave token digital, lo hizo porque fue sorprendida por una estafa y fraude y d) Conforme a lo anterior, solicita a la DEFASEG que disponga que el seguro asuma lo sucedido, el consumo por internet, incluido el pago de intereses y cargos generados a raíz de lo sucedido; </w:t>
      </w:r>
    </w:p>
    <w:p w:rsidR="000B7C53" w:rsidP="007D4B05" w:rsidRDefault="000B7C53" w14:paraId="1D32EA70" w14:textId="77777777">
      <w:pPr>
        <w:autoSpaceDE w:val="0"/>
        <w:autoSpaceDN w:val="0"/>
        <w:adjustRightInd w:val="0"/>
        <w:jc w:val="both"/>
        <w:rPr>
          <w:rFonts w:eastAsiaTheme="minorHAnsi"/>
          <w:color w:val="000000"/>
          <w:sz w:val="23"/>
          <w:szCs w:val="23"/>
          <w:lang w:val="es-PE" w:eastAsia="en-US"/>
        </w:rPr>
      </w:pPr>
    </w:p>
    <w:p w:rsidR="009067A0" w:rsidP="011F44E2" w:rsidRDefault="009067A0" w14:paraId="31AE20EC" w14:textId="76A334A6">
      <w:pPr>
        <w:autoSpaceDE w:val="0"/>
        <w:autoSpaceDN w:val="0"/>
        <w:adjustRightInd w:val="0"/>
        <w:jc w:val="both"/>
        <w:rPr>
          <w:rFonts w:eastAsia="Calibri" w:eastAsiaTheme="minorAscii"/>
          <w:sz w:val="23"/>
          <w:szCs w:val="23"/>
          <w:lang w:val="es-PE" w:eastAsia="en-US"/>
        </w:rPr>
      </w:pPr>
      <w:r w:rsidRPr="011F44E2" w:rsidR="009067A0">
        <w:rPr>
          <w:rFonts w:eastAsia="Calibri" w:eastAsiaTheme="minorAscii"/>
          <w:sz w:val="23"/>
          <w:szCs w:val="23"/>
          <w:lang w:val="es-PE" w:eastAsia="en-US"/>
        </w:rPr>
        <w:t xml:space="preserve">Que, por su parte, ratificando el rechazo de cobertura, </w:t>
      </w:r>
      <w:r w:rsidRPr="011F44E2" w:rsidR="2FC9D809">
        <w:rPr>
          <w:rFonts w:eastAsia="Calibri" w:eastAsiaTheme="minorAscii"/>
          <w:sz w:val="23"/>
          <w:szCs w:val="23"/>
          <w:lang w:val="es-PE" w:eastAsia="en-US"/>
        </w:rPr>
        <w:t>...................................</w:t>
      </w:r>
      <w:r w:rsidRPr="011F44E2" w:rsidR="009067A0">
        <w:rPr>
          <w:rFonts w:eastAsia="Calibri" w:eastAsiaTheme="minorAscii"/>
          <w:sz w:val="23"/>
          <w:szCs w:val="23"/>
          <w:lang w:val="es-PE" w:eastAsia="en-US"/>
        </w:rPr>
        <w:t xml:space="preserve"> expresa resumidamente lo siguiente: a) De acuerdo a la propia declaración de la reclamante se descarta que lo sucedido corresponda a los riesgos (aceptados) de uso indebido de su tarjeta de crédito o débito por robo o hurto, utilización forzada en cajeros automáticos de la tarjeta de crédito o débito, robo de dinero en cajeros automáticos, ni compra fraudulenta en internet derivado por robo o hurto, siendo que el consumo se realizó con el uso de su número de DNI, clave de acceso a Banca por Internet y token digital, según lo constatado por el banco, por lo que se descarta clonación o adulteración de la TC BBVA, b) La operación se realizó cumpliéndose con las exigencias o medidas de seguridad del BBVA, siendo que no corresponde a ninguna de la coberturas contratadas conforme a la póliza, c) Siendo que lo sucedido es una estafa, que corresponde a un riesgo no aceptado por </w:t>
      </w:r>
      <w:r w:rsidRPr="011F44E2" w:rsidR="2FC9D809">
        <w:rPr>
          <w:rFonts w:eastAsia="Calibri" w:eastAsiaTheme="minorAscii"/>
          <w:sz w:val="23"/>
          <w:szCs w:val="23"/>
          <w:lang w:val="es-PE" w:eastAsia="en-US"/>
        </w:rPr>
        <w:t>...................................</w:t>
      </w:r>
      <w:r w:rsidRPr="011F44E2" w:rsidR="009067A0">
        <w:rPr>
          <w:rFonts w:eastAsia="Calibri" w:eastAsiaTheme="minorAscii"/>
          <w:sz w:val="23"/>
          <w:szCs w:val="23"/>
          <w:lang w:val="es-PE" w:eastAsia="en-US"/>
        </w:rPr>
        <w:t xml:space="preserve">, el rechazo de cobertura se encuentra justificado, d) En lo que la reclamante refiere a que lo sucedido encajaría con el riesgo aceptado de compras fraudulentas vía internet, se destaca que por declaración de la propia reclamante y al detalle de operaciones que se presenta, lo sucedido corresponde a una disposición en efectivo y no a una compra, por lo que el siniestro carece igualmente de cobertura conforme a las condiciones contratadas, y </w:t>
      </w:r>
      <w:r w:rsidRPr="011F44E2" w:rsidR="009067A0">
        <w:rPr>
          <w:rFonts w:eastAsia="Calibri" w:eastAsiaTheme="minorAscii"/>
          <w:sz w:val="23"/>
          <w:szCs w:val="23"/>
          <w:lang w:val="es-PE" w:eastAsia="en-US"/>
        </w:rPr>
        <w:t>e</w:t>
      </w:r>
      <w:r w:rsidRPr="011F44E2" w:rsidR="009067A0">
        <w:rPr>
          <w:rFonts w:eastAsia="Calibri" w:eastAsiaTheme="minorAscii"/>
          <w:sz w:val="23"/>
          <w:szCs w:val="23"/>
          <w:lang w:val="es-PE" w:eastAsia="en-US"/>
        </w:rPr>
        <w:t xml:space="preserve">) Por último, conforme a la sétima regla interpretativa, contenida en el artículo IV de la Ley del Contrato de Seguro, lo concerniente a la cobertura y extensión del riesgo, entre otros aspectos, se deben interpretar literalmente, siendo además que ello es de obligatorio cumplimiento para ambas partes; </w:t>
      </w:r>
    </w:p>
    <w:p w:rsidRPr="009067A0" w:rsidR="00486F58" w:rsidP="007D4B05" w:rsidRDefault="00486F58" w14:paraId="29F662C1" w14:textId="77777777">
      <w:pPr>
        <w:autoSpaceDE w:val="0"/>
        <w:autoSpaceDN w:val="0"/>
        <w:adjustRightInd w:val="0"/>
        <w:jc w:val="both"/>
        <w:rPr>
          <w:rFonts w:eastAsiaTheme="minorHAnsi"/>
          <w:sz w:val="23"/>
          <w:szCs w:val="23"/>
          <w:lang w:val="es-PE" w:eastAsia="en-US"/>
        </w:rPr>
      </w:pPr>
    </w:p>
    <w:p w:rsidR="009067A0" w:rsidP="007D4B05" w:rsidRDefault="009067A0" w14:paraId="0031C6A5" w14:textId="539AD590">
      <w:pPr>
        <w:autoSpaceDE w:val="0"/>
        <w:autoSpaceDN w:val="0"/>
        <w:adjustRightInd w:val="0"/>
        <w:jc w:val="both"/>
        <w:rPr>
          <w:rFonts w:eastAsiaTheme="minorHAnsi"/>
          <w:sz w:val="23"/>
          <w:szCs w:val="23"/>
          <w:lang w:val="es-PE" w:eastAsia="en-US"/>
        </w:rPr>
      </w:pPr>
      <w:r w:rsidRPr="009067A0">
        <w:rPr>
          <w:rFonts w:eastAsiaTheme="minorHAnsi"/>
          <w:sz w:val="23"/>
          <w:szCs w:val="23"/>
          <w:lang w:val="es-PE" w:eastAsia="en-US"/>
        </w:rPr>
        <w:t xml:space="preserve">Que, por escrito presentado el 14 de julo de 2021, la reclamante reitera que, conforme al seguro contratado, le corresponde la cobertura de compras fraudulentas por internet con la tarjeta BBVA; </w:t>
      </w:r>
    </w:p>
    <w:p w:rsidRPr="009067A0" w:rsidR="00486F58" w:rsidP="007D4B05" w:rsidRDefault="00486F58" w14:paraId="75FFCFD3" w14:textId="77777777">
      <w:pPr>
        <w:autoSpaceDE w:val="0"/>
        <w:autoSpaceDN w:val="0"/>
        <w:adjustRightInd w:val="0"/>
        <w:jc w:val="both"/>
        <w:rPr>
          <w:rFonts w:eastAsiaTheme="minorHAnsi"/>
          <w:sz w:val="23"/>
          <w:szCs w:val="23"/>
          <w:lang w:val="es-PE" w:eastAsia="en-US"/>
        </w:rPr>
      </w:pPr>
    </w:p>
    <w:p w:rsidRPr="009067A0" w:rsidR="009067A0" w:rsidP="007D4B05" w:rsidRDefault="009067A0" w14:paraId="109E514E" w14:textId="77777777">
      <w:pPr>
        <w:autoSpaceDE w:val="0"/>
        <w:autoSpaceDN w:val="0"/>
        <w:adjustRightInd w:val="0"/>
        <w:jc w:val="both"/>
        <w:rPr>
          <w:rFonts w:eastAsiaTheme="minorHAnsi"/>
          <w:sz w:val="23"/>
          <w:szCs w:val="23"/>
          <w:lang w:val="es-PE" w:eastAsia="en-US"/>
        </w:rPr>
      </w:pPr>
      <w:r w:rsidRPr="009067A0">
        <w:rPr>
          <w:rFonts w:eastAsiaTheme="minorHAnsi"/>
          <w:sz w:val="23"/>
          <w:szCs w:val="23"/>
          <w:lang w:val="es-PE" w:eastAsia="en-US"/>
        </w:rPr>
        <w:t xml:space="preserve">Que, por su parte, mediante escrito presentado el 16 de agosto de 2021, la aseguradora destaca que, conforme al Reglamento de la DEFASEG, corresponde que ésta decline competencia en el presente caso porque la asegurada ha optado, con fecha 28 de junio de 2021, con presentar una </w:t>
      </w:r>
      <w:r w:rsidRPr="009067A0">
        <w:rPr>
          <w:rFonts w:eastAsiaTheme="minorHAnsi"/>
          <w:sz w:val="23"/>
          <w:szCs w:val="23"/>
          <w:lang w:val="es-PE" w:eastAsia="en-US"/>
        </w:rPr>
        <w:lastRenderedPageBreak/>
        <w:t xml:space="preserve">reclamación ante el Órgano Resolutivo de Procedimientos Sumarísimos del INDECOPI, para fines que se disponga la aplicación de la cobertura reclamada por estafa; en consecuencia, debe disponerse el archivamiento definitivo del caso. Para dicho efecto, acompaña copia de la Resolución Nro. 1 del 9 de agosto de 2021, relativa al indicado procedimiento administrativo; </w:t>
      </w:r>
    </w:p>
    <w:p w:rsidR="000B7C53" w:rsidP="007D4B05" w:rsidRDefault="000B7C53" w14:paraId="15DA6D9D" w14:textId="77777777">
      <w:pPr>
        <w:autoSpaceDE w:val="0"/>
        <w:autoSpaceDN w:val="0"/>
        <w:adjustRightInd w:val="0"/>
        <w:jc w:val="both"/>
        <w:rPr>
          <w:rFonts w:eastAsiaTheme="minorHAnsi"/>
          <w:sz w:val="23"/>
          <w:szCs w:val="23"/>
          <w:lang w:val="es-PE" w:eastAsia="en-US"/>
        </w:rPr>
      </w:pPr>
    </w:p>
    <w:p w:rsidR="009067A0" w:rsidP="007D4B05" w:rsidRDefault="009067A0" w14:paraId="24A1DB01" w14:textId="440F3113">
      <w:pPr>
        <w:autoSpaceDE w:val="0"/>
        <w:autoSpaceDN w:val="0"/>
        <w:adjustRightInd w:val="0"/>
        <w:jc w:val="both"/>
        <w:rPr>
          <w:rFonts w:eastAsiaTheme="minorHAnsi"/>
          <w:sz w:val="23"/>
          <w:szCs w:val="23"/>
          <w:lang w:val="es-PE" w:eastAsia="en-US"/>
        </w:rPr>
      </w:pPr>
      <w:r w:rsidRPr="009067A0">
        <w:rPr>
          <w:rFonts w:eastAsiaTheme="minorHAnsi"/>
          <w:sz w:val="23"/>
          <w:szCs w:val="23"/>
          <w:lang w:val="es-PE" w:eastAsia="en-US"/>
        </w:rPr>
        <w:t xml:space="preserve">Que, conforme a lo anterior, a la fecha, el estado del proceso permite que este ORU pueda expedir su pronunciamiento sobre el caso sometido a su conocimiento, sobre la base de la información y de los documentos que obran en el expediente; </w:t>
      </w:r>
    </w:p>
    <w:p w:rsidRPr="009067A0" w:rsidR="00486F58" w:rsidP="007D4B05" w:rsidRDefault="00486F58" w14:paraId="2CD97122" w14:textId="77777777">
      <w:pPr>
        <w:autoSpaceDE w:val="0"/>
        <w:autoSpaceDN w:val="0"/>
        <w:adjustRightInd w:val="0"/>
        <w:jc w:val="both"/>
        <w:rPr>
          <w:rFonts w:eastAsiaTheme="minorHAnsi"/>
          <w:sz w:val="23"/>
          <w:szCs w:val="23"/>
          <w:lang w:val="es-PE" w:eastAsia="en-US"/>
        </w:rPr>
      </w:pPr>
    </w:p>
    <w:p w:rsidR="00FB2156" w:rsidP="007D4B05" w:rsidRDefault="009067A0" w14:paraId="67D1A775" w14:textId="77777777">
      <w:pPr>
        <w:autoSpaceDE w:val="0"/>
        <w:autoSpaceDN w:val="0"/>
        <w:adjustRightInd w:val="0"/>
        <w:jc w:val="both"/>
        <w:rPr>
          <w:rFonts w:eastAsiaTheme="minorHAnsi"/>
          <w:b/>
          <w:bCs/>
          <w:sz w:val="23"/>
          <w:szCs w:val="23"/>
          <w:lang w:val="es-PE" w:eastAsia="en-US"/>
        </w:rPr>
      </w:pPr>
      <w:r w:rsidRPr="009067A0">
        <w:rPr>
          <w:rFonts w:eastAsiaTheme="minorHAnsi"/>
          <w:b/>
          <w:bCs/>
          <w:sz w:val="23"/>
          <w:szCs w:val="23"/>
          <w:lang w:val="es-PE" w:eastAsia="en-US"/>
        </w:rPr>
        <w:t xml:space="preserve">Considerando: </w:t>
      </w:r>
    </w:p>
    <w:p w:rsidR="00FB2156" w:rsidP="007D4B05" w:rsidRDefault="00FB2156" w14:paraId="5E79A4EA" w14:textId="7BB87CBF">
      <w:pPr>
        <w:autoSpaceDE w:val="0"/>
        <w:autoSpaceDN w:val="0"/>
        <w:adjustRightInd w:val="0"/>
        <w:jc w:val="both"/>
        <w:rPr>
          <w:rFonts w:eastAsiaTheme="minorHAnsi"/>
          <w:b/>
          <w:bCs/>
          <w:sz w:val="23"/>
          <w:szCs w:val="23"/>
          <w:lang w:val="es-PE" w:eastAsia="en-US"/>
        </w:rPr>
      </w:pPr>
    </w:p>
    <w:p w:rsidR="00FB2156" w:rsidP="007D4B05" w:rsidRDefault="00A23970" w14:paraId="6F96A01F" w14:textId="61CCE3E0">
      <w:pPr>
        <w:autoSpaceDE w:val="0"/>
        <w:autoSpaceDN w:val="0"/>
        <w:adjustRightInd w:val="0"/>
        <w:jc w:val="both"/>
        <w:rPr>
          <w:rFonts w:eastAsiaTheme="minorHAnsi"/>
          <w:sz w:val="23"/>
          <w:szCs w:val="23"/>
          <w:lang w:val="es-PE" w:eastAsia="en-US"/>
        </w:rPr>
      </w:pPr>
      <w:r w:rsidRPr="009067A0">
        <w:rPr>
          <w:rFonts w:eastAsiaTheme="minorHAnsi"/>
          <w:b/>
          <w:bCs/>
          <w:sz w:val="23"/>
          <w:szCs w:val="23"/>
          <w:lang w:val="es-PE" w:eastAsia="en-US"/>
        </w:rPr>
        <w:t xml:space="preserve">Primero: </w:t>
      </w:r>
      <w:r w:rsidRPr="009067A0">
        <w:rPr>
          <w:rFonts w:eastAsiaTheme="minorHAnsi"/>
          <w:sz w:val="23"/>
          <w:szCs w:val="23"/>
          <w:lang w:val="es-PE" w:eastAsia="en-US"/>
        </w:rPr>
        <w:t>Conforme a su Reglamento, la 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w:t>
      </w:r>
      <w:r>
        <w:rPr>
          <w:rFonts w:eastAsiaTheme="minorHAnsi"/>
          <w:sz w:val="23"/>
          <w:szCs w:val="23"/>
          <w:lang w:val="es-PE" w:eastAsia="en-US"/>
        </w:rPr>
        <w:t>.</w:t>
      </w:r>
    </w:p>
    <w:p w:rsidR="00A23970" w:rsidP="007D4B05" w:rsidRDefault="00A23970" w14:paraId="0C4EE584" w14:textId="77777777">
      <w:pPr>
        <w:autoSpaceDE w:val="0"/>
        <w:autoSpaceDN w:val="0"/>
        <w:adjustRightInd w:val="0"/>
        <w:jc w:val="both"/>
        <w:rPr>
          <w:rFonts w:eastAsiaTheme="minorHAnsi"/>
          <w:b/>
          <w:bCs/>
          <w:sz w:val="23"/>
          <w:szCs w:val="23"/>
          <w:lang w:val="es-PE" w:eastAsia="en-US"/>
        </w:rPr>
      </w:pPr>
    </w:p>
    <w:p w:rsidRPr="009067A0" w:rsidR="009067A0" w:rsidP="007D4B05" w:rsidRDefault="009067A0" w14:paraId="1EE64FCB" w14:textId="711219EE">
      <w:pPr>
        <w:autoSpaceDE w:val="0"/>
        <w:autoSpaceDN w:val="0"/>
        <w:adjustRightInd w:val="0"/>
        <w:jc w:val="both"/>
        <w:rPr>
          <w:rFonts w:eastAsiaTheme="minorHAnsi"/>
          <w:b/>
          <w:bCs/>
          <w:sz w:val="23"/>
          <w:szCs w:val="23"/>
          <w:lang w:val="es-PE" w:eastAsia="en-US"/>
        </w:rPr>
      </w:pPr>
      <w:r w:rsidRPr="009067A0">
        <w:rPr>
          <w:rFonts w:eastAsiaTheme="minorHAnsi"/>
          <w:b/>
          <w:bCs/>
          <w:sz w:val="23"/>
          <w:szCs w:val="23"/>
          <w:lang w:val="es-PE" w:eastAsia="en-US"/>
        </w:rPr>
        <w:t xml:space="preserve">Segundo: </w:t>
      </w:r>
      <w:r w:rsidRPr="009067A0">
        <w:rPr>
          <w:rFonts w:eastAsiaTheme="minorHAnsi"/>
          <w:sz w:val="23"/>
          <w:szCs w:val="23"/>
          <w:lang w:val="es-PE" w:eastAsia="en-US"/>
        </w:rPr>
        <w:t xml:space="preserve">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 </w:t>
      </w:r>
    </w:p>
    <w:p w:rsidR="00A23970" w:rsidP="007D4B05" w:rsidRDefault="00A23970" w14:paraId="0AE9F840" w14:textId="77777777">
      <w:pPr>
        <w:autoSpaceDE w:val="0"/>
        <w:autoSpaceDN w:val="0"/>
        <w:adjustRightInd w:val="0"/>
        <w:jc w:val="both"/>
        <w:rPr>
          <w:rFonts w:eastAsiaTheme="minorHAnsi"/>
          <w:b/>
          <w:bCs/>
          <w:sz w:val="23"/>
          <w:szCs w:val="23"/>
          <w:lang w:val="es-PE" w:eastAsia="en-US"/>
        </w:rPr>
      </w:pPr>
    </w:p>
    <w:p w:rsidRPr="009067A0" w:rsidR="009067A0" w:rsidP="007D4B05" w:rsidRDefault="009067A0" w14:paraId="048FE0B0" w14:textId="49C7A3F6">
      <w:pPr>
        <w:autoSpaceDE w:val="0"/>
        <w:autoSpaceDN w:val="0"/>
        <w:adjustRightInd w:val="0"/>
        <w:jc w:val="both"/>
        <w:rPr>
          <w:rFonts w:eastAsiaTheme="minorHAnsi"/>
          <w:sz w:val="23"/>
          <w:szCs w:val="23"/>
          <w:lang w:val="es-PE" w:eastAsia="en-US"/>
        </w:rPr>
      </w:pPr>
      <w:r w:rsidRPr="009067A0">
        <w:rPr>
          <w:rFonts w:eastAsiaTheme="minorHAnsi"/>
          <w:b/>
          <w:bCs/>
          <w:sz w:val="23"/>
          <w:szCs w:val="23"/>
          <w:lang w:val="es-PE" w:eastAsia="en-US"/>
        </w:rPr>
        <w:t xml:space="preserve">Tercero: </w:t>
      </w:r>
      <w:r w:rsidRPr="009067A0">
        <w:rPr>
          <w:rFonts w:eastAsiaTheme="minorHAnsi"/>
          <w:sz w:val="23"/>
          <w:szCs w:val="23"/>
          <w:lang w:val="es-PE" w:eastAsia="en-US"/>
        </w:rPr>
        <w:t xml:space="preserve">Sin perjuicio de lo señalado en los considerandos precedentes, el Reglamento de la DEFASEG establece también lo siguiente: </w:t>
      </w:r>
    </w:p>
    <w:p w:rsidR="00A23970" w:rsidP="007D4B05" w:rsidRDefault="00A23970" w14:paraId="17C422D7" w14:textId="77777777">
      <w:pPr>
        <w:autoSpaceDE w:val="0"/>
        <w:autoSpaceDN w:val="0"/>
        <w:adjustRightInd w:val="0"/>
        <w:jc w:val="both"/>
        <w:rPr>
          <w:rFonts w:eastAsiaTheme="minorHAnsi"/>
          <w:b/>
          <w:bCs/>
          <w:sz w:val="23"/>
          <w:szCs w:val="23"/>
          <w:lang w:val="es-PE" w:eastAsia="en-US"/>
        </w:rPr>
      </w:pPr>
    </w:p>
    <w:p w:rsidRPr="009067A0" w:rsidR="009067A0" w:rsidP="007D4B05" w:rsidRDefault="009067A0" w14:paraId="1EAB6D6C" w14:textId="4CE56798">
      <w:pPr>
        <w:autoSpaceDE w:val="0"/>
        <w:autoSpaceDN w:val="0"/>
        <w:adjustRightInd w:val="0"/>
        <w:jc w:val="both"/>
        <w:rPr>
          <w:rFonts w:eastAsiaTheme="minorHAnsi"/>
          <w:sz w:val="23"/>
          <w:szCs w:val="23"/>
          <w:lang w:val="es-PE" w:eastAsia="en-US"/>
        </w:rPr>
      </w:pPr>
      <w:r w:rsidRPr="009067A0">
        <w:rPr>
          <w:rFonts w:eastAsiaTheme="minorHAnsi"/>
          <w:b/>
          <w:bCs/>
          <w:sz w:val="23"/>
          <w:szCs w:val="23"/>
          <w:lang w:val="es-PE" w:eastAsia="en-US"/>
        </w:rPr>
        <w:t xml:space="preserve">11. Sometimiento voluntario </w:t>
      </w:r>
    </w:p>
    <w:p w:rsidR="00A23970" w:rsidP="007D4B05" w:rsidRDefault="00A23970" w14:paraId="73F09439" w14:textId="77777777">
      <w:pPr>
        <w:autoSpaceDE w:val="0"/>
        <w:autoSpaceDN w:val="0"/>
        <w:adjustRightInd w:val="0"/>
        <w:jc w:val="both"/>
        <w:rPr>
          <w:rFonts w:eastAsiaTheme="minorHAnsi"/>
          <w:sz w:val="23"/>
          <w:szCs w:val="23"/>
          <w:lang w:val="es-PE" w:eastAsia="en-US"/>
        </w:rPr>
      </w:pPr>
    </w:p>
    <w:p w:rsidR="009067A0" w:rsidP="007D4B05" w:rsidRDefault="009067A0" w14:paraId="31918587" w14:textId="6F735739">
      <w:pPr>
        <w:autoSpaceDE w:val="0"/>
        <w:autoSpaceDN w:val="0"/>
        <w:adjustRightInd w:val="0"/>
        <w:jc w:val="both"/>
        <w:rPr>
          <w:rFonts w:eastAsiaTheme="minorHAnsi"/>
          <w:b/>
          <w:bCs/>
          <w:sz w:val="23"/>
          <w:szCs w:val="23"/>
          <w:lang w:val="es-PE" w:eastAsia="en-US"/>
        </w:rPr>
      </w:pPr>
      <w:r w:rsidRPr="009067A0">
        <w:rPr>
          <w:rFonts w:eastAsiaTheme="minorHAnsi"/>
          <w:sz w:val="23"/>
          <w:szCs w:val="23"/>
          <w:lang w:val="es-PE" w:eastAsia="en-US"/>
        </w:rPr>
        <w:t xml:space="preserve">El usuario de seguro recurre en forma voluntaria a la Defensoría. La presentación de un reclamo en esta vía no limita su derecho a recurrir posteriormente ante el órgano administrativo o jurisdiccional que considere pertinente; sin embargo, </w:t>
      </w:r>
      <w:r w:rsidRPr="009067A0">
        <w:rPr>
          <w:rFonts w:eastAsiaTheme="minorHAnsi"/>
          <w:b/>
          <w:bCs/>
          <w:sz w:val="23"/>
          <w:szCs w:val="23"/>
          <w:lang w:val="es-PE" w:eastAsia="en-US"/>
        </w:rPr>
        <w:t xml:space="preserve">si la materia controvertida está siendo conocida por otra instancia a iniciativa de cualquiera de las partes o de oficio, sea esta una instancia administrativa, judicial, conciliatoria, arbitral o del Ministerio Público antes de que la Defensoría emita su decisión, ésta se abstendrá de decidir y archivará definitivamente el caso, salvo que la parte que accionó en otra vía, acredite haberse desistido de su reclamo ante dichas instancias. </w:t>
      </w:r>
    </w:p>
    <w:p w:rsidRPr="009067A0" w:rsidR="00A23970" w:rsidP="007D4B05" w:rsidRDefault="00A23970" w14:paraId="36E6241D" w14:textId="77777777">
      <w:pPr>
        <w:autoSpaceDE w:val="0"/>
        <w:autoSpaceDN w:val="0"/>
        <w:adjustRightInd w:val="0"/>
        <w:jc w:val="both"/>
        <w:rPr>
          <w:rFonts w:eastAsiaTheme="minorHAnsi"/>
          <w:sz w:val="23"/>
          <w:szCs w:val="23"/>
          <w:lang w:val="es-PE" w:eastAsia="en-US"/>
        </w:rPr>
      </w:pPr>
    </w:p>
    <w:p w:rsidRPr="009067A0" w:rsidR="009067A0" w:rsidP="007D4B05" w:rsidRDefault="009067A0" w14:paraId="36BC55D9" w14:textId="77777777">
      <w:pPr>
        <w:autoSpaceDE w:val="0"/>
        <w:autoSpaceDN w:val="0"/>
        <w:adjustRightInd w:val="0"/>
        <w:jc w:val="both"/>
        <w:rPr>
          <w:rFonts w:eastAsiaTheme="minorHAnsi"/>
          <w:sz w:val="23"/>
          <w:szCs w:val="23"/>
          <w:lang w:val="es-PE" w:eastAsia="en-US"/>
        </w:rPr>
      </w:pPr>
      <w:r w:rsidRPr="009067A0">
        <w:rPr>
          <w:rFonts w:eastAsiaTheme="minorHAnsi"/>
          <w:sz w:val="23"/>
          <w:szCs w:val="23"/>
          <w:lang w:val="es-PE" w:eastAsia="en-US"/>
        </w:rPr>
        <w:t xml:space="preserve">El reclamo tampoco procede cuando previamente haya sido resuelto en forma definitiva en una instancia administrativa, judicial, conciliatoria, arbitral o del Ministerio Público. </w:t>
      </w:r>
    </w:p>
    <w:p w:rsidR="00117F86" w:rsidP="007D4B05" w:rsidRDefault="00117F86" w14:paraId="48381F5C" w14:textId="77777777">
      <w:pPr>
        <w:autoSpaceDE w:val="0"/>
        <w:autoSpaceDN w:val="0"/>
        <w:adjustRightInd w:val="0"/>
        <w:jc w:val="both"/>
        <w:rPr>
          <w:rFonts w:eastAsiaTheme="minorHAnsi"/>
          <w:sz w:val="23"/>
          <w:szCs w:val="23"/>
          <w:lang w:val="es-PE" w:eastAsia="en-US"/>
        </w:rPr>
      </w:pPr>
    </w:p>
    <w:p w:rsidRPr="009067A0" w:rsidR="009067A0" w:rsidP="007D4B05" w:rsidRDefault="009067A0" w14:paraId="72363C72" w14:textId="1A123997">
      <w:pPr>
        <w:autoSpaceDE w:val="0"/>
        <w:autoSpaceDN w:val="0"/>
        <w:adjustRightInd w:val="0"/>
        <w:jc w:val="both"/>
        <w:rPr>
          <w:rFonts w:eastAsiaTheme="minorHAnsi"/>
          <w:sz w:val="23"/>
          <w:szCs w:val="23"/>
          <w:lang w:val="es-PE" w:eastAsia="en-US"/>
        </w:rPr>
      </w:pPr>
      <w:r w:rsidRPr="009067A0">
        <w:rPr>
          <w:rFonts w:eastAsiaTheme="minorHAnsi"/>
          <w:sz w:val="23"/>
          <w:szCs w:val="23"/>
          <w:lang w:val="es-PE" w:eastAsia="en-US"/>
        </w:rPr>
        <w:t xml:space="preserve">Las empresas de seguros deberán indicar, en forma clara y visible, en las cartas de rechazo que están sujetas al ámbito de competencia de la Defensoría. </w:t>
      </w:r>
    </w:p>
    <w:p w:rsidR="00117F86" w:rsidP="007D4B05" w:rsidRDefault="00117F86" w14:paraId="2D003D78" w14:textId="77777777">
      <w:pPr>
        <w:autoSpaceDE w:val="0"/>
        <w:autoSpaceDN w:val="0"/>
        <w:adjustRightInd w:val="0"/>
        <w:jc w:val="both"/>
        <w:rPr>
          <w:rFonts w:eastAsiaTheme="minorHAnsi"/>
          <w:sz w:val="23"/>
          <w:szCs w:val="23"/>
          <w:lang w:val="es-PE" w:eastAsia="en-US"/>
        </w:rPr>
      </w:pPr>
    </w:p>
    <w:p w:rsidR="002808CA" w:rsidP="007D4B05" w:rsidRDefault="002808CA" w14:paraId="39277EBC" w14:textId="77777777">
      <w:pPr>
        <w:autoSpaceDE w:val="0"/>
        <w:autoSpaceDN w:val="0"/>
        <w:adjustRightInd w:val="0"/>
        <w:jc w:val="both"/>
        <w:rPr>
          <w:rFonts w:eastAsiaTheme="minorHAnsi"/>
          <w:sz w:val="23"/>
          <w:szCs w:val="23"/>
          <w:lang w:val="es-PE" w:eastAsia="en-US"/>
        </w:rPr>
      </w:pPr>
    </w:p>
    <w:p w:rsidRPr="009067A0" w:rsidR="009067A0" w:rsidP="007D4B05" w:rsidRDefault="009067A0" w14:paraId="25B9E0B8" w14:textId="5EBDF9DD">
      <w:pPr>
        <w:autoSpaceDE w:val="0"/>
        <w:autoSpaceDN w:val="0"/>
        <w:adjustRightInd w:val="0"/>
        <w:jc w:val="both"/>
        <w:rPr>
          <w:rFonts w:eastAsiaTheme="minorHAnsi"/>
          <w:sz w:val="23"/>
          <w:szCs w:val="23"/>
          <w:lang w:val="es-PE" w:eastAsia="en-US"/>
        </w:rPr>
      </w:pPr>
      <w:r w:rsidRPr="009067A0">
        <w:rPr>
          <w:rFonts w:eastAsiaTheme="minorHAnsi"/>
          <w:sz w:val="23"/>
          <w:szCs w:val="23"/>
          <w:lang w:val="es-PE" w:eastAsia="en-US"/>
        </w:rPr>
        <w:t xml:space="preserve">(Lo destacado con negrita y lo subrayado es nuestro). </w:t>
      </w:r>
    </w:p>
    <w:p w:rsidR="007A39E1" w:rsidP="007D4B05" w:rsidRDefault="007A39E1" w14:paraId="2BA8F656" w14:textId="77777777">
      <w:pPr>
        <w:autoSpaceDE w:val="0"/>
        <w:autoSpaceDN w:val="0"/>
        <w:adjustRightInd w:val="0"/>
        <w:jc w:val="both"/>
        <w:rPr>
          <w:rFonts w:eastAsiaTheme="minorHAnsi"/>
          <w:sz w:val="23"/>
          <w:szCs w:val="23"/>
          <w:lang w:val="es-PE" w:eastAsia="en-US"/>
        </w:rPr>
      </w:pPr>
    </w:p>
    <w:p w:rsidRPr="009067A0" w:rsidR="009067A0" w:rsidP="011F44E2" w:rsidRDefault="009067A0" w14:paraId="66EEBDB2" w14:textId="0CEA7551">
      <w:pPr>
        <w:autoSpaceDE w:val="0"/>
        <w:autoSpaceDN w:val="0"/>
        <w:adjustRightInd w:val="0"/>
        <w:jc w:val="both"/>
        <w:rPr>
          <w:rFonts w:eastAsia="Calibri" w:eastAsiaTheme="minorAscii"/>
          <w:sz w:val="18"/>
          <w:szCs w:val="18"/>
          <w:lang w:val="es-PE" w:eastAsia="en-US"/>
        </w:rPr>
      </w:pPr>
      <w:r w:rsidRPr="011F44E2" w:rsidR="009067A0">
        <w:rPr>
          <w:rFonts w:eastAsia="Calibri" w:eastAsiaTheme="minorAscii"/>
          <w:sz w:val="23"/>
          <w:szCs w:val="23"/>
          <w:lang w:val="es-PE" w:eastAsia="en-US"/>
        </w:rPr>
        <w:t xml:space="preserve">Conforme a lo anterior, </w:t>
      </w:r>
      <w:r w:rsidRPr="011F44E2" w:rsidR="2FC9D809">
        <w:rPr>
          <w:rFonts w:eastAsia="Calibri" w:eastAsiaTheme="minorAscii"/>
          <w:sz w:val="23"/>
          <w:szCs w:val="23"/>
          <w:lang w:val="es-PE" w:eastAsia="en-US"/>
        </w:rPr>
        <w:t>...................................</w:t>
      </w:r>
      <w:r w:rsidRPr="011F44E2" w:rsidR="009067A0">
        <w:rPr>
          <w:rFonts w:eastAsia="Calibri" w:eastAsiaTheme="minorAscii"/>
          <w:sz w:val="23"/>
          <w:szCs w:val="23"/>
          <w:lang w:val="es-PE" w:eastAsia="en-US"/>
        </w:rPr>
        <w:t xml:space="preserve"> ha acreditado documentalmente, cumpliendo con la correspondiente carga probatoria que, la materia de la reclamación ha sido sometida por la asegurada al conocimiento y decisión del INDECOPI; al respecto, la reclamante no sólo no ha acreditado que se haya desistido de su reclamación ante otra instancia, sino que se ha desatendido de la reclamación interpuesta ante la DEFASEG, al no haberse pronunciado sobre el escrito presentado por </w:t>
      </w:r>
      <w:r w:rsidRPr="011F44E2" w:rsidR="2FC9D809">
        <w:rPr>
          <w:rFonts w:eastAsia="Calibri" w:eastAsiaTheme="minorAscii"/>
          <w:sz w:val="23"/>
          <w:szCs w:val="23"/>
          <w:lang w:val="es-PE" w:eastAsia="en-US"/>
        </w:rPr>
        <w:t>...................................</w:t>
      </w:r>
      <w:r w:rsidRPr="011F44E2" w:rsidR="009067A0">
        <w:rPr>
          <w:rFonts w:eastAsia="Calibri" w:eastAsiaTheme="minorAscii"/>
          <w:sz w:val="23"/>
          <w:szCs w:val="23"/>
          <w:lang w:val="es-PE" w:eastAsia="en-US"/>
        </w:rPr>
        <w:t xml:space="preserve"> el 16 de agosto de 2021, ni al haber participado en la audiencia de vista, no habiendo respondido a los intentos de </w:t>
      </w:r>
      <w:r w:rsidRPr="011F44E2" w:rsidR="007A39E1">
        <w:rPr>
          <w:rFonts w:eastAsia="Calibri" w:eastAsiaTheme="minorAscii"/>
          <w:sz w:val="23"/>
          <w:szCs w:val="23"/>
          <w:lang w:val="es-PE" w:eastAsia="en-US"/>
        </w:rPr>
        <w:t>comunicación de la secretaría técnica, por lo que corresponde disponer el archivamiento definitivo de la reclamación</w:t>
      </w:r>
    </w:p>
    <w:p w:rsidR="009067A0" w:rsidP="007D4B05" w:rsidRDefault="009067A0" w14:paraId="6FF0411C" w14:textId="505D6B1B">
      <w:pPr>
        <w:autoSpaceDE w:val="0"/>
        <w:autoSpaceDN w:val="0"/>
        <w:adjustRightInd w:val="0"/>
        <w:jc w:val="both"/>
        <w:rPr>
          <w:rFonts w:eastAsiaTheme="minorHAnsi"/>
          <w:lang w:val="es-PE" w:eastAsia="en-US"/>
        </w:rPr>
      </w:pPr>
    </w:p>
    <w:p w:rsidR="007A39E1" w:rsidP="011F44E2" w:rsidRDefault="007A39E1" w14:paraId="5C36BC97" w14:textId="354ACDF4">
      <w:pPr>
        <w:autoSpaceDE w:val="0"/>
        <w:autoSpaceDN w:val="0"/>
        <w:adjustRightInd w:val="0"/>
        <w:jc w:val="both"/>
        <w:rPr>
          <w:rFonts w:eastAsia="Calibri" w:eastAsiaTheme="minorAscii"/>
          <w:sz w:val="23"/>
          <w:szCs w:val="23"/>
          <w:lang w:val="es-PE" w:eastAsia="en-US"/>
        </w:rPr>
      </w:pPr>
      <w:r w:rsidRPr="011F44E2" w:rsidR="007A39E1">
        <w:rPr>
          <w:rFonts w:eastAsia="Calibri" w:eastAsiaTheme="minorAscii"/>
          <w:b w:val="1"/>
          <w:bCs w:val="1"/>
          <w:sz w:val="23"/>
          <w:szCs w:val="23"/>
          <w:lang w:val="es-PE" w:eastAsia="en-US"/>
        </w:rPr>
        <w:t xml:space="preserve">Cuarto: </w:t>
      </w:r>
      <w:r w:rsidRPr="011F44E2" w:rsidR="007A39E1">
        <w:rPr>
          <w:rFonts w:eastAsia="Calibri" w:eastAsiaTheme="minorAscii"/>
          <w:sz w:val="23"/>
          <w:szCs w:val="23"/>
          <w:lang w:val="es-PE" w:eastAsia="en-US"/>
        </w:rPr>
        <w:t xml:space="preserve">Sin perjuicio de lo señalado precedentemente, como en tantos otros casos, se exhorta nuevamente a </w:t>
      </w:r>
      <w:r w:rsidRPr="011F44E2" w:rsidR="2FC9D809">
        <w:rPr>
          <w:rFonts w:eastAsia="Calibri" w:eastAsiaTheme="minorAscii"/>
          <w:sz w:val="23"/>
          <w:szCs w:val="23"/>
          <w:lang w:val="es-PE" w:eastAsia="en-US"/>
        </w:rPr>
        <w:t>...................................</w:t>
      </w:r>
      <w:r w:rsidRPr="011F44E2" w:rsidR="007A39E1">
        <w:rPr>
          <w:rFonts w:eastAsia="Calibri" w:eastAsiaTheme="minorAscii"/>
          <w:sz w:val="23"/>
          <w:szCs w:val="23"/>
          <w:lang w:val="es-PE" w:eastAsia="en-US"/>
        </w:rPr>
        <w:t xml:space="preserve"> para que cuide de cumplir oportunamente con la presentación de sus descargos y de la documentación requerida. </w:t>
      </w:r>
    </w:p>
    <w:p w:rsidRPr="009067A0" w:rsidR="001B2315" w:rsidP="007A39E1" w:rsidRDefault="001B2315" w14:paraId="195EF1CC" w14:textId="77777777">
      <w:pPr>
        <w:autoSpaceDE w:val="0"/>
        <w:autoSpaceDN w:val="0"/>
        <w:adjustRightInd w:val="0"/>
        <w:jc w:val="both"/>
        <w:rPr>
          <w:rFonts w:eastAsiaTheme="minorHAnsi"/>
          <w:sz w:val="23"/>
          <w:szCs w:val="23"/>
          <w:lang w:val="es-PE" w:eastAsia="en-US"/>
        </w:rPr>
      </w:pPr>
    </w:p>
    <w:p w:rsidRPr="009067A0" w:rsidR="007A39E1" w:rsidP="007A39E1" w:rsidRDefault="007A39E1" w14:paraId="3AEDDE39" w14:textId="77777777">
      <w:pPr>
        <w:autoSpaceDE w:val="0"/>
        <w:autoSpaceDN w:val="0"/>
        <w:adjustRightInd w:val="0"/>
        <w:jc w:val="both"/>
        <w:rPr>
          <w:rFonts w:eastAsiaTheme="minorHAnsi"/>
          <w:sz w:val="23"/>
          <w:szCs w:val="23"/>
          <w:lang w:val="es-PE" w:eastAsia="en-US"/>
        </w:rPr>
      </w:pPr>
      <w:r w:rsidRPr="009067A0">
        <w:rPr>
          <w:rFonts w:eastAsiaTheme="minorHAnsi"/>
          <w:sz w:val="23"/>
          <w:szCs w:val="23"/>
          <w:lang w:val="es-PE" w:eastAsia="en-US"/>
        </w:rPr>
        <w:t xml:space="preserve">Atendiendo a las consideraciones expresadas, este Órgano Resolutivo Unipersonal concluye su apreciación razonada y conjunta al amparo de lo establecido en su Reglamento, por lo que </w:t>
      </w:r>
    </w:p>
    <w:p w:rsidR="007A39E1" w:rsidP="007A39E1" w:rsidRDefault="007A39E1" w14:paraId="527303BA" w14:textId="77777777">
      <w:pPr>
        <w:autoSpaceDE w:val="0"/>
        <w:autoSpaceDN w:val="0"/>
        <w:adjustRightInd w:val="0"/>
        <w:jc w:val="both"/>
        <w:rPr>
          <w:rFonts w:eastAsiaTheme="minorHAnsi"/>
          <w:b/>
          <w:bCs/>
          <w:sz w:val="23"/>
          <w:szCs w:val="23"/>
          <w:lang w:val="es-PE" w:eastAsia="en-US"/>
        </w:rPr>
      </w:pPr>
    </w:p>
    <w:p w:rsidR="007A39E1" w:rsidP="007A39E1" w:rsidRDefault="007A39E1" w14:paraId="2162DA4D" w14:textId="77777777">
      <w:pPr>
        <w:autoSpaceDE w:val="0"/>
        <w:autoSpaceDN w:val="0"/>
        <w:adjustRightInd w:val="0"/>
        <w:jc w:val="both"/>
        <w:rPr>
          <w:rFonts w:eastAsiaTheme="minorHAnsi"/>
          <w:b/>
          <w:bCs/>
          <w:sz w:val="23"/>
          <w:szCs w:val="23"/>
          <w:lang w:val="es-PE" w:eastAsia="en-US"/>
        </w:rPr>
      </w:pPr>
      <w:r w:rsidRPr="009067A0">
        <w:rPr>
          <w:rFonts w:eastAsiaTheme="minorHAnsi"/>
          <w:b/>
          <w:bCs/>
          <w:sz w:val="23"/>
          <w:szCs w:val="23"/>
          <w:lang w:val="es-PE" w:eastAsia="en-US"/>
        </w:rPr>
        <w:t xml:space="preserve">SE RESUELVE: </w:t>
      </w:r>
    </w:p>
    <w:p w:rsidRPr="009067A0" w:rsidR="007A39E1" w:rsidP="007A39E1" w:rsidRDefault="007A39E1" w14:paraId="685D8CBE" w14:textId="77777777">
      <w:pPr>
        <w:autoSpaceDE w:val="0"/>
        <w:autoSpaceDN w:val="0"/>
        <w:adjustRightInd w:val="0"/>
        <w:jc w:val="both"/>
        <w:rPr>
          <w:rFonts w:eastAsiaTheme="minorHAnsi"/>
          <w:sz w:val="23"/>
          <w:szCs w:val="23"/>
          <w:lang w:val="es-PE" w:eastAsia="en-US"/>
        </w:rPr>
      </w:pPr>
    </w:p>
    <w:p w:rsidRPr="009067A0" w:rsidR="007A39E1" w:rsidP="011F44E2" w:rsidRDefault="007A39E1" w14:paraId="67ED4DE1" w14:textId="1FE1F87E">
      <w:pPr>
        <w:autoSpaceDE w:val="0"/>
        <w:autoSpaceDN w:val="0"/>
        <w:adjustRightInd w:val="0"/>
        <w:jc w:val="both"/>
        <w:rPr>
          <w:rFonts w:eastAsia="Calibri" w:eastAsiaTheme="minorAscii"/>
          <w:sz w:val="23"/>
          <w:szCs w:val="23"/>
          <w:lang w:val="es-PE" w:eastAsia="en-US"/>
        </w:rPr>
      </w:pPr>
      <w:r w:rsidRPr="011F44E2" w:rsidR="007A39E1">
        <w:rPr>
          <w:rFonts w:eastAsia="Calibri" w:eastAsiaTheme="minorAscii"/>
          <w:b w:val="1"/>
          <w:bCs w:val="1"/>
          <w:sz w:val="23"/>
          <w:szCs w:val="23"/>
          <w:lang w:val="es-PE" w:eastAsia="en-US"/>
        </w:rPr>
        <w:t xml:space="preserve">Disponer el archivamiento definitivo de la reclamación de vistos, sin pronunciamiento sobre el fondo, </w:t>
      </w:r>
      <w:r w:rsidRPr="011F44E2" w:rsidR="007A39E1">
        <w:rPr>
          <w:rFonts w:eastAsia="Calibri" w:eastAsiaTheme="minorAscii"/>
          <w:sz w:val="23"/>
          <w:szCs w:val="23"/>
          <w:lang w:val="es-PE" w:eastAsia="en-US"/>
        </w:rPr>
        <w:t xml:space="preserve">en lo seguidos por doña </w:t>
      </w:r>
      <w:r w:rsidRPr="011F44E2" w:rsidR="7ABBC021">
        <w:rPr>
          <w:rFonts w:eastAsia="Calibri" w:eastAsiaTheme="minorAscii"/>
          <w:sz w:val="23"/>
          <w:szCs w:val="23"/>
          <w:lang w:val="es-PE" w:eastAsia="en-US"/>
        </w:rPr>
        <w:t>.............................................................................</w:t>
      </w:r>
      <w:r w:rsidRPr="011F44E2" w:rsidR="007A39E1">
        <w:rPr>
          <w:rFonts w:eastAsia="Calibri" w:eastAsiaTheme="minorAscii"/>
          <w:sz w:val="23"/>
          <w:szCs w:val="23"/>
          <w:lang w:val="es-PE" w:eastAsia="en-US"/>
        </w:rPr>
        <w:t xml:space="preserve"> contra </w:t>
      </w:r>
      <w:r w:rsidRPr="011F44E2" w:rsidR="2FC9D809">
        <w:rPr>
          <w:rFonts w:eastAsia="Calibri" w:eastAsiaTheme="minorAscii"/>
          <w:sz w:val="23"/>
          <w:szCs w:val="23"/>
          <w:lang w:val="es-PE" w:eastAsia="en-US"/>
        </w:rPr>
        <w:t>...................................</w:t>
      </w:r>
      <w:r w:rsidRPr="011F44E2" w:rsidR="007A39E1">
        <w:rPr>
          <w:rFonts w:eastAsia="Calibri" w:eastAsiaTheme="minorAscii"/>
          <w:sz w:val="23"/>
          <w:szCs w:val="23"/>
          <w:lang w:val="es-PE" w:eastAsia="en-US"/>
        </w:rPr>
        <w:t xml:space="preserve">. </w:t>
      </w:r>
    </w:p>
    <w:p w:rsidRPr="007F3A41" w:rsidR="007A39E1" w:rsidP="007A39E1" w:rsidRDefault="007A39E1" w14:paraId="15D1B06B" w14:textId="77777777">
      <w:pPr>
        <w:jc w:val="right"/>
        <w:outlineLvl w:val="0"/>
        <w:rPr>
          <w:lang w:val="es-PE"/>
        </w:rPr>
      </w:pPr>
      <w:r w:rsidRPr="007F3A41">
        <w:rPr>
          <w:lang w:val="es-PE"/>
        </w:rPr>
        <w:t>Lima, 2</w:t>
      </w:r>
      <w:r>
        <w:rPr>
          <w:lang w:val="es-PE"/>
        </w:rPr>
        <w:t>4</w:t>
      </w:r>
      <w:r w:rsidRPr="007F3A41">
        <w:rPr>
          <w:lang w:val="es-PE"/>
        </w:rPr>
        <w:t xml:space="preserve"> </w:t>
      </w:r>
      <w:r w:rsidRPr="007F3A41">
        <w:t>d</w:t>
      </w:r>
      <w:r w:rsidRPr="007F3A41">
        <w:rPr>
          <w:lang w:val="es-PE"/>
        </w:rPr>
        <w:t>e agosto de 2021</w:t>
      </w:r>
    </w:p>
    <w:p w:rsidRPr="007F3A41" w:rsidR="007A39E1" w:rsidP="007A39E1" w:rsidRDefault="007A39E1" w14:paraId="2869C021" w14:textId="77777777"/>
    <w:p w:rsidR="007A39E1" w:rsidP="007A39E1" w:rsidRDefault="007A39E1" w14:paraId="7BFC81DC" w14:textId="77777777">
      <w:pPr>
        <w:autoSpaceDE w:val="0"/>
        <w:autoSpaceDN w:val="0"/>
        <w:adjustRightInd w:val="0"/>
        <w:jc w:val="both"/>
        <w:rPr>
          <w:rFonts w:eastAsiaTheme="minorHAnsi"/>
          <w:b/>
          <w:bCs/>
          <w:i/>
          <w:iCs/>
          <w:color w:val="000000"/>
          <w:sz w:val="23"/>
          <w:szCs w:val="23"/>
          <w:lang w:val="es-PE" w:eastAsia="en-US"/>
        </w:rPr>
      </w:pPr>
      <w:r w:rsidRPr="007D4B05">
        <w:rPr>
          <w:rFonts w:eastAsiaTheme="minorHAnsi"/>
          <w:b/>
          <w:bCs/>
          <w:i/>
          <w:iCs/>
          <w:color w:val="000000"/>
          <w:sz w:val="23"/>
          <w:szCs w:val="23"/>
          <w:lang w:val="es-PE" w:eastAsia="en-US"/>
        </w:rPr>
        <w:t xml:space="preserve">La Secretaría Técnica certifica que la presente resolución, al haber sido emitida por el Órgano Resolutivo Unipersonal, cuenta con el voto del vocal cuyo nombre figura al final del presente documento. </w:t>
      </w:r>
    </w:p>
    <w:p w:rsidRPr="007D4B05" w:rsidR="007A39E1" w:rsidP="007A39E1" w:rsidRDefault="007A39E1" w14:paraId="210EC6E4" w14:textId="77777777">
      <w:pPr>
        <w:autoSpaceDE w:val="0"/>
        <w:autoSpaceDN w:val="0"/>
        <w:adjustRightInd w:val="0"/>
        <w:rPr>
          <w:rFonts w:eastAsiaTheme="minorHAnsi"/>
          <w:color w:val="000000"/>
          <w:sz w:val="23"/>
          <w:szCs w:val="23"/>
          <w:lang w:val="es-PE" w:eastAsia="en-US"/>
        </w:rPr>
      </w:pPr>
    </w:p>
    <w:p w:rsidRPr="004A1B15" w:rsidR="007A39E1" w:rsidP="007A39E1" w:rsidRDefault="007A39E1" w14:paraId="4EF0D6F1" w14:textId="77777777">
      <w:pPr>
        <w:jc w:val="center"/>
        <w:rPr>
          <w:lang w:val="es-PE"/>
        </w:rPr>
      </w:pPr>
      <w:r w:rsidRPr="007D4B05">
        <w:rPr>
          <w:rFonts w:eastAsiaTheme="minorHAnsi"/>
          <w:b/>
          <w:bCs/>
          <w:color w:val="000000"/>
          <w:sz w:val="23"/>
          <w:szCs w:val="23"/>
          <w:lang w:val="es-PE" w:eastAsia="en-US"/>
        </w:rPr>
        <w:t>Marco Antonio Ortega Piana – Vocal</w:t>
      </w:r>
    </w:p>
    <w:p w:rsidRPr="004A1B15" w:rsidR="00517989" w:rsidP="011F44E2" w:rsidRDefault="000B7C53" w14:paraId="164CAA9F" w14:textId="7FE9DDEB">
      <w:pPr>
        <w:pStyle w:val="Normal"/>
        <w:jc w:val="both"/>
        <w:rPr>
          <w:rFonts w:eastAsia="Calibri" w:eastAsiaTheme="minorAscii"/>
          <w:lang w:val="es-PE" w:eastAsia="en-US"/>
        </w:rPr>
      </w:pPr>
    </w:p>
    <w:sectPr w:rsidRPr="004A1B15" w:rsidR="00517989"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669BE" w:rsidP="005F148C" w:rsidRDefault="008669BE" w14:paraId="0DFA4635" w14:textId="77777777">
      <w:r>
        <w:separator/>
      </w:r>
    </w:p>
  </w:endnote>
  <w:endnote w:type="continuationSeparator" w:id="0">
    <w:p w:rsidR="008669BE" w:rsidP="005F148C" w:rsidRDefault="008669BE" w14:paraId="7AE1C51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669BE" w:rsidP="005F148C" w:rsidRDefault="008669BE" w14:paraId="60F915DC" w14:textId="77777777">
      <w:r>
        <w:separator/>
      </w:r>
    </w:p>
  </w:footnote>
  <w:footnote w:type="continuationSeparator" w:id="0">
    <w:p w:rsidR="008669BE" w:rsidP="005F148C" w:rsidRDefault="008669BE" w14:paraId="7DD2D2E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552B53"/>
    <w:multiLevelType w:val="hybridMultilevel"/>
    <w:tmpl w:val="0C42C0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7" w15:restartNumberingAfterBreak="0">
    <w:nsid w:val="1100572A"/>
    <w:multiLevelType w:val="hybridMultilevel"/>
    <w:tmpl w:val="918AEF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18496432"/>
    <w:multiLevelType w:val="hybridMultilevel"/>
    <w:tmpl w:val="C9C88902"/>
    <w:lvl w:ilvl="0" w:tplc="942E52CC">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19354892"/>
    <w:multiLevelType w:val="hybridMultilevel"/>
    <w:tmpl w:val="8080427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4" w15:restartNumberingAfterBreak="0">
    <w:nsid w:val="38071216"/>
    <w:multiLevelType w:val="hybridMultilevel"/>
    <w:tmpl w:val="227415F2"/>
    <w:lvl w:ilvl="0" w:tplc="555E527E">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5"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2DB2071"/>
    <w:multiLevelType w:val="hybridMultilevel"/>
    <w:tmpl w:val="0BBA5AF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47EC7C1E"/>
    <w:multiLevelType w:val="hybridMultilevel"/>
    <w:tmpl w:val="97D8A08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D8417AE"/>
    <w:multiLevelType w:val="hybridMultilevel"/>
    <w:tmpl w:val="61CC33FA"/>
    <w:lvl w:ilvl="0" w:tplc="52A29E6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7"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9"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D832ABA"/>
    <w:multiLevelType w:val="hybridMultilevel"/>
    <w:tmpl w:val="F03840BA"/>
    <w:lvl w:ilvl="0" w:tplc="A796B7C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4"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19353E4"/>
    <w:multiLevelType w:val="hybridMultilevel"/>
    <w:tmpl w:val="DD1AB2B0"/>
    <w:lvl w:ilvl="0" w:tplc="C282B23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7"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7CD82D90"/>
    <w:multiLevelType w:val="hybridMultilevel"/>
    <w:tmpl w:val="5CC8002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6"/>
  </w:num>
  <w:num w:numId="2">
    <w:abstractNumId w:val="28"/>
  </w:num>
  <w:num w:numId="3">
    <w:abstractNumId w:val="15"/>
  </w:num>
  <w:num w:numId="4">
    <w:abstractNumId w:val="31"/>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3"/>
  </w:num>
  <w:num w:numId="11">
    <w:abstractNumId w:val="39"/>
  </w:num>
  <w:num w:numId="12">
    <w:abstractNumId w:val="23"/>
  </w:num>
  <w:num w:numId="13">
    <w:abstractNumId w:val="36"/>
  </w:num>
  <w:num w:numId="14">
    <w:abstractNumId w:val="20"/>
  </w:num>
  <w:num w:numId="15">
    <w:abstractNumId w:val="21"/>
  </w:num>
  <w:num w:numId="16">
    <w:abstractNumId w:val="34"/>
  </w:num>
  <w:num w:numId="17">
    <w:abstractNumId w:val="16"/>
  </w:num>
  <w:num w:numId="18">
    <w:abstractNumId w:val="29"/>
  </w:num>
  <w:num w:numId="19">
    <w:abstractNumId w:val="12"/>
  </w:num>
  <w:num w:numId="20">
    <w:abstractNumId w:val="25"/>
  </w:num>
  <w:num w:numId="21">
    <w:abstractNumId w:val="37"/>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0"/>
  </w:num>
  <w:num w:numId="25">
    <w:abstractNumId w:val="27"/>
  </w:num>
  <w:num w:numId="26">
    <w:abstractNumId w:val="8"/>
  </w:num>
  <w:num w:numId="27">
    <w:abstractNumId w:val="11"/>
  </w:num>
  <w:num w:numId="28">
    <w:abstractNumId w:val="32"/>
  </w:num>
  <w:num w:numId="29">
    <w:abstractNumId w:val="4"/>
  </w:num>
  <w:num w:numId="30">
    <w:abstractNumId w:val="22"/>
  </w:num>
  <w:num w:numId="31">
    <w:abstractNumId w:val="10"/>
  </w:num>
  <w:num w:numId="32">
    <w:abstractNumId w:val="35"/>
  </w:num>
  <w:num w:numId="33">
    <w:abstractNumId w:val="1"/>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num>
  <w:num w:numId="36">
    <w:abstractNumId w:val="17"/>
  </w:num>
  <w:num w:numId="37">
    <w:abstractNumId w:val="38"/>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num>
  <w:num w:numId="4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B7F"/>
    <w:rsid w:val="000155B3"/>
    <w:rsid w:val="00020318"/>
    <w:rsid w:val="00026017"/>
    <w:rsid w:val="00032526"/>
    <w:rsid w:val="00035CCC"/>
    <w:rsid w:val="00045C71"/>
    <w:rsid w:val="00046046"/>
    <w:rsid w:val="00052190"/>
    <w:rsid w:val="00084E51"/>
    <w:rsid w:val="00087C49"/>
    <w:rsid w:val="00094DDA"/>
    <w:rsid w:val="000A6362"/>
    <w:rsid w:val="000B7C53"/>
    <w:rsid w:val="000C443A"/>
    <w:rsid w:val="000D2700"/>
    <w:rsid w:val="000D588E"/>
    <w:rsid w:val="000F2C43"/>
    <w:rsid w:val="00103188"/>
    <w:rsid w:val="001163F8"/>
    <w:rsid w:val="00117F86"/>
    <w:rsid w:val="00131FAD"/>
    <w:rsid w:val="00140C67"/>
    <w:rsid w:val="001454A5"/>
    <w:rsid w:val="001631D6"/>
    <w:rsid w:val="001824DC"/>
    <w:rsid w:val="0019100A"/>
    <w:rsid w:val="00195646"/>
    <w:rsid w:val="001A3593"/>
    <w:rsid w:val="001A6663"/>
    <w:rsid w:val="001B2315"/>
    <w:rsid w:val="001B5AC4"/>
    <w:rsid w:val="001B6408"/>
    <w:rsid w:val="001B6607"/>
    <w:rsid w:val="001C2B16"/>
    <w:rsid w:val="001D01FD"/>
    <w:rsid w:val="001E1429"/>
    <w:rsid w:val="001E6B7D"/>
    <w:rsid w:val="001F004E"/>
    <w:rsid w:val="001F1C40"/>
    <w:rsid w:val="0020442B"/>
    <w:rsid w:val="00233ED8"/>
    <w:rsid w:val="002370F4"/>
    <w:rsid w:val="00270FE8"/>
    <w:rsid w:val="002808CA"/>
    <w:rsid w:val="00281026"/>
    <w:rsid w:val="002A2188"/>
    <w:rsid w:val="002B14D5"/>
    <w:rsid w:val="002D3B64"/>
    <w:rsid w:val="002E35A4"/>
    <w:rsid w:val="002E708C"/>
    <w:rsid w:val="00304A8F"/>
    <w:rsid w:val="00316A1B"/>
    <w:rsid w:val="0032570B"/>
    <w:rsid w:val="003361A7"/>
    <w:rsid w:val="00355856"/>
    <w:rsid w:val="00387D41"/>
    <w:rsid w:val="00395B94"/>
    <w:rsid w:val="003977C8"/>
    <w:rsid w:val="003A7726"/>
    <w:rsid w:val="003B46E3"/>
    <w:rsid w:val="003B4770"/>
    <w:rsid w:val="003B5737"/>
    <w:rsid w:val="003D02CA"/>
    <w:rsid w:val="003E0C15"/>
    <w:rsid w:val="003E140C"/>
    <w:rsid w:val="003E4270"/>
    <w:rsid w:val="003E6BA6"/>
    <w:rsid w:val="00401DE3"/>
    <w:rsid w:val="00417664"/>
    <w:rsid w:val="00417E23"/>
    <w:rsid w:val="004248A1"/>
    <w:rsid w:val="00431FC8"/>
    <w:rsid w:val="00455A27"/>
    <w:rsid w:val="00467825"/>
    <w:rsid w:val="004749DF"/>
    <w:rsid w:val="00477D05"/>
    <w:rsid w:val="004832BF"/>
    <w:rsid w:val="004854D9"/>
    <w:rsid w:val="00486F58"/>
    <w:rsid w:val="004A1B15"/>
    <w:rsid w:val="004A5F55"/>
    <w:rsid w:val="004E4182"/>
    <w:rsid w:val="004E50D6"/>
    <w:rsid w:val="004F1C73"/>
    <w:rsid w:val="00516549"/>
    <w:rsid w:val="00531FBE"/>
    <w:rsid w:val="00577AEB"/>
    <w:rsid w:val="0058358B"/>
    <w:rsid w:val="005A027E"/>
    <w:rsid w:val="005C5922"/>
    <w:rsid w:val="005D1456"/>
    <w:rsid w:val="005E0FE6"/>
    <w:rsid w:val="005F1349"/>
    <w:rsid w:val="005F148C"/>
    <w:rsid w:val="006024A3"/>
    <w:rsid w:val="00647AEE"/>
    <w:rsid w:val="00651449"/>
    <w:rsid w:val="00691CFB"/>
    <w:rsid w:val="0069382D"/>
    <w:rsid w:val="006A1077"/>
    <w:rsid w:val="006B6FAF"/>
    <w:rsid w:val="006B75CA"/>
    <w:rsid w:val="006D33B8"/>
    <w:rsid w:val="007224F7"/>
    <w:rsid w:val="00734447"/>
    <w:rsid w:val="00742D07"/>
    <w:rsid w:val="007474DB"/>
    <w:rsid w:val="00782489"/>
    <w:rsid w:val="007906A4"/>
    <w:rsid w:val="00791676"/>
    <w:rsid w:val="00793F6A"/>
    <w:rsid w:val="007A01AE"/>
    <w:rsid w:val="007A3050"/>
    <w:rsid w:val="007A39E1"/>
    <w:rsid w:val="007B49ED"/>
    <w:rsid w:val="007B7EE4"/>
    <w:rsid w:val="007C2FC5"/>
    <w:rsid w:val="007C3730"/>
    <w:rsid w:val="007D353F"/>
    <w:rsid w:val="007D4B05"/>
    <w:rsid w:val="007E6272"/>
    <w:rsid w:val="007F3A41"/>
    <w:rsid w:val="00834B23"/>
    <w:rsid w:val="00834DFE"/>
    <w:rsid w:val="00835D6A"/>
    <w:rsid w:val="00852F98"/>
    <w:rsid w:val="00864800"/>
    <w:rsid w:val="00865B73"/>
    <w:rsid w:val="008669BE"/>
    <w:rsid w:val="00881041"/>
    <w:rsid w:val="00892A1F"/>
    <w:rsid w:val="008930FB"/>
    <w:rsid w:val="00895FF5"/>
    <w:rsid w:val="008A1DAB"/>
    <w:rsid w:val="008A67AB"/>
    <w:rsid w:val="008D0547"/>
    <w:rsid w:val="008F7427"/>
    <w:rsid w:val="009067A0"/>
    <w:rsid w:val="0092266A"/>
    <w:rsid w:val="00923C62"/>
    <w:rsid w:val="009262B6"/>
    <w:rsid w:val="00934888"/>
    <w:rsid w:val="009767BB"/>
    <w:rsid w:val="00977F56"/>
    <w:rsid w:val="009A7580"/>
    <w:rsid w:val="009B3934"/>
    <w:rsid w:val="009C28AE"/>
    <w:rsid w:val="009C4A1C"/>
    <w:rsid w:val="00A14315"/>
    <w:rsid w:val="00A223FC"/>
    <w:rsid w:val="00A23563"/>
    <w:rsid w:val="00A23970"/>
    <w:rsid w:val="00A5654F"/>
    <w:rsid w:val="00A80BAD"/>
    <w:rsid w:val="00A827BD"/>
    <w:rsid w:val="00AC68FA"/>
    <w:rsid w:val="00AC7D5A"/>
    <w:rsid w:val="00AD3FBD"/>
    <w:rsid w:val="00AE33DC"/>
    <w:rsid w:val="00AE40BA"/>
    <w:rsid w:val="00AF799A"/>
    <w:rsid w:val="00B04114"/>
    <w:rsid w:val="00B04AE3"/>
    <w:rsid w:val="00B158E7"/>
    <w:rsid w:val="00B17F4D"/>
    <w:rsid w:val="00B436C9"/>
    <w:rsid w:val="00B5211F"/>
    <w:rsid w:val="00B60E25"/>
    <w:rsid w:val="00B773DA"/>
    <w:rsid w:val="00B84B2B"/>
    <w:rsid w:val="00B84F66"/>
    <w:rsid w:val="00BA6133"/>
    <w:rsid w:val="00BC6134"/>
    <w:rsid w:val="00BC633A"/>
    <w:rsid w:val="00BD5FD0"/>
    <w:rsid w:val="00C01AB2"/>
    <w:rsid w:val="00C11655"/>
    <w:rsid w:val="00C168CE"/>
    <w:rsid w:val="00C21994"/>
    <w:rsid w:val="00C41210"/>
    <w:rsid w:val="00C52AF0"/>
    <w:rsid w:val="00C81329"/>
    <w:rsid w:val="00C85630"/>
    <w:rsid w:val="00C94B19"/>
    <w:rsid w:val="00C9752A"/>
    <w:rsid w:val="00CA4FD6"/>
    <w:rsid w:val="00CB344A"/>
    <w:rsid w:val="00CB451A"/>
    <w:rsid w:val="00CB7C37"/>
    <w:rsid w:val="00CF3742"/>
    <w:rsid w:val="00D128FF"/>
    <w:rsid w:val="00D15C1E"/>
    <w:rsid w:val="00D66808"/>
    <w:rsid w:val="00D86E87"/>
    <w:rsid w:val="00D9006E"/>
    <w:rsid w:val="00D9027C"/>
    <w:rsid w:val="00D92FA2"/>
    <w:rsid w:val="00DC7958"/>
    <w:rsid w:val="00E06DE2"/>
    <w:rsid w:val="00E138FB"/>
    <w:rsid w:val="00E1668B"/>
    <w:rsid w:val="00E17CD0"/>
    <w:rsid w:val="00E206AF"/>
    <w:rsid w:val="00E21C09"/>
    <w:rsid w:val="00E35821"/>
    <w:rsid w:val="00E72B86"/>
    <w:rsid w:val="00E908BC"/>
    <w:rsid w:val="00EA1FBC"/>
    <w:rsid w:val="00EB0F07"/>
    <w:rsid w:val="00EE20A1"/>
    <w:rsid w:val="00EE5E23"/>
    <w:rsid w:val="00EF4FF0"/>
    <w:rsid w:val="00F029DD"/>
    <w:rsid w:val="00F1075C"/>
    <w:rsid w:val="00F1515F"/>
    <w:rsid w:val="00F15FBA"/>
    <w:rsid w:val="00F202DC"/>
    <w:rsid w:val="00F42DC6"/>
    <w:rsid w:val="00F465F7"/>
    <w:rsid w:val="00F62606"/>
    <w:rsid w:val="00F71D17"/>
    <w:rsid w:val="00F74CEA"/>
    <w:rsid w:val="00F75307"/>
    <w:rsid w:val="00F802EF"/>
    <w:rsid w:val="00F85B78"/>
    <w:rsid w:val="00F97A17"/>
    <w:rsid w:val="00FB2156"/>
    <w:rsid w:val="00FC2FA6"/>
    <w:rsid w:val="00FF6FA8"/>
    <w:rsid w:val="011F44E2"/>
    <w:rsid w:val="1D922C32"/>
    <w:rsid w:val="2965F211"/>
    <w:rsid w:val="2FC9D809"/>
    <w:rsid w:val="363A2F59"/>
    <w:rsid w:val="4C68A648"/>
    <w:rsid w:val="58847DF0"/>
    <w:rsid w:val="7ABBC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912096">
      <w:bodyDiv w:val="1"/>
      <w:marLeft w:val="0"/>
      <w:marRight w:val="0"/>
      <w:marTop w:val="0"/>
      <w:marBottom w:val="0"/>
      <w:divBdr>
        <w:top w:val="none" w:sz="0" w:space="0" w:color="auto"/>
        <w:left w:val="none" w:sz="0" w:space="0" w:color="auto"/>
        <w:bottom w:val="none" w:sz="0" w:space="0" w:color="auto"/>
        <w:right w:val="none" w:sz="0" w:space="0" w:color="auto"/>
      </w:divBdr>
    </w:div>
    <w:div w:id="515847636">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96C97B3-B46D-4898-8DF1-71AEC1678765}"/>
</file>

<file path=customXml/itemProps3.xml><?xml version="1.0" encoding="utf-8"?>
<ds:datastoreItem xmlns:ds="http://schemas.openxmlformats.org/officeDocument/2006/customXml" ds:itemID="{57EA630F-DF0F-4AFA-A22C-B3AB9E82FF7D}"/>
</file>

<file path=customXml/itemProps4.xml><?xml version="1.0" encoding="utf-8"?>
<ds:datastoreItem xmlns:ds="http://schemas.openxmlformats.org/officeDocument/2006/customXml" ds:itemID="{9558E348-8480-4D37-8409-2F9684B19C6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88</cp:revision>
  <cp:lastPrinted>2021-08-23T18:36:00Z</cp:lastPrinted>
  <dcterms:created xsi:type="dcterms:W3CDTF">2020-12-18T20:09:00Z</dcterms:created>
  <dcterms:modified xsi:type="dcterms:W3CDTF">2026-01-29T17:11:53Z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