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A5CF8" w:rsidR="00F15FBA" w:rsidP="00026017" w:rsidRDefault="00F15FBA" w14:paraId="6EF5AEAB" w14:textId="17272D13">
      <w:pPr>
        <w:pStyle w:val="Ttulo"/>
        <w:outlineLvl w:val="0"/>
        <w:rPr>
          <w:lang w:val="es-PE"/>
        </w:rPr>
      </w:pPr>
      <w:r w:rsidRPr="004A5CF8">
        <w:rPr>
          <w:lang w:val="es-PE"/>
        </w:rPr>
        <w:t xml:space="preserve">RESOLUCIÓN </w:t>
      </w:r>
      <w:proofErr w:type="spellStart"/>
      <w:r w:rsidRPr="004A5CF8">
        <w:rPr>
          <w:lang w:val="es-PE"/>
        </w:rPr>
        <w:t>N</w:t>
      </w:r>
      <w:r w:rsidRPr="004A5CF8" w:rsidR="001631D6">
        <w:rPr>
          <w:lang w:val="es-PE"/>
        </w:rPr>
        <w:t>°</w:t>
      </w:r>
      <w:proofErr w:type="spellEnd"/>
      <w:r w:rsidRPr="004A5CF8" w:rsidR="001631D6">
        <w:rPr>
          <w:lang w:val="es-PE"/>
        </w:rPr>
        <w:t xml:space="preserve"> </w:t>
      </w:r>
      <w:r w:rsidRPr="004A5CF8" w:rsidR="00160F6F">
        <w:rPr>
          <w:lang w:val="es-PE"/>
        </w:rPr>
        <w:t>1</w:t>
      </w:r>
      <w:r w:rsidRPr="004A5CF8" w:rsidR="00CB4665">
        <w:rPr>
          <w:lang w:val="es-PE"/>
        </w:rPr>
        <w:t>50</w:t>
      </w:r>
      <w:r w:rsidRPr="004A5CF8" w:rsidR="001631D6">
        <w:rPr>
          <w:lang w:val="es-PE"/>
        </w:rPr>
        <w:t>/2</w:t>
      </w:r>
      <w:r w:rsidRPr="004A5CF8" w:rsidR="003E6BA6">
        <w:rPr>
          <w:lang w:val="es-PE"/>
        </w:rPr>
        <w:t>1</w:t>
      </w:r>
    </w:p>
    <w:p w:rsidRPr="004A5CF8" w:rsidR="00C94B19" w:rsidP="00C94B19" w:rsidRDefault="00C94B19" w14:paraId="3247FB63" w14:textId="77777777">
      <w:pPr>
        <w:rPr>
          <w:b/>
        </w:rPr>
      </w:pPr>
    </w:p>
    <w:p w:rsidRPr="004A5CF8" w:rsidR="004A5CF8" w:rsidP="004A5CF8" w:rsidRDefault="004A5CF8" w14:paraId="38284245" w14:textId="77777777">
      <w:pPr>
        <w:rPr>
          <w:b/>
        </w:rPr>
      </w:pPr>
      <w:r w:rsidRPr="004A5CF8">
        <w:rPr>
          <w:b/>
        </w:rPr>
        <w:t>VISTOS:</w:t>
      </w:r>
    </w:p>
    <w:p w:rsidRPr="004A5CF8" w:rsidR="004A5CF8" w:rsidP="004A5CF8" w:rsidRDefault="004A5CF8" w14:paraId="7B831420" w14:textId="77777777">
      <w:pPr>
        <w:jc w:val="both"/>
      </w:pPr>
    </w:p>
    <w:p w:rsidRPr="004A5CF8" w:rsidR="004A5CF8" w:rsidP="004A5CF8" w:rsidRDefault="004A5CF8" w14:paraId="6EA7FF44" w14:textId="048EF789">
      <w:pPr>
        <w:jc w:val="both"/>
        <w:rPr>
          <w:b w:val="1"/>
          <w:bCs w:val="1"/>
          <w:lang w:val="es-MX"/>
        </w:rPr>
      </w:pPr>
      <w:r w:rsidR="004A5CF8">
        <w:rPr/>
        <w:t xml:space="preserve">La reclamación presentada ante esta Defensoría del Asegurado (DEFASEG) por </w:t>
      </w:r>
      <w:r w:rsidRPr="000E6CE4" w:rsidR="34967444">
        <w:rPr>
          <w:b w:val="1"/>
          <w:bCs w:val="1"/>
          <w:lang w:val="es-MX"/>
        </w:rPr>
        <w:t>...............................................................................................</w:t>
      </w:r>
      <w:r w:rsidRPr="000E6CE4" w:rsidR="004A5CF8">
        <w:rPr>
          <w:b w:val="1"/>
          <w:bCs w:val="1"/>
          <w:lang w:val="es-MX"/>
        </w:rPr>
        <w:t xml:space="preserve"> </w:t>
      </w:r>
      <w:r w:rsidR="004A5CF8">
        <w:rPr/>
        <w:t xml:space="preserve">contra </w:t>
      </w:r>
      <w:r w:rsidRPr="000E6CE4" w:rsidR="65E5BE89">
        <w:rPr>
          <w:b w:val="1"/>
          <w:bCs w:val="1"/>
          <w:lang w:val="es-MX"/>
        </w:rPr>
        <w:t>..........................................</w:t>
      </w:r>
      <w:r w:rsidRPr="000E6CE4" w:rsidR="004A5CF8">
        <w:rPr>
          <w:lang w:val="es-MX"/>
        </w:rPr>
        <w:t xml:space="preserve">, con relación a los </w:t>
      </w:r>
      <w:r w:rsidRPr="000E6CE4" w:rsidR="004A5CF8">
        <w:rPr>
          <w:b w:val="1"/>
          <w:bCs w:val="1"/>
          <w:lang w:val="es-MX"/>
        </w:rPr>
        <w:t xml:space="preserve">SEGUROS DE DESGRAVAMEN – PÓLIZA No </w:t>
      </w:r>
      <w:r w:rsidRPr="000E6CE4" w:rsidR="4BD25382">
        <w:rPr>
          <w:b w:val="1"/>
          <w:bCs w:val="1"/>
          <w:lang w:val="es-MX"/>
        </w:rPr>
        <w:t>.........</w:t>
      </w:r>
      <w:r w:rsidRPr="000E6CE4" w:rsidR="004A5CF8">
        <w:rPr>
          <w:b w:val="1"/>
          <w:bCs w:val="1"/>
          <w:lang w:val="es-MX"/>
        </w:rPr>
        <w:t xml:space="preserve"> TC VISA/AMEX, No </w:t>
      </w:r>
      <w:r w:rsidRPr="000E6CE4" w:rsidR="33225730">
        <w:rPr>
          <w:b w:val="1"/>
          <w:bCs w:val="1"/>
          <w:lang w:val="es-MX"/>
        </w:rPr>
        <w:t>.............</w:t>
      </w:r>
      <w:r w:rsidRPr="000E6CE4" w:rsidR="004A5CF8">
        <w:rPr>
          <w:b w:val="1"/>
          <w:bCs w:val="1"/>
          <w:lang w:val="es-MX"/>
        </w:rPr>
        <w:t xml:space="preserve"> CRÉDITO ACTIVO FIJO </w:t>
      </w:r>
      <w:r w:rsidRPr="000E6CE4" w:rsidR="0A66645C">
        <w:rPr>
          <w:b w:val="1"/>
          <w:bCs w:val="1"/>
          <w:lang w:val="es-MX"/>
        </w:rPr>
        <w:t>....................................</w:t>
      </w:r>
      <w:r w:rsidRPr="000E6CE4" w:rsidR="004A5CF8">
        <w:rPr>
          <w:b w:val="1"/>
          <w:bCs w:val="1"/>
          <w:lang w:val="es-MX"/>
        </w:rPr>
        <w:t xml:space="preserve"> y No </w:t>
      </w:r>
      <w:r w:rsidRPr="000E6CE4" w:rsidR="4367D870">
        <w:rPr>
          <w:b w:val="1"/>
          <w:bCs w:val="1"/>
          <w:lang w:val="es-MX"/>
        </w:rPr>
        <w:t>...........</w:t>
      </w:r>
      <w:r w:rsidRPr="000E6CE4" w:rsidR="004A5CF8">
        <w:rPr>
          <w:b w:val="1"/>
          <w:bCs w:val="1"/>
          <w:lang w:val="es-MX"/>
        </w:rPr>
        <w:t xml:space="preserve"> CRÉDITO ACTIVO </w:t>
      </w:r>
      <w:r w:rsidRPr="000E6CE4" w:rsidR="39810470">
        <w:rPr>
          <w:b w:val="1"/>
          <w:bCs w:val="1"/>
          <w:lang w:val="es-MX"/>
        </w:rPr>
        <w:t>....................................</w:t>
      </w:r>
      <w:r w:rsidR="004A5CF8">
        <w:rPr/>
        <w:t>;</w:t>
      </w:r>
    </w:p>
    <w:p w:rsidRPr="004A5CF8" w:rsidR="004A5CF8" w:rsidP="004A5CF8" w:rsidRDefault="004A5CF8" w14:paraId="3DF8C66B" w14:textId="77777777">
      <w:pPr>
        <w:jc w:val="both"/>
        <w:rPr>
          <w:rFonts w:eastAsia="Arial Unicode MS"/>
        </w:rPr>
      </w:pPr>
    </w:p>
    <w:p w:rsidRPr="004A5CF8" w:rsidR="004A5CF8" w:rsidP="004A5CF8" w:rsidRDefault="004A5CF8" w14:paraId="0BE0D44F" w14:textId="77777777">
      <w:pPr>
        <w:jc w:val="both"/>
        <w:rPr>
          <w:rFonts w:eastAsia="Arial Unicode MS"/>
        </w:rPr>
      </w:pPr>
      <w:r w:rsidRPr="004A5CF8">
        <w:rPr>
          <w:rFonts w:eastAsia="Arial Unicode MS"/>
        </w:rPr>
        <w:t>Que, la señalada reclamación cumple con los requisitos de materia, cuantía y oportunidad establecidos en el Reglamento de la DEFASEG (</w:t>
      </w:r>
      <w:hyperlink w:history="1" r:id="rId8">
        <w:r w:rsidRPr="004A5CF8">
          <w:rPr>
            <w:rStyle w:val="Hipervnculo"/>
            <w:rFonts w:eastAsia="Arial Unicode MS"/>
          </w:rPr>
          <w:t>http://www.defaseg.com.pe/reglamento</w:t>
        </w:r>
      </w:hyperlink>
      <w:r w:rsidRPr="004A5CF8">
        <w:rPr>
          <w:rFonts w:eastAsia="Arial Unicode MS"/>
        </w:rPr>
        <w:t>);</w:t>
      </w:r>
    </w:p>
    <w:p w:rsidRPr="004A5CF8" w:rsidR="004A5CF8" w:rsidP="004A5CF8" w:rsidRDefault="004A5CF8" w14:paraId="4B3DA195" w14:textId="77777777">
      <w:pPr>
        <w:jc w:val="both"/>
        <w:rPr>
          <w:rFonts w:eastAsia="Arial Unicode MS"/>
        </w:rPr>
      </w:pPr>
    </w:p>
    <w:p w:rsidRPr="004A5CF8" w:rsidR="004A5CF8" w:rsidP="004A5CF8" w:rsidRDefault="004A5CF8" w14:paraId="166CA487" w14:textId="3B664F5E">
      <w:pPr>
        <w:tabs>
          <w:tab w:val="num" w:pos="720"/>
        </w:tabs>
        <w:jc w:val="both"/>
      </w:pPr>
      <w:r w:rsidR="004A5CF8">
        <w:rPr/>
        <w:t xml:space="preserve">Que, habiéndosele corrido traslado de la respectiva reclamación, </w:t>
      </w:r>
      <w:r w:rsidRPr="000E6CE4" w:rsidR="65E5BE89">
        <w:rPr>
          <w:lang w:val="es-MX"/>
        </w:rPr>
        <w:t>..........................................</w:t>
      </w:r>
      <w:r w:rsidRPr="000E6CE4" w:rsidR="004A5CF8">
        <w:rPr>
          <w:b w:val="1"/>
          <w:bCs w:val="1"/>
          <w:lang w:val="es-MX"/>
        </w:rPr>
        <w:t xml:space="preserve"> </w:t>
      </w:r>
      <w:r w:rsidR="004A5CF8">
        <w:rPr/>
        <w:t>cumplió con presentar sus respectivos descargos;</w:t>
      </w:r>
    </w:p>
    <w:p w:rsidRPr="004A5CF8" w:rsidR="004A5CF8" w:rsidP="004A5CF8" w:rsidRDefault="004A5CF8" w14:paraId="60F088E3" w14:textId="77777777">
      <w:pPr>
        <w:tabs>
          <w:tab w:val="num" w:pos="720"/>
        </w:tabs>
        <w:jc w:val="both"/>
      </w:pPr>
    </w:p>
    <w:p w:rsidR="004A5CF8" w:rsidP="004A5CF8" w:rsidRDefault="004A5CF8" w14:paraId="1AA36102" w14:textId="17B19E29">
      <w:pPr>
        <w:tabs>
          <w:tab w:val="num" w:pos="720"/>
        </w:tabs>
        <w:jc w:val="both"/>
      </w:pPr>
      <w:r w:rsidRPr="004A5CF8">
        <w:t>Que, el 23 de agosto de 2021 se realizó la audiencia de vista en entorno virtual, con la participación sólo de la reclamante, quien tuvo oportunidad de exponer su posición tratándose de la materia reclamada, absolviendo las diversas preguntas que les fueron formuladas;</w:t>
      </w:r>
    </w:p>
    <w:p w:rsidRPr="004A5CF8" w:rsidR="004A5CF8" w:rsidP="004A5CF8" w:rsidRDefault="004A5CF8" w14:paraId="140D3C46" w14:textId="77777777">
      <w:pPr>
        <w:tabs>
          <w:tab w:val="num" w:pos="720"/>
        </w:tabs>
        <w:jc w:val="both"/>
      </w:pPr>
    </w:p>
    <w:p w:rsidRPr="004A5CF8" w:rsidR="004A5CF8" w:rsidP="004A5CF8" w:rsidRDefault="004A5CF8" w14:paraId="08CD5170" w14:textId="77777777">
      <w:pPr>
        <w:jc w:val="both"/>
        <w:rPr>
          <w:lang w:val="es-MX"/>
        </w:rPr>
      </w:pPr>
      <w:r w:rsidRPr="004A5CF8">
        <w:t>Que, la reclamación se sustenta principalmente lo siguiente: (1)</w:t>
      </w:r>
      <w:r w:rsidRPr="004A5CF8">
        <w:rPr>
          <w:lang w:val="es-MX"/>
        </w:rPr>
        <w:t xml:space="preserve"> su madre no </w:t>
      </w:r>
      <w:r w:rsidRPr="004A5CF8">
        <w:rPr>
          <w:color w:val="000000"/>
          <w:lang w:val="es-PE" w:eastAsia="es-PE"/>
        </w:rPr>
        <w:t xml:space="preserve">falleció producto del cáncer, ya que, si bien tuvo esa enfermedad, esta no fue la causa del fallecimiento; (2) el 25 de junio del 2019, la asegurada viajó a China como lo hace todos los años para comprar mercadería, y lo hizo en buenas condiciones, de lo contrario no hubiese viajado; (3) a los dos días, producto de la comida, padeció unos cólicos que no le pasaban, posteriormente le dio fiebre y luego escalofríos, los doctores dijeron en ese momento que era pancreatitis, y que como no lo pudieron determinar a tiempo se le estaba complicando con otros órganos; (4) poco a poco se complicó más, al extremo de que se complicaron los pulmones y otros órganos. Su madre fue trasladada a otro hospital el 12 de julio (Hospital </w:t>
      </w:r>
      <w:proofErr w:type="spellStart"/>
      <w:r w:rsidRPr="004A5CF8">
        <w:rPr>
          <w:color w:val="000000"/>
          <w:lang w:val="es-PE" w:eastAsia="es-PE"/>
        </w:rPr>
        <w:t>Shulan</w:t>
      </w:r>
      <w:proofErr w:type="spellEnd"/>
      <w:r w:rsidRPr="004A5CF8">
        <w:rPr>
          <w:color w:val="000000"/>
          <w:lang w:val="es-PE" w:eastAsia="es-PE"/>
        </w:rPr>
        <w:t xml:space="preserve"> de Hangzhou) debido a que en el 1er hospital no tenía los médicos especializados. En ese primer hospital la tuvieron todo el tiempo sin alimentos, porque decían que era pancreatitis y así se trataba. Cuando llego al segundo hospital le dijeron que muy tarde la habían traído, que deberían de haberla tratado a tiempo y que solo se limitaron a mantenerla, ya estaba comprometido varios órganos; (5) su madre falleció el 17 de julio de 2019 en la ciudad de Hangzhou-China; (6) si su madre hubiese fallecido de cáncer, ya hubiese presentado los sistemas antes de viajar y no hubiese viajado tan lejos, ya que al estar tan lejos todos los gastos los asumieron los familiares; (7) el doctor autorizó el viaje, indicando que el linfoma que tenía estaba controlado, es decir no activo y que con eso iba a vivir toda la vida.</w:t>
      </w:r>
    </w:p>
    <w:p w:rsidRPr="004A5CF8" w:rsidR="004A5CF8" w:rsidP="004A5CF8" w:rsidRDefault="004A5CF8" w14:paraId="47B9E2A5" w14:textId="77777777">
      <w:pPr>
        <w:jc w:val="both"/>
        <w:rPr>
          <w:bCs/>
        </w:rPr>
      </w:pPr>
    </w:p>
    <w:p w:rsidRPr="004A5CF8" w:rsidR="004A5CF8" w:rsidP="004A5CF8" w:rsidRDefault="004A5CF8" w14:paraId="4138AD2E" w14:textId="67E93850">
      <w:pPr>
        <w:jc w:val="both"/>
        <w:rPr>
          <w:lang w:val="es-MX"/>
        </w:rPr>
      </w:pPr>
      <w:r w:rsidR="004A5CF8">
        <w:rPr/>
        <w:t>Que, por su parte, el rechazo de cobertura se fundamenta resumidamente en lo siguiente: (1)</w:t>
      </w:r>
      <w:r w:rsidRPr="000E6CE4" w:rsidR="004A5CF8">
        <w:rPr>
          <w:lang w:val="es-MX"/>
        </w:rPr>
        <w:t xml:space="preserve"> </w:t>
      </w:r>
      <w:r w:rsidR="004A5CF8">
        <w:rPr/>
        <w:t xml:space="preserve">el fallecimiento de la asegurada no se encuentra cubierto bajo las condiciones de las pólizas contratadas, porque de la documentación enviada se evidencia que la enfermedad que fue la causa de la muerte se diagnosticó antes del inicio de vigencia de las pólizas, por lo que se trata de una enfermedad preexistente, condición que se encuentra dentro de los riesgos no cubiertos por las pólizas de desgravamen contratadas; (2) </w:t>
      </w:r>
      <w:r w:rsidRPr="000E6CE4" w:rsidR="004A5CF8">
        <w:rPr>
          <w:lang w:val="es-PE" w:eastAsia="es-PE"/>
        </w:rPr>
        <w:t xml:space="preserve">conforme al certificado de defunción, la asegurada falleció el 17 de julio de 201, siendo la causa básica del fallecimiento </w:t>
      </w:r>
      <w:r w:rsidRPr="000E6CE4" w:rsidR="004A5CF8">
        <w:rPr>
          <w:lang w:val="es-PE" w:eastAsia="es-PE"/>
        </w:rPr>
        <w:t xml:space="preserve">Linfoma; (3) en la ficha de atención médica se hace referencia al Linfoma desde el 2015; (4) la asegurada contrató, con fecha 05 de febrero de 2016, la Tarjeta de Crédito </w:t>
      </w:r>
      <w:r w:rsidRPr="000E6CE4" w:rsidR="004A5CF8">
        <w:rPr>
          <w:lang w:val="es-PE" w:eastAsia="es-PE"/>
        </w:rPr>
        <w:t>N°</w:t>
      </w:r>
      <w:r w:rsidRPr="000E6CE4" w:rsidR="004A5CF8">
        <w:rPr>
          <w:lang w:val="es-PE" w:eastAsia="es-PE"/>
        </w:rPr>
        <w:t xml:space="preserve"> </w:t>
      </w:r>
      <w:r w:rsidRPr="000E6CE4" w:rsidR="0B2ED3EC">
        <w:rPr>
          <w:lang w:val="es-PE" w:eastAsia="es-PE"/>
        </w:rPr>
        <w:t>..............................................</w:t>
      </w:r>
      <w:r w:rsidRPr="000E6CE4" w:rsidR="004A5CF8">
        <w:rPr>
          <w:lang w:val="es-PE" w:eastAsia="es-PE"/>
        </w:rPr>
        <w:t xml:space="preserve"> afiliándose al Seguro de Desgravamen </w:t>
      </w:r>
      <w:r w:rsidRPr="000E6CE4" w:rsidR="004A5CF8">
        <w:rPr>
          <w:lang w:val="es-PE" w:eastAsia="es-PE"/>
        </w:rPr>
        <w:t>Nº</w:t>
      </w:r>
      <w:r w:rsidRPr="000E6CE4" w:rsidR="004A5CF8">
        <w:rPr>
          <w:lang w:val="es-PE" w:eastAsia="es-PE"/>
        </w:rPr>
        <w:t xml:space="preserve"> </w:t>
      </w:r>
      <w:r w:rsidRPr="000E6CE4" w:rsidR="4BD25382">
        <w:rPr>
          <w:lang w:val="es-PE" w:eastAsia="es-PE"/>
        </w:rPr>
        <w:t>.........</w:t>
      </w:r>
      <w:r w:rsidRPr="000E6CE4" w:rsidR="004A5CF8">
        <w:rPr>
          <w:lang w:val="es-PE" w:eastAsia="es-PE"/>
        </w:rPr>
        <w:t xml:space="preserve">; con fecha 27 de diciembre de 2017, un Crédito Negocio Activo Fijo </w:t>
      </w:r>
      <w:r w:rsidRPr="000E6CE4" w:rsidR="004A5CF8">
        <w:rPr>
          <w:lang w:val="es-PE" w:eastAsia="es-PE"/>
        </w:rPr>
        <w:t>N°</w:t>
      </w:r>
      <w:r w:rsidRPr="000E6CE4" w:rsidR="004A5CF8">
        <w:rPr>
          <w:lang w:val="es-PE" w:eastAsia="es-PE"/>
        </w:rPr>
        <w:t xml:space="preserve"> </w:t>
      </w:r>
      <w:r w:rsidRPr="000E6CE4" w:rsidR="0A66645C">
        <w:rPr>
          <w:lang w:val="es-PE" w:eastAsia="es-PE"/>
        </w:rPr>
        <w:t>....................................</w:t>
      </w:r>
      <w:r w:rsidRPr="000E6CE4" w:rsidR="004A5CF8">
        <w:rPr>
          <w:lang w:val="es-PE" w:eastAsia="es-PE"/>
        </w:rPr>
        <w:t xml:space="preserve">, afiliándose al Seguro de Desgravamen </w:t>
      </w:r>
      <w:r w:rsidRPr="000E6CE4" w:rsidR="004A5CF8">
        <w:rPr>
          <w:lang w:val="es-PE" w:eastAsia="es-PE"/>
        </w:rPr>
        <w:t>Nº</w:t>
      </w:r>
      <w:r w:rsidRPr="000E6CE4" w:rsidR="004A5CF8">
        <w:rPr>
          <w:lang w:val="es-PE" w:eastAsia="es-PE"/>
        </w:rPr>
        <w:t xml:space="preserve"> </w:t>
      </w:r>
      <w:r w:rsidRPr="000E6CE4" w:rsidR="33225730">
        <w:rPr>
          <w:lang w:val="es-PE" w:eastAsia="es-PE"/>
        </w:rPr>
        <w:t>.............</w:t>
      </w:r>
      <w:r w:rsidRPr="000E6CE4" w:rsidR="004A5CF8">
        <w:rPr>
          <w:lang w:val="es-PE" w:eastAsia="es-PE"/>
        </w:rPr>
        <w:t xml:space="preserve">; y, con fecha 16 de julio de 2019, un Crédito Negocio Activo Fijo </w:t>
      </w:r>
      <w:r w:rsidRPr="000E6CE4" w:rsidR="004A5CF8">
        <w:rPr>
          <w:lang w:val="es-PE" w:eastAsia="es-PE"/>
        </w:rPr>
        <w:t>N°</w:t>
      </w:r>
      <w:r w:rsidRPr="000E6CE4" w:rsidR="004A5CF8">
        <w:rPr>
          <w:lang w:val="es-PE" w:eastAsia="es-PE"/>
        </w:rPr>
        <w:t xml:space="preserve"> </w:t>
      </w:r>
      <w:r w:rsidRPr="000E6CE4" w:rsidR="39810470">
        <w:rPr>
          <w:lang w:val="es-PE" w:eastAsia="es-PE"/>
        </w:rPr>
        <w:t>....................................</w:t>
      </w:r>
      <w:r w:rsidRPr="000E6CE4" w:rsidR="004A5CF8">
        <w:rPr>
          <w:lang w:val="es-PE" w:eastAsia="es-PE"/>
        </w:rPr>
        <w:t xml:space="preserve">, afiliándose al Seguro de Desgravamen </w:t>
      </w:r>
      <w:r w:rsidRPr="000E6CE4" w:rsidR="004A5CF8">
        <w:rPr>
          <w:lang w:val="es-PE" w:eastAsia="es-PE"/>
        </w:rPr>
        <w:t>N°</w:t>
      </w:r>
      <w:r w:rsidRPr="000E6CE4" w:rsidR="004A5CF8">
        <w:rPr>
          <w:lang w:val="es-PE" w:eastAsia="es-PE"/>
        </w:rPr>
        <w:t xml:space="preserve"> </w:t>
      </w:r>
      <w:r w:rsidRPr="000E6CE4" w:rsidR="33225730">
        <w:rPr>
          <w:lang w:val="es-PE" w:eastAsia="es-PE"/>
        </w:rPr>
        <w:t>.............</w:t>
      </w:r>
      <w:r w:rsidRPr="000E6CE4" w:rsidR="004A5CF8">
        <w:rPr>
          <w:lang w:val="es-PE" w:eastAsia="es-PE"/>
        </w:rPr>
        <w:t xml:space="preserve">; (5) la asegurada tuvo tenía conocimiento desde un primer momento de las condiciones del Seguro de Desgravamen, es así que aceptó todo lo establecido consignado debidamente su firma; (6) conforme a la ficha de atención médica de fecha 14 de marzo de 2019, la asegurada padecía de Linfoma Hodgkin con un tiempo de 04 años, es decir desde el año 2015; (7) </w:t>
      </w:r>
      <w:r w:rsidR="004A5CF8">
        <w:rPr/>
        <w:t>conforme al certificado de defunción, la causa del fallecimiento fue por Shock Séptico, Linfoma</w:t>
      </w:r>
    </w:p>
    <w:p w:rsidRPr="004A5CF8" w:rsidR="004A5CF8" w:rsidP="004A5CF8" w:rsidRDefault="004A5CF8" w14:paraId="3658A45D" w14:textId="77777777">
      <w:pPr>
        <w:tabs>
          <w:tab w:val="left" w:pos="2160"/>
        </w:tabs>
        <w:jc w:val="both"/>
        <w:rPr>
          <w:lang w:val="es-MX"/>
        </w:rPr>
      </w:pPr>
    </w:p>
    <w:p w:rsidRPr="004A5CF8" w:rsidR="004A5CF8" w:rsidP="004A5CF8" w:rsidRDefault="004A5CF8" w14:paraId="01A657C9" w14:textId="77777777">
      <w:pPr>
        <w:spacing w:after="200" w:line="20" w:lineRule="atLeast"/>
        <w:jc w:val="both"/>
        <w:rPr>
          <w:rFonts w:eastAsia="Calibri"/>
          <w:b/>
          <w:lang w:val="es-PE" w:eastAsia="en-US"/>
        </w:rPr>
      </w:pPr>
      <w:r w:rsidRPr="004A5CF8">
        <w:rPr>
          <w:rFonts w:eastAsia="Calibri"/>
          <w:b/>
          <w:lang w:val="es-PE" w:eastAsia="en-US"/>
        </w:rPr>
        <w:t xml:space="preserve">CONSIDERANDO: </w:t>
      </w:r>
    </w:p>
    <w:p w:rsidRPr="004A5CF8" w:rsidR="004A5CF8" w:rsidP="004A5CF8" w:rsidRDefault="004A5CF8" w14:paraId="65825EE2" w14:textId="77777777">
      <w:pPr>
        <w:jc w:val="both"/>
      </w:pPr>
      <w:r w:rsidRPr="004A5CF8">
        <w:rPr>
          <w:b/>
          <w:u w:val="single"/>
        </w:rPr>
        <w:t>PRIMERO</w:t>
      </w:r>
      <w:r w:rsidRPr="004A5CF8">
        <w:t>: Conforme a su reglamento, la</w:t>
      </w:r>
      <w:r w:rsidRPr="004A5CF8">
        <w:rPr>
          <w:b/>
          <w:bCs/>
        </w:rPr>
        <w:t xml:space="preserve"> </w:t>
      </w:r>
      <w:r w:rsidRPr="004A5CF8">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4A5CF8" w:rsidR="004A5CF8" w:rsidP="004A5CF8" w:rsidRDefault="004A5CF8" w14:paraId="557EEC07" w14:textId="77777777">
      <w:pPr>
        <w:jc w:val="both"/>
      </w:pPr>
    </w:p>
    <w:p w:rsidRPr="004A5CF8" w:rsidR="004A5CF8" w:rsidP="004A5CF8" w:rsidRDefault="004A5CF8" w14:paraId="0131AB61" w14:textId="77777777">
      <w:pPr>
        <w:jc w:val="both"/>
        <w:rPr>
          <w:rStyle w:val="Textoennegrita"/>
          <w:b w:val="0"/>
        </w:rPr>
      </w:pPr>
      <w:r w:rsidRPr="004A5CF8">
        <w:rPr>
          <w:b/>
          <w:u w:val="single"/>
        </w:rPr>
        <w:t>SEGUNDO</w:t>
      </w:r>
      <w:r w:rsidRPr="004A5CF8">
        <w:t xml:space="preserve">: Asimismo, </w:t>
      </w:r>
      <w:proofErr w:type="gramStart"/>
      <w:r w:rsidRPr="004A5CF8">
        <w:t>de acuerdo a</w:t>
      </w:r>
      <w:proofErr w:type="gramEnd"/>
      <w:r w:rsidRPr="004A5CF8">
        <w:t xml:space="preserve"> </w:t>
      </w:r>
      <w:r w:rsidRPr="004A5CF8">
        <w:rPr>
          <w:rStyle w:val="Textoennegrita"/>
          <w:b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4A5CF8" w:rsidR="004A5CF8" w:rsidP="004A5CF8" w:rsidRDefault="004A5CF8" w14:paraId="69884BC1" w14:textId="77777777">
      <w:pPr>
        <w:jc w:val="both"/>
        <w:rPr>
          <w:rStyle w:val="Textoennegrita"/>
          <w:b w:val="0"/>
        </w:rPr>
      </w:pPr>
    </w:p>
    <w:p w:rsidRPr="004A5CF8" w:rsidR="004A5CF8" w:rsidP="004A5CF8" w:rsidRDefault="004A5CF8" w14:paraId="2CCF08B4" w14:textId="77777777">
      <w:pPr>
        <w:jc w:val="both"/>
      </w:pPr>
      <w:r w:rsidRPr="004A5CF8">
        <w:rPr>
          <w:rStyle w:val="Textoennegrita"/>
        </w:rPr>
        <w:t>TERCERO:</w:t>
      </w:r>
      <w:r w:rsidRPr="004A5CF8">
        <w:t xml:space="preserve"> Que, de acuerdo a la Ley Nro. 29946 – Ley del Contrato de Seguro, norma legal vigente con ocasión de la celebración del contrato al cual se contrae el presente caso,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A5CF8" w:rsidR="004A5CF8" w:rsidP="004A5CF8" w:rsidRDefault="004A5CF8" w14:paraId="1D8D9B50" w14:textId="77777777">
      <w:pPr>
        <w:jc w:val="both"/>
      </w:pPr>
    </w:p>
    <w:p w:rsidRPr="004A5CF8" w:rsidR="004A5CF8" w:rsidP="004A5CF8" w:rsidRDefault="004A5CF8" w14:paraId="5C8C0F32" w14:textId="77777777">
      <w:pPr>
        <w:jc w:val="both"/>
      </w:pPr>
      <w:r w:rsidRPr="004A5CF8">
        <w:rPr>
          <w:b/>
          <w:u w:val="single"/>
        </w:rPr>
        <w:t>CUARTO</w:t>
      </w:r>
      <w:r w:rsidRPr="004A5CF8">
        <w:rPr>
          <w:b/>
        </w:rPr>
        <w:t>:</w:t>
      </w:r>
      <w:r w:rsidRPr="004A5CF8">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4A5CF8" w:rsidR="004A5CF8" w:rsidP="004A5CF8" w:rsidRDefault="004A5CF8" w14:paraId="042FE7C8" w14:textId="77777777">
      <w:pPr>
        <w:jc w:val="both"/>
        <w:rPr>
          <w:b/>
          <w:u w:val="single"/>
        </w:rPr>
      </w:pPr>
    </w:p>
    <w:p w:rsidRPr="004A5CF8" w:rsidR="004A5CF8" w:rsidP="004A5CF8" w:rsidRDefault="004A5CF8" w14:paraId="3CDB8560" w14:textId="77777777">
      <w:pPr>
        <w:jc w:val="both"/>
      </w:pPr>
      <w:r w:rsidRPr="004A5CF8">
        <w:rPr>
          <w:rStyle w:val="Textoennegrita"/>
        </w:rPr>
        <w:t>QUINTO:</w:t>
      </w:r>
      <w:r w:rsidRPr="004A5CF8">
        <w:rPr>
          <w:rStyle w:val="Textoennegrita"/>
          <w:b w:val="0"/>
        </w:rPr>
        <w:t xml:space="preserve"> Que, de acuerdo con el ar</w:t>
      </w:r>
      <w:r w:rsidRPr="004A5CF8">
        <w:t>tículo 196 del Código Procesal Civil, la carga de la prueba corresponde a quien afirma hechos que configuran su pretensión, o a quien los contradice alegando nuevos hechos, salvo disposición legal diferente.</w:t>
      </w:r>
    </w:p>
    <w:p w:rsidRPr="004A5CF8" w:rsidR="004A5CF8" w:rsidP="004A5CF8" w:rsidRDefault="004A5CF8" w14:paraId="4C9883AC" w14:textId="77777777">
      <w:pPr>
        <w:jc w:val="both"/>
        <w:rPr>
          <w:lang w:val="es-MX"/>
        </w:rPr>
      </w:pPr>
    </w:p>
    <w:p w:rsidRPr="004A5CF8" w:rsidR="004A5CF8" w:rsidP="004A5CF8" w:rsidRDefault="004A5CF8" w14:paraId="1200487C" w14:textId="77777777">
      <w:pPr>
        <w:spacing w:after="200" w:line="20" w:lineRule="atLeast"/>
        <w:jc w:val="both"/>
        <w:rPr>
          <w:rFonts w:eastAsia="Calibri"/>
          <w:lang w:val="es-MX" w:eastAsia="en-US"/>
        </w:rPr>
      </w:pPr>
      <w:r w:rsidRPr="004A5CF8">
        <w:rPr>
          <w:rFonts w:eastAsia="Calibri"/>
          <w:b/>
          <w:u w:val="single"/>
          <w:lang w:val="es-PE" w:eastAsia="en-US"/>
        </w:rPr>
        <w:t>SEXTO</w:t>
      </w:r>
      <w:r w:rsidRPr="004A5CF8">
        <w:rPr>
          <w:rFonts w:eastAsia="Calibri"/>
          <w:b/>
          <w:lang w:val="es-PE" w:eastAsia="en-US"/>
        </w:rPr>
        <w:t>:</w:t>
      </w:r>
      <w:r w:rsidRPr="004A5CF8">
        <w:rPr>
          <w:rFonts w:eastAsia="Calibri"/>
          <w:lang w:val="es-PE" w:eastAsia="en-US"/>
        </w:rPr>
        <w:t xml:space="preserve"> Que, conforme a los términos del rechazo, así como a la reclamación y su absolución, como a lo tratado en la audiencia de vista, la solución de la presente controversia consiste en determinar si el rechazo de la aseguradora es legítimo o no.</w:t>
      </w:r>
    </w:p>
    <w:p w:rsidRPr="004A5CF8" w:rsidR="004A5CF8" w:rsidP="004A5CF8" w:rsidRDefault="004A5CF8" w14:paraId="2FE97F36" w14:textId="77777777">
      <w:pPr>
        <w:spacing w:after="200" w:line="20" w:lineRule="atLeast"/>
        <w:jc w:val="both"/>
        <w:rPr>
          <w:rFonts w:eastAsia="Calibri"/>
          <w:lang w:val="es-MX" w:eastAsia="en-US"/>
        </w:rPr>
      </w:pPr>
      <w:r w:rsidRPr="004A5CF8">
        <w:rPr>
          <w:rFonts w:eastAsia="Calibri"/>
          <w:b/>
          <w:u w:val="single"/>
          <w:lang w:val="es-MX" w:eastAsia="en-US"/>
        </w:rPr>
        <w:lastRenderedPageBreak/>
        <w:t>SÉTIMO</w:t>
      </w:r>
      <w:r w:rsidRPr="004A5CF8">
        <w:rPr>
          <w:rFonts w:eastAsia="Calibri"/>
          <w:lang w:val="es-MX" w:eastAsia="en-US"/>
        </w:rPr>
        <w:t>: A este efecto, cabe notar que el rechazo se fundamenta en la invocación de una causal de exclusión, esto es, la existencia de enfermedad preexistente.</w:t>
      </w:r>
    </w:p>
    <w:p w:rsidRPr="004A5CF8" w:rsidR="004A5CF8" w:rsidP="004A5CF8" w:rsidRDefault="004A5CF8" w14:paraId="2BC1FD01" w14:textId="77777777">
      <w:pPr>
        <w:spacing w:after="200" w:line="20" w:lineRule="atLeast"/>
        <w:jc w:val="both"/>
        <w:rPr>
          <w:rFonts w:eastAsia="Calibri"/>
          <w:lang w:val="es-MX" w:eastAsia="en-US"/>
        </w:rPr>
      </w:pPr>
      <w:r w:rsidRPr="004A5CF8">
        <w:rPr>
          <w:rFonts w:eastAsia="Calibri"/>
          <w:lang w:val="es-MX" w:eastAsia="en-US"/>
        </w:rPr>
        <w:t xml:space="preserve">En el presente caso, no es un hecho controvertido que la asegurada padecía de </w:t>
      </w:r>
      <w:r w:rsidRPr="004A5CF8">
        <w:rPr>
          <w:lang w:val="es-PE" w:eastAsia="es-PE"/>
        </w:rPr>
        <w:t>Linfoma Hodgkin desde el año 2015,</w:t>
      </w:r>
      <w:r w:rsidRPr="004A5CF8">
        <w:rPr>
          <w:rFonts w:eastAsia="Calibri"/>
          <w:lang w:val="es-MX" w:eastAsia="en-US"/>
        </w:rPr>
        <w:t xml:space="preserve"> es decir, con anterioridad a su ingreso a las Pólizas en cuestión.</w:t>
      </w:r>
    </w:p>
    <w:p w:rsidRPr="004A5CF8" w:rsidR="004A5CF8" w:rsidP="004A5CF8" w:rsidRDefault="004A5CF8" w14:paraId="4C13E6A8" w14:textId="77777777">
      <w:pPr>
        <w:spacing w:after="200" w:line="20" w:lineRule="atLeast"/>
        <w:jc w:val="both"/>
        <w:rPr>
          <w:rFonts w:eastAsia="Calibri"/>
          <w:lang w:val="es-MX" w:eastAsia="en-US"/>
        </w:rPr>
      </w:pPr>
      <w:r w:rsidRPr="004A5CF8">
        <w:rPr>
          <w:rFonts w:eastAsia="Calibri"/>
          <w:lang w:val="es-MX" w:eastAsia="en-US"/>
        </w:rPr>
        <w:t>La materia de discusión radica en establecer si tal circunstancia configura en los términos de dicha póliza un supuesto de exclusión de cobertura.</w:t>
      </w:r>
    </w:p>
    <w:p w:rsidRPr="004A5CF8" w:rsidR="004A5CF8" w:rsidP="004A5CF8" w:rsidRDefault="004A5CF8" w14:paraId="328485F6" w14:textId="77777777">
      <w:pPr>
        <w:spacing w:after="200" w:line="20" w:lineRule="atLeast"/>
        <w:jc w:val="both"/>
        <w:rPr>
          <w:rFonts w:eastAsia="Calibri"/>
          <w:lang w:val="es-MX" w:eastAsia="en-US"/>
        </w:rPr>
      </w:pPr>
      <w:r w:rsidRPr="004A5CF8">
        <w:rPr>
          <w:rFonts w:eastAsia="Calibri"/>
          <w:lang w:val="es-MX" w:eastAsia="en-US"/>
        </w:rPr>
        <w:t xml:space="preserve">A este efecto, corresponde analizar los términos convenidos por las partes al configurar el evento que determina un riesgo excluido de cobertura. </w:t>
      </w:r>
    </w:p>
    <w:p w:rsidRPr="004A5CF8" w:rsidR="004A5CF8" w:rsidP="004A5CF8" w:rsidRDefault="004A5CF8" w14:paraId="2113FA6C" w14:textId="77777777">
      <w:pPr>
        <w:spacing w:after="200" w:line="20" w:lineRule="atLeast"/>
        <w:jc w:val="both"/>
        <w:rPr>
          <w:rFonts w:eastAsia="Calibri"/>
          <w:lang w:val="es-MX" w:eastAsia="en-US"/>
        </w:rPr>
      </w:pPr>
      <w:r w:rsidRPr="004A5CF8">
        <w:rPr>
          <w:rFonts w:eastAsia="Calibri"/>
          <w:lang w:val="es-MX" w:eastAsia="en-US"/>
        </w:rPr>
        <w:t xml:space="preserve">Conforme a la cláusula sexta sobre exclusiones, dicho pacto muestra dos fases de delimitación: </w:t>
      </w:r>
    </w:p>
    <w:p w:rsidRPr="004A5CF8" w:rsidR="004A5CF8" w:rsidP="004A5CF8" w:rsidRDefault="004A5CF8" w14:paraId="167AC2B9" w14:textId="77777777">
      <w:pPr>
        <w:numPr>
          <w:ilvl w:val="0"/>
          <w:numId w:val="5"/>
        </w:numPr>
        <w:spacing w:after="200" w:line="20" w:lineRule="atLeast"/>
        <w:jc w:val="both"/>
        <w:rPr>
          <w:rFonts w:eastAsia="Calibri"/>
          <w:lang w:val="es-MX" w:eastAsia="en-US"/>
        </w:rPr>
      </w:pPr>
      <w:r w:rsidRPr="004A5CF8">
        <w:rPr>
          <w:rFonts w:eastAsia="Calibri"/>
          <w:lang w:val="es-MX" w:eastAsia="en-US"/>
        </w:rPr>
        <w:t xml:space="preserve">Una </w:t>
      </w:r>
      <w:r w:rsidRPr="004A5CF8">
        <w:rPr>
          <w:rFonts w:eastAsia="Calibri"/>
          <w:b/>
          <w:lang w:val="es-MX" w:eastAsia="en-US"/>
        </w:rPr>
        <w:t>enunciativa</w:t>
      </w:r>
      <w:r w:rsidRPr="004A5CF8">
        <w:rPr>
          <w:rFonts w:eastAsia="Calibri"/>
          <w:lang w:val="es-MX" w:eastAsia="en-US"/>
        </w:rPr>
        <w:t xml:space="preserve"> donde se individualiza en cada inciso, la naturaleza del evento que se considera un hecho que se coloca fuera del amparo, como ocurre al describir en el inciso a) qué se entiende por “Enfermedad Preexistente”.</w:t>
      </w:r>
    </w:p>
    <w:p w:rsidRPr="004A5CF8" w:rsidR="004A5CF8" w:rsidP="004A5CF8" w:rsidRDefault="004A5CF8" w14:paraId="7E8D039A" w14:textId="77777777">
      <w:pPr>
        <w:numPr>
          <w:ilvl w:val="0"/>
          <w:numId w:val="5"/>
        </w:numPr>
        <w:spacing w:after="200" w:line="20" w:lineRule="atLeast"/>
        <w:jc w:val="both"/>
        <w:rPr>
          <w:rFonts w:eastAsia="Calibri"/>
          <w:lang w:val="es-MX" w:eastAsia="en-US"/>
        </w:rPr>
      </w:pPr>
      <w:r w:rsidRPr="004A5CF8">
        <w:rPr>
          <w:rFonts w:eastAsia="Calibri"/>
          <w:lang w:val="es-MX" w:eastAsia="en-US"/>
        </w:rPr>
        <w:t xml:space="preserve">Una </w:t>
      </w:r>
      <w:r w:rsidRPr="004A5CF8">
        <w:rPr>
          <w:rFonts w:eastAsia="Calibri"/>
          <w:b/>
          <w:lang w:val="es-MX" w:eastAsia="en-US"/>
        </w:rPr>
        <w:t>causal</w:t>
      </w:r>
      <w:r w:rsidRPr="004A5CF8">
        <w:rPr>
          <w:rFonts w:eastAsia="Calibri"/>
          <w:lang w:val="es-MX" w:eastAsia="en-US"/>
        </w:rPr>
        <w:t xml:space="preserve">, donde se establece la condición que debe presentarse para </w:t>
      </w:r>
      <w:proofErr w:type="gramStart"/>
      <w:r w:rsidRPr="004A5CF8">
        <w:rPr>
          <w:rFonts w:eastAsia="Calibri"/>
          <w:lang w:val="es-MX" w:eastAsia="en-US"/>
        </w:rPr>
        <w:t>que  las</w:t>
      </w:r>
      <w:proofErr w:type="gramEnd"/>
      <w:r w:rsidRPr="004A5CF8">
        <w:rPr>
          <w:rFonts w:eastAsia="Calibri"/>
          <w:lang w:val="es-MX" w:eastAsia="en-US"/>
        </w:rPr>
        <w:t xml:space="preserve"> situaciones individualizadas en cada inciso adquieran esencia como causal de no cobertura.</w:t>
      </w:r>
    </w:p>
    <w:p w:rsidRPr="004A5CF8" w:rsidR="004A5CF8" w:rsidP="004A5CF8" w:rsidRDefault="004A5CF8" w14:paraId="02D02755" w14:textId="77777777">
      <w:pPr>
        <w:spacing w:after="200" w:line="20" w:lineRule="atLeast"/>
        <w:jc w:val="both"/>
        <w:rPr>
          <w:rFonts w:eastAsia="Calibri"/>
          <w:lang w:val="es-MX" w:eastAsia="en-US"/>
        </w:rPr>
      </w:pPr>
      <w:r w:rsidRPr="004A5CF8">
        <w:rPr>
          <w:rFonts w:eastAsia="Calibri"/>
          <w:lang w:val="es-MX" w:eastAsia="en-US"/>
        </w:rPr>
        <w:t>En este último caso, se trata de una delimitación causal de los supuestos de exclusión, consistente en la mención de la hipótesis de hecho que debe constituir la causa del siniestro, para que los riesgos individualizados en cada inciso configuren una exclusión de cobertura. De tal forma que es necesario establecer si el hecho excluido ha sido o no la causa que ha provocado el daño que configura la pretensión de siniestro bajo cobertura.</w:t>
      </w:r>
    </w:p>
    <w:p w:rsidR="004A5CF8" w:rsidP="5CAC1444" w:rsidRDefault="004A5CF8" w14:paraId="77D781CB" w14:textId="1AD0CBAE">
      <w:pPr>
        <w:spacing w:after="200" w:line="20" w:lineRule="atLeast"/>
        <w:jc w:val="both"/>
        <w:rPr>
          <w:rFonts w:eastAsia="Calibri"/>
          <w:b w:val="1"/>
          <w:bCs w:val="1"/>
          <w:i w:val="1"/>
          <w:iCs w:val="1"/>
          <w:lang w:val="es-MX" w:eastAsia="en-US"/>
        </w:rPr>
      </w:pPr>
      <w:r w:rsidRPr="5CAC1444" w:rsidR="004A5CF8">
        <w:rPr>
          <w:rFonts w:eastAsia="Calibri"/>
          <w:lang w:val="es-MX" w:eastAsia="en-US"/>
        </w:rPr>
        <w:t>De acuerdo a</w:t>
      </w:r>
      <w:r w:rsidRPr="5CAC1444" w:rsidR="004A5CF8">
        <w:rPr>
          <w:rFonts w:eastAsia="Calibri"/>
          <w:lang w:val="es-MX" w:eastAsia="en-US"/>
        </w:rPr>
        <w:t xml:space="preserve"> la cláusula </w:t>
      </w:r>
      <w:r w:rsidRPr="5CAC1444" w:rsidR="004A5CF8">
        <w:rPr>
          <w:rFonts w:eastAsia="Calibri"/>
          <w:lang w:val="es-MX" w:eastAsia="en-US"/>
        </w:rPr>
        <w:t>décimo tercera</w:t>
      </w:r>
      <w:r w:rsidRPr="5CAC1444" w:rsidR="004A5CF8">
        <w:rPr>
          <w:rFonts w:eastAsia="Calibri"/>
          <w:lang w:val="es-MX" w:eastAsia="en-US"/>
        </w:rPr>
        <w:t xml:space="preserve"> invocada por la aseguradora, la delimitación causal de las exclusiones está prevista en los siguientes términos: </w:t>
      </w:r>
    </w:p>
    <w:p w:rsidR="01B28126" w:rsidP="5CAC1444" w:rsidRDefault="01B28126" w14:paraId="4387A969" w14:textId="40761E11">
      <w:pPr>
        <w:spacing w:after="200" w:line="20" w:lineRule="atLeast"/>
        <w:jc w:val="both"/>
      </w:pPr>
      <w:r w:rsidR="01B28126">
        <w:rPr/>
        <w:t>.....................................................................................................................................</w:t>
      </w:r>
    </w:p>
    <w:p w:rsidRPr="004A5CF8" w:rsidR="004A5CF8" w:rsidP="004A5CF8" w:rsidRDefault="004A5CF8" w14:paraId="3611DFFF" w14:textId="77777777">
      <w:pPr>
        <w:spacing w:after="200" w:line="20" w:lineRule="atLeast"/>
        <w:jc w:val="both"/>
        <w:rPr>
          <w:rFonts w:eastAsia="Calibri"/>
          <w:lang w:val="es-MX" w:eastAsia="en-US"/>
        </w:rPr>
      </w:pPr>
      <w:r w:rsidRPr="004A5CF8">
        <w:rPr>
          <w:rFonts w:eastAsia="Calibri"/>
          <w:lang w:val="es-MX" w:eastAsia="en-US"/>
        </w:rPr>
        <w:t>En el presente caso, la cláusula no ha sido pre redactada en términos amplios, es decir que incluya tanto el fallecimiento como consecuencia directa o indirecta de la enfermedad preexistente.</w:t>
      </w:r>
    </w:p>
    <w:p w:rsidRPr="004A5CF8" w:rsidR="004A5CF8" w:rsidP="004A5CF8" w:rsidRDefault="004A5CF8" w14:paraId="66CB0739" w14:textId="77777777">
      <w:pPr>
        <w:spacing w:after="200" w:line="20" w:lineRule="atLeast"/>
        <w:jc w:val="both"/>
        <w:rPr>
          <w:rFonts w:eastAsia="Calibri"/>
          <w:lang w:val="es-MX" w:eastAsia="en-US"/>
        </w:rPr>
      </w:pPr>
      <w:r w:rsidRPr="004A5CF8">
        <w:rPr>
          <w:rFonts w:eastAsia="Calibri"/>
          <w:lang w:val="es-MX" w:eastAsia="en-US"/>
        </w:rPr>
        <w:t>Para el Colegiado resulta claro que la Póliza contiene una delimitación causal de las exclusiones en términos de un nexo causal “</w:t>
      </w:r>
      <w:r w:rsidRPr="004A5CF8">
        <w:rPr>
          <w:rFonts w:eastAsia="Calibri"/>
          <w:b/>
          <w:lang w:val="es-MX" w:eastAsia="en-US"/>
        </w:rPr>
        <w:t>directo</w:t>
      </w:r>
      <w:r w:rsidRPr="004A5CF8">
        <w:rPr>
          <w:rFonts w:eastAsia="Calibri"/>
          <w:lang w:val="es-MX" w:eastAsia="en-US"/>
        </w:rPr>
        <w:t xml:space="preserve">”. Ello importa que la cláusula considera causa no a toda la cadena de eventos antecedentes, concurrentes, sucesivos que se presentan durante la generación del daño asegurado, sino sólo aquél que, con criterio temporal, se halla más próximo al resultado dañoso, de manera que el resto de </w:t>
      </w:r>
      <w:proofErr w:type="gramStart"/>
      <w:r w:rsidRPr="004A5CF8">
        <w:rPr>
          <w:rFonts w:eastAsia="Calibri"/>
          <w:lang w:val="es-MX" w:eastAsia="en-US"/>
        </w:rPr>
        <w:t>hechos</w:t>
      </w:r>
      <w:proofErr w:type="gramEnd"/>
      <w:r w:rsidRPr="004A5CF8">
        <w:rPr>
          <w:rFonts w:eastAsia="Calibri"/>
          <w:lang w:val="es-MX" w:eastAsia="en-US"/>
        </w:rPr>
        <w:t xml:space="preserve"> son simples condiciones, esto es, una circunstancia que preexiste o coexiste con la única causa que es considerada como la que produce el daño asegurado.</w:t>
      </w:r>
    </w:p>
    <w:p w:rsidRPr="004A5CF8" w:rsidR="004A5CF8" w:rsidP="004A5CF8" w:rsidRDefault="004A5CF8" w14:paraId="15E1061A" w14:textId="77777777">
      <w:pPr>
        <w:spacing w:after="200" w:line="20" w:lineRule="atLeast"/>
        <w:jc w:val="both"/>
        <w:rPr>
          <w:rFonts w:eastAsia="Calibri"/>
          <w:lang w:val="es-MX" w:eastAsia="en-US"/>
        </w:rPr>
      </w:pPr>
      <w:r w:rsidRPr="004A5CF8">
        <w:rPr>
          <w:rFonts w:eastAsia="Calibri"/>
          <w:lang w:val="es-MX" w:eastAsia="en-US"/>
        </w:rPr>
        <w:t xml:space="preserve">En ese sentido, tal como ha sido redactada la cláusula por la aseguradora, ésta atribuye como causa del siniestro al último suceso con el que aparece conectado el daño asegurado de forma </w:t>
      </w:r>
      <w:r w:rsidRPr="004A5CF8">
        <w:rPr>
          <w:rFonts w:eastAsia="Calibri"/>
          <w:lang w:val="es-MX" w:eastAsia="en-US"/>
        </w:rPr>
        <w:lastRenderedPageBreak/>
        <w:t>directa, de manera tal que los demás hechos que, por ser indirectos resultan remotos, al influir lejanamente en la producción del daño, devienen en condiciones y por tanto son irrelevantes para fines de excluir la cobertura.</w:t>
      </w:r>
    </w:p>
    <w:p w:rsidRPr="004A5CF8" w:rsidR="004A5CF8" w:rsidP="004A5CF8" w:rsidRDefault="004A5CF8" w14:paraId="74B3D89A" w14:textId="77777777">
      <w:pPr>
        <w:spacing w:after="200" w:line="20" w:lineRule="atLeast"/>
        <w:jc w:val="both"/>
        <w:rPr>
          <w:rFonts w:eastAsia="Calibri"/>
          <w:lang w:val="es-MX" w:eastAsia="en-US"/>
        </w:rPr>
      </w:pPr>
      <w:r w:rsidRPr="004A5CF8">
        <w:rPr>
          <w:rFonts w:eastAsia="Calibri"/>
          <w:lang w:val="es-MX" w:eastAsia="en-US"/>
        </w:rPr>
        <w:t>Tal como consta en el Certificado de Defunción, y se desarrolla en la Diagnosis Médica, la enfermedad o estado patológico que produjo la muerte directamente fue el “shock séptico”</w:t>
      </w:r>
      <w:r w:rsidRPr="004A5CF8">
        <w:rPr>
          <w:rFonts w:eastAsia="Calibri"/>
          <w:b/>
          <w:lang w:val="es-MX" w:eastAsia="en-US"/>
        </w:rPr>
        <w:t>;</w:t>
      </w:r>
      <w:r w:rsidRPr="004A5CF8">
        <w:rPr>
          <w:rFonts w:eastAsia="Calibri"/>
          <w:lang w:val="es-MX" w:eastAsia="en-US"/>
        </w:rPr>
        <w:t xml:space="preserve"> configurando el “linfoma” un antecedente.</w:t>
      </w:r>
    </w:p>
    <w:p w:rsidRPr="004A5CF8" w:rsidR="004A5CF8" w:rsidP="004A5CF8" w:rsidRDefault="004A5CF8" w14:paraId="32897EE3" w14:textId="77777777">
      <w:pPr>
        <w:spacing w:after="200" w:line="20" w:lineRule="atLeast"/>
        <w:jc w:val="both"/>
        <w:rPr>
          <w:rFonts w:eastAsia="Calibri"/>
          <w:lang w:val="es-MX" w:eastAsia="en-US"/>
        </w:rPr>
      </w:pPr>
    </w:p>
    <w:p w:rsidRPr="004A5CF8" w:rsidR="004A5CF8" w:rsidP="000E6CE4" w:rsidRDefault="004A5CF8" w14:paraId="2876083C" w14:textId="0087417D">
      <w:pPr>
        <w:spacing w:after="200" w:line="20" w:lineRule="atLeast"/>
        <w:jc w:val="center"/>
      </w:pPr>
      <w:r w:rsidR="16E45CF8">
        <w:rPr/>
        <w:t>.................................................................................................................................................</w:t>
      </w:r>
    </w:p>
    <w:p w:rsidRPr="004A5CF8" w:rsidR="004A5CF8" w:rsidP="004E6F23" w:rsidRDefault="004A5CF8" w14:paraId="5326BBD0" w14:textId="0EE96644">
      <w:pPr>
        <w:spacing w:after="200" w:line="20" w:lineRule="atLeast"/>
        <w:jc w:val="center"/>
      </w:pPr>
      <w:r w:rsidR="16E45CF8">
        <w:rPr/>
        <w:t>..................................................................................................................................................</w:t>
      </w:r>
    </w:p>
    <w:p w:rsidRPr="004A5CF8" w:rsidR="004A5CF8" w:rsidP="004A5CF8" w:rsidRDefault="004A5CF8" w14:paraId="1000087C" w14:textId="77777777">
      <w:pPr>
        <w:spacing w:after="200" w:line="20" w:lineRule="atLeast"/>
        <w:jc w:val="both"/>
        <w:rPr>
          <w:rFonts w:eastAsia="Calibri"/>
          <w:lang w:val="es-MX" w:eastAsia="en-US"/>
        </w:rPr>
      </w:pPr>
    </w:p>
    <w:p w:rsidRPr="004A5CF8" w:rsidR="004A5CF8" w:rsidP="004A5CF8" w:rsidRDefault="004A5CF8" w14:paraId="6C52426E" w14:textId="77777777">
      <w:pPr>
        <w:spacing w:after="200" w:line="20" w:lineRule="atLeast"/>
        <w:jc w:val="both"/>
        <w:rPr>
          <w:rFonts w:eastAsia="Calibri"/>
          <w:lang w:val="es-MX" w:eastAsia="en-US"/>
        </w:rPr>
      </w:pPr>
      <w:r w:rsidRPr="004A5CF8">
        <w:rPr>
          <w:rFonts w:eastAsia="Calibri"/>
          <w:lang w:val="es-MX" w:eastAsia="en-US"/>
        </w:rPr>
        <w:lastRenderedPageBreak/>
        <w:t>De esta manera, queda probado en autos que la enfermedad preexistente, esto es “</w:t>
      </w:r>
      <w:r w:rsidRPr="004A5CF8">
        <w:rPr>
          <w:lang w:val="es-PE" w:eastAsia="es-PE"/>
        </w:rPr>
        <w:t>Linfoma Hodgkin”,</w:t>
      </w:r>
      <w:r w:rsidRPr="004A5CF8">
        <w:rPr>
          <w:rFonts w:eastAsia="Calibri"/>
          <w:lang w:val="es-MX" w:eastAsia="en-US"/>
        </w:rPr>
        <w:t xml:space="preserve"> no fue la causa que directamente produjo el siniestro, es decir, el daño (muerte); sino que la misma se presentó como un antecedente lógico que condicionó el evento dañoso, pero que no configuró la causa directa del siniestro. </w:t>
      </w:r>
    </w:p>
    <w:p w:rsidRPr="004A5CF8" w:rsidR="004A5CF8" w:rsidP="004A5CF8" w:rsidRDefault="004A5CF8" w14:paraId="2ACB5772" w14:textId="77777777">
      <w:pPr>
        <w:spacing w:after="200" w:line="20" w:lineRule="atLeast"/>
        <w:jc w:val="both"/>
        <w:rPr>
          <w:rFonts w:eastAsia="Calibri"/>
          <w:lang w:val="es-MX" w:eastAsia="en-US"/>
        </w:rPr>
      </w:pPr>
      <w:r w:rsidRPr="004A5CF8">
        <w:rPr>
          <w:rFonts w:eastAsia="Calibri"/>
          <w:lang w:val="es-MX" w:eastAsia="en-US"/>
        </w:rPr>
        <w:t xml:space="preserve">Al pactarse un “nexo causal directo”, la cláusula de exclusión considera causa no a toda la cadena de eventos antecedentes, concurrentes, sucesivos que se presentan durante la generación del daño asegurado, sino sólo aquél que, con criterio temporal, se halla más próximo al resultado dañoso, de manera que el resto de </w:t>
      </w:r>
      <w:proofErr w:type="gramStart"/>
      <w:r w:rsidRPr="004A5CF8">
        <w:rPr>
          <w:rFonts w:eastAsia="Calibri"/>
          <w:lang w:val="es-MX" w:eastAsia="en-US"/>
        </w:rPr>
        <w:t>hechos</w:t>
      </w:r>
      <w:proofErr w:type="gramEnd"/>
      <w:r w:rsidRPr="004A5CF8">
        <w:rPr>
          <w:rFonts w:eastAsia="Calibri"/>
          <w:lang w:val="es-MX" w:eastAsia="en-US"/>
        </w:rPr>
        <w:t xml:space="preserve"> son simples condiciones, esto es, una circunstancia que preexiste o coexiste con la única causa que es considerada contractualmente como la que produce el daño asegurado.</w:t>
      </w:r>
    </w:p>
    <w:p w:rsidRPr="004A5CF8" w:rsidR="004A5CF8" w:rsidP="004A5CF8" w:rsidRDefault="004A5CF8" w14:paraId="55E67007" w14:textId="77777777">
      <w:pPr>
        <w:spacing w:after="200" w:line="20" w:lineRule="atLeast"/>
        <w:jc w:val="both"/>
        <w:rPr>
          <w:rFonts w:eastAsia="Calibri"/>
          <w:lang w:val="es-MX" w:eastAsia="en-US"/>
        </w:rPr>
      </w:pPr>
      <w:r w:rsidRPr="004A5CF8">
        <w:rPr>
          <w:rFonts w:eastAsia="Calibri"/>
          <w:lang w:val="es-MX" w:eastAsia="en-US"/>
        </w:rPr>
        <w:t xml:space="preserve">Por lo tanto, según la literalidad de la exclusión pactada, el </w:t>
      </w:r>
      <w:r w:rsidRPr="004A5CF8">
        <w:rPr>
          <w:lang w:val="es-PE" w:eastAsia="es-PE"/>
        </w:rPr>
        <w:t>Linfoma Hodgkin</w:t>
      </w:r>
      <w:r w:rsidRPr="004A5CF8">
        <w:rPr>
          <w:rFonts w:eastAsia="Calibri"/>
          <w:lang w:val="es-MX" w:eastAsia="en-US"/>
        </w:rPr>
        <w:t xml:space="preserve"> no puede ser invocado como exclusión de cobertura en el presente caso.</w:t>
      </w:r>
    </w:p>
    <w:p w:rsidRPr="004A5CF8" w:rsidR="004A5CF8" w:rsidP="004A5CF8" w:rsidRDefault="004A5CF8" w14:paraId="04649E8E" w14:textId="77777777">
      <w:pPr>
        <w:spacing w:after="200" w:line="20" w:lineRule="atLeast"/>
        <w:jc w:val="both"/>
        <w:rPr>
          <w:rFonts w:eastAsia="Calibri"/>
          <w:lang w:val="es-PE" w:eastAsia="en-US"/>
        </w:rPr>
      </w:pPr>
      <w:r w:rsidRPr="004A5CF8">
        <w:rPr>
          <w:rFonts w:eastAsia="Calibri"/>
          <w:b/>
          <w:u w:val="single"/>
          <w:lang w:val="es-MX" w:eastAsia="en-US"/>
        </w:rPr>
        <w:t>OCTAVO</w:t>
      </w:r>
      <w:r w:rsidRPr="004A5CF8">
        <w:rPr>
          <w:rFonts w:eastAsia="Calibri"/>
          <w:lang w:val="es-PE" w:eastAsia="en-US"/>
        </w:rPr>
        <w:t xml:space="preserve">: Atendiendo a lo expresado precedentemente, esta Defensoría concluye su apreciación razonada y conjunta al amparo de lo establecido en su Reglamento, encontrando que no existen razones fundadas para el rechazo de cobertura, por lo que </w:t>
      </w:r>
    </w:p>
    <w:p w:rsidRPr="004A5CF8" w:rsidR="004A5CF8" w:rsidP="004A5CF8" w:rsidRDefault="004A5CF8" w14:paraId="2323512E" w14:textId="77777777">
      <w:pPr>
        <w:spacing w:after="200" w:line="20" w:lineRule="atLeast"/>
        <w:jc w:val="both"/>
        <w:rPr>
          <w:rFonts w:eastAsia="Calibri"/>
          <w:b/>
          <w:lang w:val="es-PE" w:eastAsia="en-US"/>
        </w:rPr>
      </w:pPr>
      <w:r w:rsidRPr="004A5CF8">
        <w:rPr>
          <w:rFonts w:eastAsia="Calibri"/>
          <w:b/>
          <w:lang w:val="es-PE" w:eastAsia="en-US"/>
        </w:rPr>
        <w:t>RESUELVE:</w:t>
      </w:r>
    </w:p>
    <w:p w:rsidRPr="004A5CF8" w:rsidR="004A5CF8" w:rsidP="004A5CF8" w:rsidRDefault="004A5CF8" w14:paraId="1CEE0FE7" w14:textId="650C2C32">
      <w:pPr>
        <w:spacing w:after="200" w:line="20" w:lineRule="atLeast"/>
        <w:jc w:val="both"/>
        <w:rPr>
          <w:lang w:val="es-MX"/>
        </w:rPr>
      </w:pPr>
      <w:r w:rsidRPr="000E6CE4" w:rsidR="004A5CF8">
        <w:rPr>
          <w:rFonts w:eastAsia="Calibri"/>
          <w:lang w:val="es-PE" w:eastAsia="en-US"/>
        </w:rPr>
        <w:t>Declarar</w:t>
      </w:r>
      <w:r w:rsidRPr="000E6CE4" w:rsidR="004A5CF8">
        <w:rPr>
          <w:rFonts w:eastAsia="Calibri"/>
          <w:b w:val="1"/>
          <w:bCs w:val="1"/>
          <w:lang w:val="es-PE" w:eastAsia="en-US"/>
        </w:rPr>
        <w:t xml:space="preserve"> FUNDADO la reclamación </w:t>
      </w:r>
      <w:r w:rsidRPr="000E6CE4" w:rsidR="004A5CF8">
        <w:rPr>
          <w:rFonts w:eastAsia="Calibri"/>
          <w:lang w:val="es-PE" w:eastAsia="en-US"/>
        </w:rPr>
        <w:t>interpuesta</w:t>
      </w:r>
      <w:r w:rsidRPr="000E6CE4" w:rsidR="004A5CF8">
        <w:rPr>
          <w:rFonts w:eastAsia="Calibri"/>
          <w:lang w:val="es-MX" w:eastAsia="en-US"/>
        </w:rPr>
        <w:t xml:space="preserve"> por </w:t>
      </w:r>
      <w:r w:rsidRPr="000E6CE4" w:rsidR="34967444">
        <w:rPr>
          <w:b w:val="1"/>
          <w:bCs w:val="1"/>
          <w:lang w:val="es-MX"/>
        </w:rPr>
        <w:t>...............................................................................................</w:t>
      </w:r>
      <w:r w:rsidRPr="000E6CE4" w:rsidR="004A5CF8">
        <w:rPr>
          <w:b w:val="1"/>
          <w:bCs w:val="1"/>
          <w:lang w:val="es-MX"/>
        </w:rPr>
        <w:t xml:space="preserve"> </w:t>
      </w:r>
      <w:r w:rsidR="004A5CF8">
        <w:rPr/>
        <w:t xml:space="preserve">contra </w:t>
      </w:r>
      <w:r w:rsidRPr="000E6CE4" w:rsidR="65E5BE89">
        <w:rPr>
          <w:b w:val="1"/>
          <w:bCs w:val="1"/>
          <w:lang w:val="es-MX"/>
        </w:rPr>
        <w:t>..........................................</w:t>
      </w:r>
      <w:r w:rsidRPr="000E6CE4" w:rsidR="004A5CF8">
        <w:rPr>
          <w:rFonts w:eastAsia="Calibri"/>
          <w:lang w:val="es-MX" w:eastAsia="en-US"/>
        </w:rPr>
        <w:t xml:space="preserve">, debiendo la aseguradora cumplir con otorgar la cobertura reclamada </w:t>
      </w:r>
      <w:r w:rsidRPr="000E6CE4" w:rsidR="004A5CF8">
        <w:rPr>
          <w:rFonts w:eastAsia="Calibri"/>
          <w:lang w:val="es-PE" w:eastAsia="en-US"/>
        </w:rPr>
        <w:t xml:space="preserve">de </w:t>
      </w:r>
      <w:r w:rsidRPr="000E6CE4" w:rsidR="004A5CF8">
        <w:rPr>
          <w:lang w:val="es-MX"/>
        </w:rPr>
        <w:t xml:space="preserve">los </w:t>
      </w:r>
      <w:r w:rsidRPr="000E6CE4" w:rsidR="004A5CF8">
        <w:rPr>
          <w:b w:val="1"/>
          <w:bCs w:val="1"/>
          <w:lang w:val="es-MX"/>
        </w:rPr>
        <w:t xml:space="preserve">SEGUROS DE DESGRAVAMEN – PÓLIZA No </w:t>
      </w:r>
      <w:r w:rsidRPr="000E6CE4" w:rsidR="4BD25382">
        <w:rPr>
          <w:b w:val="1"/>
          <w:bCs w:val="1"/>
          <w:lang w:val="es-MX"/>
        </w:rPr>
        <w:t>.........</w:t>
      </w:r>
      <w:r w:rsidRPr="000E6CE4" w:rsidR="004A5CF8">
        <w:rPr>
          <w:b w:val="1"/>
          <w:bCs w:val="1"/>
          <w:lang w:val="es-MX"/>
        </w:rPr>
        <w:t xml:space="preserve"> TC VISA/AMEX, No </w:t>
      </w:r>
      <w:r w:rsidRPr="000E6CE4" w:rsidR="33225730">
        <w:rPr>
          <w:b w:val="1"/>
          <w:bCs w:val="1"/>
          <w:lang w:val="es-MX"/>
        </w:rPr>
        <w:t>.............</w:t>
      </w:r>
      <w:r w:rsidRPr="000E6CE4" w:rsidR="004A5CF8">
        <w:rPr>
          <w:b w:val="1"/>
          <w:bCs w:val="1"/>
          <w:lang w:val="es-MX"/>
        </w:rPr>
        <w:t xml:space="preserve"> CRÉDITO ACTIVO FIJO </w:t>
      </w:r>
      <w:r w:rsidRPr="000E6CE4" w:rsidR="0A66645C">
        <w:rPr>
          <w:b w:val="1"/>
          <w:bCs w:val="1"/>
          <w:lang w:val="es-MX"/>
        </w:rPr>
        <w:t>....................................</w:t>
      </w:r>
      <w:r w:rsidRPr="000E6CE4" w:rsidR="004A5CF8">
        <w:rPr>
          <w:b w:val="1"/>
          <w:bCs w:val="1"/>
          <w:lang w:val="es-MX"/>
        </w:rPr>
        <w:t xml:space="preserve"> y No </w:t>
      </w:r>
      <w:r w:rsidRPr="000E6CE4" w:rsidR="4367D870">
        <w:rPr>
          <w:b w:val="1"/>
          <w:bCs w:val="1"/>
          <w:lang w:val="es-MX"/>
        </w:rPr>
        <w:t>...........</w:t>
      </w:r>
      <w:r w:rsidRPr="000E6CE4" w:rsidR="004A5CF8">
        <w:rPr>
          <w:b w:val="1"/>
          <w:bCs w:val="1"/>
          <w:lang w:val="es-MX"/>
        </w:rPr>
        <w:t xml:space="preserve"> CRÉDITO ACTIVO </w:t>
      </w:r>
      <w:r w:rsidRPr="000E6CE4" w:rsidR="39810470">
        <w:rPr>
          <w:b w:val="1"/>
          <w:bCs w:val="1"/>
          <w:lang w:val="es-MX"/>
        </w:rPr>
        <w:t>....................................</w:t>
      </w:r>
      <w:r w:rsidRPr="000E6CE4" w:rsidR="004A5CF8">
        <w:rPr>
          <w:b w:val="1"/>
          <w:bCs w:val="1"/>
          <w:lang w:val="es-MX"/>
        </w:rPr>
        <w:t xml:space="preserve">, </w:t>
      </w:r>
      <w:r w:rsidRPr="000E6CE4" w:rsidR="004A5CF8">
        <w:rPr>
          <w:rFonts w:eastAsia="Calibri"/>
          <w:lang w:val="es-PE" w:eastAsia="en-US"/>
        </w:rPr>
        <w:t xml:space="preserve">como consecuencia del fallecimiento de </w:t>
      </w:r>
      <w:r w:rsidRPr="000E6CE4" w:rsidR="004A5CF8">
        <w:rPr>
          <w:lang w:val="es-MX"/>
        </w:rPr>
        <w:t>la asegurada</w:t>
      </w:r>
      <w:r w:rsidRPr="000E6CE4" w:rsidR="004A5CF8">
        <w:rPr>
          <w:b w:val="1"/>
          <w:bCs w:val="1"/>
          <w:lang w:val="es-MX"/>
        </w:rPr>
        <w:t xml:space="preserve"> GABRIELA HUAYAPA.</w:t>
      </w:r>
    </w:p>
    <w:p w:rsidRPr="004A5CF8" w:rsidR="00E405EF" w:rsidP="00E405EF" w:rsidRDefault="00E405EF" w14:paraId="063C0CA9" w14:textId="77777777">
      <w:pPr>
        <w:tabs>
          <w:tab w:val="left" w:pos="2160"/>
        </w:tabs>
        <w:jc w:val="both"/>
        <w:rPr>
          <w:lang w:val="es-MX"/>
        </w:rPr>
      </w:pPr>
    </w:p>
    <w:p w:rsidRPr="004A5CF8" w:rsidR="001631D6" w:rsidP="00401DE3" w:rsidRDefault="00F15FBA" w14:paraId="30F8D459" w14:textId="17CC97F6">
      <w:pPr>
        <w:jc w:val="right"/>
        <w:outlineLvl w:val="0"/>
        <w:rPr>
          <w:lang w:val="es-PE"/>
        </w:rPr>
      </w:pPr>
      <w:r w:rsidRPr="004A5CF8">
        <w:rPr>
          <w:lang w:val="es-PE"/>
        </w:rPr>
        <w:t xml:space="preserve">Lima, </w:t>
      </w:r>
      <w:r w:rsidRPr="004A5CF8" w:rsidR="00CB4665">
        <w:rPr>
          <w:lang w:val="es-PE"/>
        </w:rPr>
        <w:t>21</w:t>
      </w:r>
      <w:r w:rsidRPr="004A5CF8" w:rsidR="00447D8A">
        <w:rPr>
          <w:lang w:val="es-PE"/>
        </w:rPr>
        <w:t xml:space="preserve"> </w:t>
      </w:r>
      <w:r w:rsidRPr="004A5CF8" w:rsidR="00F62606">
        <w:t>d</w:t>
      </w:r>
      <w:proofErr w:type="spellStart"/>
      <w:r w:rsidRPr="004A5CF8">
        <w:rPr>
          <w:lang w:val="es-PE"/>
        </w:rPr>
        <w:t>e</w:t>
      </w:r>
      <w:proofErr w:type="spellEnd"/>
      <w:r w:rsidRPr="004A5CF8" w:rsidR="00642D5C">
        <w:rPr>
          <w:lang w:val="es-PE"/>
        </w:rPr>
        <w:t xml:space="preserve"> </w:t>
      </w:r>
      <w:r w:rsidRPr="004A5CF8" w:rsidR="00447D8A">
        <w:rPr>
          <w:lang w:val="es-PE"/>
        </w:rPr>
        <w:t>octubre</w:t>
      </w:r>
      <w:r w:rsidRPr="004A5CF8" w:rsidR="001631D6">
        <w:rPr>
          <w:lang w:val="es-PE"/>
        </w:rPr>
        <w:t xml:space="preserve"> </w:t>
      </w:r>
      <w:r w:rsidRPr="004A5CF8">
        <w:rPr>
          <w:lang w:val="es-PE"/>
        </w:rPr>
        <w:t>de 20</w:t>
      </w:r>
      <w:r w:rsidRPr="004A5CF8" w:rsidR="001631D6">
        <w:rPr>
          <w:lang w:val="es-PE"/>
        </w:rPr>
        <w:t>2</w:t>
      </w:r>
      <w:r w:rsidRPr="004A5CF8" w:rsidR="003E6BA6">
        <w:rPr>
          <w:lang w:val="es-PE"/>
        </w:rPr>
        <w:t>1</w:t>
      </w:r>
    </w:p>
    <w:p w:rsidRPr="004A5CF8" w:rsidR="00C01AB2" w:rsidP="00B5211F" w:rsidRDefault="00C01AB2" w14:paraId="37DB6607" w14:textId="77777777"/>
    <w:p w:rsidRPr="004A5CF8" w:rsidR="00431C1C" w:rsidP="00431C1C" w:rsidRDefault="00431C1C" w14:paraId="6E7BC3C0" w14:textId="77777777">
      <w:pPr>
        <w:jc w:val="both"/>
        <w:rPr>
          <w:b/>
          <w:bCs/>
          <w:i/>
          <w:iCs/>
          <w:lang w:val="es-ES_tradnl"/>
        </w:rPr>
      </w:pPr>
      <w:r w:rsidRPr="004A5CF8">
        <w:rPr>
          <w:b/>
          <w:bCs/>
          <w:i/>
          <w:iCs/>
          <w:lang w:val="es-ES_tradnl"/>
        </w:rPr>
        <w:t>La Secretaría Técnica certifica que la presente resolución cuenta con el voto de los vocales cuyos nombres figuran en el presente documento.</w:t>
      </w:r>
    </w:p>
    <w:p w:rsidRPr="004A5CF8" w:rsidR="00431C1C" w:rsidP="00431C1C" w:rsidRDefault="00431C1C" w14:paraId="1D118CB2" w14:textId="0B6E2748">
      <w:pPr>
        <w:jc w:val="both"/>
        <w:rPr>
          <w:b/>
          <w:bCs/>
          <w:i/>
          <w:iCs/>
          <w:lang w:val="es-ES_tradnl"/>
        </w:rPr>
      </w:pPr>
    </w:p>
    <w:p w:rsidRPr="004A5CF8" w:rsidR="00D61A48" w:rsidP="00D61A48" w:rsidRDefault="00D61A48" w14:paraId="1BE5A351" w14:textId="0FACD51A">
      <w:pPr>
        <w:spacing w:line="360" w:lineRule="auto"/>
        <w:jc w:val="center"/>
        <w:rPr>
          <w:b/>
          <w:bCs/>
        </w:rPr>
      </w:pPr>
      <w:r w:rsidRPr="004A5CF8">
        <w:rPr>
          <w:b/>
          <w:bCs/>
        </w:rPr>
        <w:t xml:space="preserve">Rolando Eyzaguirre </w:t>
      </w:r>
      <w:proofErr w:type="spellStart"/>
      <w:r w:rsidRPr="004A5CF8">
        <w:rPr>
          <w:b/>
          <w:bCs/>
        </w:rPr>
        <w:t>Maccan</w:t>
      </w:r>
      <w:proofErr w:type="spellEnd"/>
      <w:r w:rsidRPr="004A5CF8">
        <w:rPr>
          <w:b/>
          <w:bCs/>
        </w:rPr>
        <w:t xml:space="preserve"> – </w:t>
      </w:r>
      <w:proofErr w:type="gramStart"/>
      <w:r w:rsidRPr="004A5CF8">
        <w:rPr>
          <w:b/>
          <w:bCs/>
        </w:rPr>
        <w:t>Presidente</w:t>
      </w:r>
      <w:proofErr w:type="gramEnd"/>
    </w:p>
    <w:p w:rsidRPr="004A5CF8" w:rsidR="00431C1C" w:rsidP="00431C1C" w:rsidRDefault="00431C1C" w14:paraId="0DEAE9EC" w14:textId="77777777">
      <w:pPr>
        <w:spacing w:line="360" w:lineRule="auto"/>
        <w:jc w:val="center"/>
        <w:rPr>
          <w:b/>
          <w:bCs/>
        </w:rPr>
      </w:pPr>
      <w:r w:rsidRPr="004A5CF8">
        <w:rPr>
          <w:b/>
          <w:bCs/>
        </w:rPr>
        <w:t>María Eugenia Valdez Fernández Baca – Vocal</w:t>
      </w:r>
    </w:p>
    <w:p w:rsidRPr="004A5CF8" w:rsidR="00D61A48" w:rsidP="00D61A48" w:rsidRDefault="00D61A48" w14:paraId="6A2F3501" w14:textId="5BD98BD8">
      <w:pPr>
        <w:spacing w:line="360" w:lineRule="auto"/>
        <w:jc w:val="center"/>
        <w:rPr>
          <w:b/>
          <w:bCs/>
        </w:rPr>
      </w:pPr>
      <w:r w:rsidRPr="004A5CF8">
        <w:rPr>
          <w:b/>
          <w:bCs/>
        </w:rPr>
        <w:t>Marco Antonio Ortega Piana – Vocal</w:t>
      </w:r>
    </w:p>
    <w:p w:rsidRPr="004A5CF8" w:rsidR="00431C1C" w:rsidP="00431C1C" w:rsidRDefault="00431C1C" w14:paraId="529DAF3C" w14:textId="77777777">
      <w:pPr>
        <w:spacing w:line="360" w:lineRule="auto"/>
        <w:jc w:val="center"/>
        <w:rPr>
          <w:lang w:val="es-MX"/>
        </w:rPr>
      </w:pPr>
      <w:r w:rsidRPr="004A5CF8">
        <w:rPr>
          <w:b/>
          <w:bCs/>
        </w:rPr>
        <w:t>Gonzalo Abad del Busto - Vocal</w:t>
      </w:r>
    </w:p>
    <w:p w:rsidRPr="00431C1C" w:rsidR="001631D6" w:rsidP="00F15FBA" w:rsidRDefault="001631D6" w14:paraId="0DA96C46" w14:textId="77777777">
      <w:pPr>
        <w:jc w:val="both"/>
        <w:rPr>
          <w:sz w:val="23"/>
          <w:szCs w:val="23"/>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377224" w14:paraId="164CAA9F" w14:textId="77777777">
      <w:pPr>
        <w:rPr>
          <w:sz w:val="23"/>
          <w:szCs w:val="23"/>
        </w:rPr>
      </w:pPr>
    </w:p>
    <w:sectPr w:rsidRPr="00431C1C" w:rsidR="00517989" w:rsidSect="00F552B2">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77224" w:rsidP="005F148C" w:rsidRDefault="00377224" w14:paraId="692771C7" w14:textId="77777777">
      <w:r>
        <w:separator/>
      </w:r>
    </w:p>
  </w:endnote>
  <w:endnote w:type="continuationSeparator" w:id="0">
    <w:p w:rsidR="00377224" w:rsidP="005F148C" w:rsidRDefault="00377224" w14:paraId="4E454A9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77224" w:rsidP="005F148C" w:rsidRDefault="00377224" w14:paraId="1BECC3B9" w14:textId="77777777">
      <w:r>
        <w:separator/>
      </w:r>
    </w:p>
  </w:footnote>
  <w:footnote w:type="continuationSeparator" w:id="0">
    <w:p w:rsidR="00377224" w:rsidP="005F148C" w:rsidRDefault="00377224" w14:paraId="2F611AB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lvlOverride w:ilvl="0"/>
    <w:lvlOverride w:ilvl="1"/>
    <w:lvlOverride w:ilvl="2"/>
    <w:lvlOverride w:ilvl="3"/>
    <w:lvlOverride w:ilvl="4"/>
    <w:lvlOverride w:ilvl="5"/>
    <w:lvlOverride w:ilvl="6"/>
    <w:lvlOverride w:ilvl="7"/>
    <w:lvlOverride w:ilv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6CE4"/>
    <w:rsid w:val="000F11A9"/>
    <w:rsid w:val="000F2C43"/>
    <w:rsid w:val="000F71B9"/>
    <w:rsid w:val="00103188"/>
    <w:rsid w:val="00112332"/>
    <w:rsid w:val="00131FAD"/>
    <w:rsid w:val="00140C67"/>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65BC"/>
    <w:rsid w:val="00233ED8"/>
    <w:rsid w:val="002370F4"/>
    <w:rsid w:val="00253FC9"/>
    <w:rsid w:val="00270FE8"/>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224F7"/>
    <w:rsid w:val="00734447"/>
    <w:rsid w:val="0073577C"/>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F3742"/>
    <w:rsid w:val="00D128FF"/>
    <w:rsid w:val="00D15C1E"/>
    <w:rsid w:val="00D61A48"/>
    <w:rsid w:val="00D64C72"/>
    <w:rsid w:val="00D86E87"/>
    <w:rsid w:val="00D9006E"/>
    <w:rsid w:val="00D92FA2"/>
    <w:rsid w:val="00DC7958"/>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271B"/>
    <w:rsid w:val="00F61F29"/>
    <w:rsid w:val="00F62606"/>
    <w:rsid w:val="00F71D17"/>
    <w:rsid w:val="00F74CEA"/>
    <w:rsid w:val="00F802EF"/>
    <w:rsid w:val="00F8472A"/>
    <w:rsid w:val="00F85B78"/>
    <w:rsid w:val="00F97A17"/>
    <w:rsid w:val="00FC2FA6"/>
    <w:rsid w:val="00FF2DB2"/>
    <w:rsid w:val="01B28126"/>
    <w:rsid w:val="0A66645C"/>
    <w:rsid w:val="0B2ED3EC"/>
    <w:rsid w:val="15C41DC3"/>
    <w:rsid w:val="16E45CF8"/>
    <w:rsid w:val="27B21F27"/>
    <w:rsid w:val="33225730"/>
    <w:rsid w:val="34967444"/>
    <w:rsid w:val="39810470"/>
    <w:rsid w:val="3B388F16"/>
    <w:rsid w:val="4367D870"/>
    <w:rsid w:val="4BD25382"/>
    <w:rsid w:val="4F141673"/>
    <w:rsid w:val="5CAC1444"/>
    <w:rsid w:val="65E5BE89"/>
    <w:rsid w:val="7CD0F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0F45E27-B6AA-4945-A0AE-AE95B0073DDC}"/>
</file>

<file path=customXml/itemProps3.xml><?xml version="1.0" encoding="utf-8"?>
<ds:datastoreItem xmlns:ds="http://schemas.openxmlformats.org/officeDocument/2006/customXml" ds:itemID="{1ACC62EB-D4A5-4287-8B6A-0549F25AAB22}"/>
</file>

<file path=customXml/itemProps4.xml><?xml version="1.0" encoding="utf-8"?>
<ds:datastoreItem xmlns:ds="http://schemas.openxmlformats.org/officeDocument/2006/customXml" ds:itemID="{44244B3D-3977-4495-8740-9806EBE365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148</cp:revision>
  <cp:lastPrinted>2021-10-22T20:19:00Z</cp:lastPrinted>
  <dcterms:created xsi:type="dcterms:W3CDTF">2020-12-18T20:09:00Z</dcterms:created>
  <dcterms:modified xsi:type="dcterms:W3CDTF">2026-02-12T15:35:33Z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