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C7D74" w:rsidR="00F15FBA" w:rsidP="00026017" w:rsidRDefault="00F15FBA" w14:paraId="6EF5AEAB" w14:textId="7806EF33">
      <w:pPr>
        <w:pStyle w:val="Ttulo"/>
        <w:outlineLvl w:val="0"/>
        <w:rPr>
          <w:lang w:val="es-PE"/>
        </w:rPr>
      </w:pPr>
      <w:r w:rsidRPr="009C7D74">
        <w:rPr>
          <w:lang w:val="es-PE"/>
        </w:rPr>
        <w:t xml:space="preserve">RESOLUCIÓN </w:t>
      </w:r>
      <w:proofErr w:type="spellStart"/>
      <w:r w:rsidRPr="009C7D74">
        <w:rPr>
          <w:lang w:val="es-PE"/>
        </w:rPr>
        <w:t>N</w:t>
      </w:r>
      <w:r w:rsidRPr="009C7D74" w:rsidR="001631D6">
        <w:rPr>
          <w:lang w:val="es-PE"/>
        </w:rPr>
        <w:t>°</w:t>
      </w:r>
      <w:proofErr w:type="spellEnd"/>
      <w:r w:rsidRPr="009C7D74" w:rsidR="001631D6">
        <w:rPr>
          <w:lang w:val="es-PE"/>
        </w:rPr>
        <w:t xml:space="preserve"> </w:t>
      </w:r>
      <w:r w:rsidRPr="009C7D74" w:rsidR="00160F6F">
        <w:rPr>
          <w:lang w:val="es-PE"/>
        </w:rPr>
        <w:t>1</w:t>
      </w:r>
      <w:r w:rsidRPr="009C7D74" w:rsidR="00CB4665">
        <w:rPr>
          <w:lang w:val="es-PE"/>
        </w:rPr>
        <w:t>5</w:t>
      </w:r>
      <w:r w:rsidRPr="009C7D74" w:rsidR="00144FD6">
        <w:rPr>
          <w:lang w:val="es-PE"/>
        </w:rPr>
        <w:t>3</w:t>
      </w:r>
      <w:r w:rsidRPr="009C7D74" w:rsidR="001631D6">
        <w:rPr>
          <w:lang w:val="es-PE"/>
        </w:rPr>
        <w:t>/2</w:t>
      </w:r>
      <w:r w:rsidRPr="009C7D74" w:rsidR="003E6BA6">
        <w:rPr>
          <w:lang w:val="es-PE"/>
        </w:rPr>
        <w:t>1</w:t>
      </w:r>
    </w:p>
    <w:p w:rsidRPr="009C7D74" w:rsidR="00135A6B" w:rsidP="00135A6B" w:rsidRDefault="00135A6B" w14:paraId="5136A0CD" w14:textId="77777777">
      <w:pPr>
        <w:rPr>
          <w:b/>
          <w:bCs/>
          <w:lang w:val="es-PE"/>
        </w:rPr>
      </w:pPr>
    </w:p>
    <w:p w:rsidRPr="009C7D74" w:rsidR="009C7D74" w:rsidP="009C7D74" w:rsidRDefault="009C7D74" w14:paraId="0754E9B4" w14:textId="77777777">
      <w:pPr>
        <w:rPr>
          <w:b/>
          <w:bCs/>
          <w:lang w:val="es-PE"/>
        </w:rPr>
      </w:pPr>
    </w:p>
    <w:p w:rsidRPr="009C7D74" w:rsidR="009C7D74" w:rsidP="009C7D74" w:rsidRDefault="009C7D74" w14:paraId="5F96620D" w14:textId="77777777">
      <w:pPr>
        <w:jc w:val="both"/>
        <w:outlineLvl w:val="0"/>
        <w:rPr>
          <w:b/>
          <w:bCs/>
          <w:lang w:val="es-PE"/>
        </w:rPr>
      </w:pPr>
      <w:r w:rsidRPr="009C7D74">
        <w:rPr>
          <w:b/>
          <w:bCs/>
          <w:lang w:val="es-PE"/>
        </w:rPr>
        <w:t>Vistos:</w:t>
      </w:r>
    </w:p>
    <w:p w:rsidRPr="009C7D74" w:rsidR="009C7D74" w:rsidP="009C7D74" w:rsidRDefault="009C7D74" w14:paraId="273C6763" w14:textId="77777777">
      <w:pPr>
        <w:jc w:val="both"/>
        <w:rPr>
          <w:bCs/>
          <w:lang w:val="es-PE"/>
        </w:rPr>
      </w:pPr>
    </w:p>
    <w:p w:rsidRPr="009C7D74" w:rsidR="009C7D74" w:rsidP="24DF508E" w:rsidRDefault="009C7D74" w14:paraId="53571290" w14:textId="47A6719C">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24DF508E" w:rsidR="009C7D74">
        <w:rPr>
          <w:lang w:val="es-PE"/>
        </w:rPr>
        <w:t xml:space="preserve">Que, con fecha 27 de julio de 2021 doña </w:t>
      </w:r>
      <w:r w:rsidR="43CFF38D">
        <w:rPr/>
        <w:t>........................................................................</w:t>
      </w:r>
      <w:r w:rsidRPr="24DF508E" w:rsidR="009C7D74">
        <w:rPr>
          <w:lang w:val="es-PE"/>
        </w:rPr>
        <w:t xml:space="preserve"> interpone reclamación ante esta Defensoría del Asegurado (DEFASEG), solicitando que </w:t>
      </w:r>
      <w:r w:rsidRPr="24DF508E" w:rsidR="12BE3105">
        <w:rPr>
          <w:lang w:val="es-PE"/>
        </w:rPr>
        <w:t>..............................................................................</w:t>
      </w:r>
      <w:r w:rsidRPr="24DF508E" w:rsidR="009C7D74">
        <w:rPr>
          <w:lang w:val="es-PE"/>
        </w:rPr>
        <w:t xml:space="preserve"> (</w:t>
      </w:r>
      <w:r w:rsidRPr="24DF508E" w:rsidR="4411398F">
        <w:rPr>
          <w:lang w:val="es-PE"/>
        </w:rPr>
        <w:t>............................</w:t>
      </w:r>
      <w:r w:rsidRPr="24DF508E" w:rsidR="009C7D74">
        <w:rPr>
          <w:lang w:val="es-PE"/>
        </w:rPr>
        <w:t xml:space="preserve">) otorgue la cobertura por incapacidad temporal como consecuencia del accidente de tránsito ocurrido con fecha 22 de julio de 2019, del cual fue víctima, en aplicación de la póliza SOAT Nro. </w:t>
      </w:r>
      <w:r w:rsidR="02F5FBB1">
        <w:rPr/>
        <w:t>......................</w:t>
      </w:r>
      <w:r w:rsidRPr="24DF508E" w:rsidR="009C7D74">
        <w:rPr>
          <w:lang w:val="es-PE"/>
        </w:rPr>
        <w:t>;</w:t>
      </w:r>
    </w:p>
    <w:p w:rsidRPr="009C7D74" w:rsidR="009C7D74" w:rsidP="009C7D74" w:rsidRDefault="009C7D74" w14:paraId="4E6FF0B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C7D74" w:rsidR="009C7D74" w:rsidP="009C7D74" w:rsidRDefault="009C7D74" w14:paraId="37732EA5" w14:textId="77777777">
      <w:pPr>
        <w:jc w:val="both"/>
        <w:rPr>
          <w:rFonts w:eastAsia="Arial Unicode MS"/>
          <w:lang w:val="es-PE"/>
        </w:rPr>
      </w:pPr>
      <w:r w:rsidRPr="009C7D74">
        <w:rPr>
          <w:rFonts w:eastAsia="Arial Unicode MS"/>
          <w:lang w:val="es-PE"/>
        </w:rPr>
        <w:t>Que, la señalada reclamación cumple con los requisitos de materia, cuantía y oportunidad establecidos en el Reglamento de esta Defensoría (http://www.defaseg.com.pe/reglamento.html);</w:t>
      </w:r>
    </w:p>
    <w:p w:rsidRPr="009C7D74" w:rsidR="009C7D74" w:rsidP="009C7D74" w:rsidRDefault="009C7D74" w14:paraId="58D13B51" w14:textId="77777777">
      <w:pPr>
        <w:tabs>
          <w:tab w:val="left" w:pos="2160"/>
        </w:tabs>
        <w:jc w:val="both"/>
        <w:rPr>
          <w:lang w:val="es-PE"/>
        </w:rPr>
      </w:pPr>
    </w:p>
    <w:p w:rsidRPr="009C7D74" w:rsidR="009C7D74" w:rsidP="009C7D74" w:rsidRDefault="009C7D74" w14:paraId="6DDD8849" w14:textId="3B87CB03">
      <w:pPr>
        <w:tabs>
          <w:tab w:val="num" w:pos="720"/>
        </w:tabs>
        <w:jc w:val="both"/>
        <w:rPr>
          <w:lang w:val="es-PE"/>
        </w:rPr>
      </w:pPr>
      <w:r w:rsidRPr="24DF508E" w:rsidR="009C7D74">
        <w:rPr>
          <w:lang w:val="es-PE"/>
        </w:rPr>
        <w:t xml:space="preserve">Que, habiéndosele corrido traslado a </w:t>
      </w:r>
      <w:r w:rsidRPr="24DF508E" w:rsidR="4411398F">
        <w:rPr>
          <w:lang w:val="es-PE"/>
        </w:rPr>
        <w:t>............................</w:t>
      </w:r>
      <w:r w:rsidRPr="24DF508E" w:rsidR="009C7D74">
        <w:rPr>
          <w:lang w:val="es-PE"/>
        </w:rPr>
        <w:t xml:space="preserve"> de la respectiva reclamación con fecha 5 de agosto de 2021, la señalada aseguradora presentó sus descargos y la documentación requerida con fecha 16 de agosto de 2021;</w:t>
      </w:r>
    </w:p>
    <w:p w:rsidRPr="009C7D74" w:rsidR="009C7D74" w:rsidP="009C7D74" w:rsidRDefault="009C7D74" w14:paraId="66C24E01" w14:textId="77777777">
      <w:pPr>
        <w:tabs>
          <w:tab w:val="num" w:pos="720"/>
        </w:tabs>
        <w:jc w:val="both"/>
        <w:rPr>
          <w:lang w:val="es-PE"/>
        </w:rPr>
      </w:pPr>
    </w:p>
    <w:p w:rsidRPr="009C7D74" w:rsidR="009C7D74" w:rsidP="009C7D74" w:rsidRDefault="009C7D74" w14:paraId="4737755F" w14:textId="77777777">
      <w:pPr>
        <w:tabs>
          <w:tab w:val="num" w:pos="720"/>
        </w:tabs>
        <w:jc w:val="both"/>
        <w:rPr>
          <w:lang w:val="es-PE"/>
        </w:rPr>
      </w:pPr>
      <w:r w:rsidRPr="009C7D74">
        <w:rPr>
          <w:lang w:val="es-PE"/>
        </w:rPr>
        <w:t>Que, con fecha 18 de octubre de 2021 se realizó la audiencia de vista virtual, con la participación de ambas partes en la plataforma electrónica habilitada para dicho efecto por la secretaría técnica de la DEFASEG, siendo que ambas sustentaron su respectiva posición sobre la reclamación</w:t>
      </w:r>
      <w:r w:rsidRPr="009C7D74">
        <w:t xml:space="preserve">, </w:t>
      </w:r>
      <w:r w:rsidRPr="009C7D74">
        <w:rPr>
          <w:lang w:val="es-PE"/>
        </w:rPr>
        <w:t>absolviendo las diversas preguntas formuladas por este colegiado conforme consta de la correspondiente acta;</w:t>
      </w:r>
    </w:p>
    <w:p w:rsidRPr="009C7D74" w:rsidR="009C7D74" w:rsidP="009C7D74" w:rsidRDefault="009C7D74" w14:paraId="359EA4C4" w14:textId="77777777">
      <w:pPr>
        <w:tabs>
          <w:tab w:val="num" w:pos="720"/>
        </w:tabs>
        <w:jc w:val="both"/>
      </w:pPr>
    </w:p>
    <w:p w:rsidRPr="009C7D74" w:rsidR="009C7D74" w:rsidP="009C7D74" w:rsidRDefault="009C7D74" w14:paraId="2223B238" w14:textId="075595FC">
      <w:pPr>
        <w:tabs>
          <w:tab w:val="num" w:pos="720"/>
        </w:tabs>
        <w:jc w:val="both"/>
        <w:rPr>
          <w:lang w:val="es-PE"/>
        </w:rPr>
      </w:pPr>
      <w:r w:rsidRPr="24DF508E" w:rsidR="009C7D74">
        <w:rPr>
          <w:lang w:val="es-PE"/>
        </w:rPr>
        <w:t>Que, la reclamación interpuesta se sustenta resumidamente en lo siguiente:</w:t>
      </w:r>
      <w:r w:rsidR="009C7D74">
        <w:rPr/>
        <w:t xml:space="preserve"> </w:t>
      </w:r>
      <w:r w:rsidR="009C7D74">
        <w:rPr/>
        <w:t xml:space="preserve">a) </w:t>
      </w:r>
      <w:r w:rsidR="009C7D74">
        <w:rPr/>
        <w:t xml:space="preserve">El 21 de julio de 2021 solicitó cobertura por incapacidad temporal respecto al accidente de tránsito ocurrido el 22 de julio de 2019, en el cual intervino el vehículo con placa de rodaje Nro. </w:t>
      </w:r>
      <w:r w:rsidR="4290617F">
        <w:rPr/>
        <w:t>......................</w:t>
      </w:r>
      <w:r w:rsidR="009C7D74">
        <w:rPr/>
        <w:t xml:space="preserve">, asegurado por </w:t>
      </w:r>
      <w:r w:rsidR="4411398F">
        <w:rPr/>
        <w:t>............................</w:t>
      </w:r>
      <w:r w:rsidR="009C7D74">
        <w:rPr/>
        <w:t xml:space="preserve"> mediante la correspondiente póliza SOAT, b) No obstante, mediante carta de fecha 27 de julio de 2021, la aseguradora reiteró que rechazaba el otorgamiento de cobertura, destacando que, de acuerdo a la Denuncia Policial Nro. 095 en la Comisaría PNP Pachanguilla, la reclamante no aparece como ocupante del vehículo asegurado, sino del vehículo menor con placa de rodaje Nro. </w:t>
      </w:r>
      <w:r w:rsidR="003424C6">
        <w:rPr/>
        <w:t>....................</w:t>
      </w:r>
      <w:r w:rsidR="009C7D74">
        <w:rPr/>
        <w:t>, el mismo que carecía del SOAT, c) Se destaca que de acuerdo al artículo 2) del Reglamento del SOAT, el conductor, el propietario y, de ser el caso, la empresa de transporte, son responsable solidarios por los daños personales y materiales causados a los ocupantes y terceros no ocupantes del vehículo automotor, lo cual concuerda con su artículo 14, conforme al cual la responsabilidad de la aseguradora es exigible de manera inmediata, sin necesidad de investigación o pronunciamiento previo, por la sola ocurrencia del accidente y la acreditación de sus consecuencias, independientemente de la responsabilidad del conductor, del propietario o de la empresa de transporte, y d) Habiendo presentado en su oportunidad la documentación requerida, debe otorgarse la correspondiente cobertura;</w:t>
      </w:r>
    </w:p>
    <w:p w:rsidRPr="009C7D74" w:rsidR="009C7D74" w:rsidP="009C7D74" w:rsidRDefault="009C7D74" w14:paraId="4E78DEF7" w14:textId="77777777">
      <w:pPr>
        <w:jc w:val="both"/>
      </w:pPr>
    </w:p>
    <w:p w:rsidRPr="009C7D74" w:rsidR="009C7D74" w:rsidP="009C7D74" w:rsidRDefault="009C7D74" w14:paraId="0E0E94A8" w14:textId="7F721429">
      <w:pPr>
        <w:jc w:val="both"/>
      </w:pPr>
      <w:r w:rsidR="009C7D74">
        <w:rPr/>
        <w:t xml:space="preserve">Con fecha 9 de agosto de 2021, la reclamante presentó un escrito adicional, destacando que </w:t>
      </w:r>
      <w:r w:rsidR="4411398F">
        <w:rPr/>
        <w:t>............................</w:t>
      </w:r>
      <w:r w:rsidR="009C7D74">
        <w:rPr/>
        <w:t xml:space="preserve"> mantenía hasta la fecha su posición de negar la cobertura reclamada; </w:t>
      </w:r>
    </w:p>
    <w:p w:rsidRPr="009C7D74" w:rsidR="009C7D74" w:rsidP="009C7D74" w:rsidRDefault="009C7D74" w14:paraId="6069AC39" w14:textId="77777777">
      <w:pPr>
        <w:jc w:val="both"/>
        <w:rPr>
          <w:lang w:val="es-PE"/>
        </w:rPr>
      </w:pPr>
    </w:p>
    <w:p w:rsidRPr="009C7D74" w:rsidR="009C7D74" w:rsidP="009C7D74" w:rsidRDefault="009C7D74" w14:paraId="5100F394" w14:textId="6245C2EC">
      <w:pPr>
        <w:jc w:val="both"/>
      </w:pPr>
      <w:r w:rsidR="009C7D74">
        <w:rPr/>
        <w:t xml:space="preserve">Que, por su parte, ratificando el rechazo de cobertura, </w:t>
      </w:r>
      <w:r w:rsidR="4411398F">
        <w:rPr/>
        <w:t>............................</w:t>
      </w:r>
      <w:r w:rsidRPr="24DF508E" w:rsidR="009C7D74">
        <w:rPr>
          <w:lang w:val="es-PE"/>
        </w:rPr>
        <w:t xml:space="preserve"> expresa</w:t>
      </w:r>
      <w:r w:rsidR="009C7D74">
        <w:rPr/>
        <w:t xml:space="preserve"> resumidamente lo siguiente: </w:t>
      </w:r>
      <w:r w:rsidR="009C7D74">
        <w:rPr/>
        <w:t xml:space="preserve">a) </w:t>
      </w:r>
      <w:r w:rsidR="009C7D74">
        <w:rPr/>
        <w:t xml:space="preserve">Destaca, en primer lugar, que la reclamación ya ha prescrito </w:t>
      </w:r>
      <w:r w:rsidR="009C7D74">
        <w:rPr/>
        <w:t xml:space="preserve">al haber sido interpuesta luego de dos (2) años de ocurrido el accidente, b) Sin perjuicio de lo anterior, se destaca que, respecto a la solicitud del 21 de julio de 2021, mediante carta SINIESTROS.RS. Nro. 5120-2021 LPG del 27 de julio de 2021, se respondió a la reclamante informándole que no era procedente su solicitud porque en la producción del accidente vehicular era ocupante de la unidad participante que no contaba con el SOAT, c) Se destaca que, conforme al marco legal vigente, artículo 30 de la Ley Nro. 27181, todo vehículo automotor que circule debe contar con un SOAT vigente, siendo que en ese contexto el artículo 4 del Reglamento del SOAT estable que en caso de ocurrencia de un accidente se cubre a los ocupantes así como a terceros no ocupantes, estableciéndose en el artículo 2, la responsabilidad solidaria entre conductor, propietario y empresa de transporte, siendo que el artículo 17 regula la situación conforme a la cual, en caso que el accidente de tránsito se realice con la participación de dos o más vehículos, cada compañía será responsable de las indemnizaciones correspondientes a las personas transportadas en el vehículo que hubiese asegurado, siendo que, en esa situación, de no contar con el SOAT, responde solidariamente el conductor, el propietario y la empresa de transporte respecto de los daños generados a los ocupantes de dicho vehículo, lo cual corresponde precisamente a la situación a la que se contrae la reclamación, d) Se destaca también que la Corte Suprema de Justicia ha determinado en diversos pronunciamientos que no corresponde extender la protección del SOAT al conductor que no contase con el SOAT, así como tampoco a la unidad vehicular que cuente con el SOAT de otra empresa aseguradora; en consecuencia, se entiende que los agentes intervinientes en el transporte, incluyendo a los conductores, son responsables y deben asumir las consecuencias de sus decisiones, que en este caso es conducir sin contratar un SOAT para su vehículo, por lo que no es correcto que, ante la ocurrencia de un siniestro, se reclame a la aseguradora del otro vehículo que si cumplió con la obligación legal de contratar el SOAT, y </w:t>
      </w:r>
      <w:r w:rsidR="009C7D74">
        <w:rPr/>
        <w:t>e</w:t>
      </w:r>
      <w:r w:rsidR="009C7D74">
        <w:rPr/>
        <w:t>) Se pone de manifiesto finalmente que, corresponde al reclamante probar los hechos que sustentan su posición, de lo contrario, su reclamación debe ser desestimada por inobservancia de dicha carga probatoria;</w:t>
      </w:r>
    </w:p>
    <w:p w:rsidRPr="009C7D74" w:rsidR="009C7D74" w:rsidP="009C7D74" w:rsidRDefault="009C7D74" w14:paraId="2C8D4BAF" w14:textId="77777777">
      <w:pPr>
        <w:jc w:val="both"/>
        <w:rPr>
          <w:lang w:val="es-PE"/>
        </w:rPr>
      </w:pPr>
    </w:p>
    <w:p w:rsidRPr="009C7D74" w:rsidR="009C7D74" w:rsidP="009C7D74" w:rsidRDefault="009C7D74" w14:paraId="439D4706" w14:textId="77777777">
      <w:pPr>
        <w:jc w:val="both"/>
      </w:pPr>
      <w:r w:rsidRPr="009C7D74">
        <w:rPr>
          <w:bCs/>
          <w:lang w:val="es-PE"/>
        </w:rPr>
        <w:t>Que,</w:t>
      </w:r>
      <w:r w:rsidRPr="009C7D74">
        <w:rPr>
          <w:lang w:val="es-PE"/>
        </w:rPr>
        <w:t xml:space="preserve"> a la fecha, el estado del proceso permite que este colegiado pueda expedir su pronunciamiento sobre el caso sometido a su conocimiento, sobre la base de la información y de los documentos que obran en el expediente, así como de lo tratado en la audiencia de vista;</w:t>
      </w:r>
    </w:p>
    <w:p w:rsidRPr="009C7D74" w:rsidR="009C7D74" w:rsidP="009C7D74" w:rsidRDefault="009C7D74" w14:paraId="03BA91D7" w14:textId="77777777">
      <w:pPr>
        <w:jc w:val="both"/>
      </w:pPr>
    </w:p>
    <w:p w:rsidRPr="009C7D74" w:rsidR="009C7D74" w:rsidP="009C7D74" w:rsidRDefault="009C7D74" w14:paraId="2779A4B9" w14:textId="77777777">
      <w:pPr>
        <w:jc w:val="both"/>
        <w:outlineLvl w:val="0"/>
        <w:rPr>
          <w:lang w:val="es-PE"/>
        </w:rPr>
      </w:pPr>
      <w:r w:rsidRPr="009C7D74">
        <w:rPr>
          <w:rStyle w:val="Textoennegrita"/>
          <w:lang w:val="es-PE"/>
        </w:rPr>
        <w:t>Considerando:</w:t>
      </w:r>
    </w:p>
    <w:p w:rsidRPr="009C7D74" w:rsidR="009C7D74" w:rsidP="009C7D74" w:rsidRDefault="009C7D74" w14:paraId="00B108DB" w14:textId="77777777">
      <w:pPr>
        <w:jc w:val="both"/>
        <w:rPr>
          <w:lang w:val="es-PE"/>
        </w:rPr>
      </w:pPr>
    </w:p>
    <w:p w:rsidRPr="009C7D74" w:rsidR="009C7D74" w:rsidP="009C7D74" w:rsidRDefault="009C7D74" w14:paraId="22AD5D27" w14:textId="77777777">
      <w:pPr>
        <w:jc w:val="both"/>
        <w:rPr>
          <w:lang w:val="es-PE"/>
        </w:rPr>
      </w:pPr>
      <w:r w:rsidRPr="009C7D74">
        <w:rPr>
          <w:b/>
          <w:u w:val="single"/>
          <w:lang w:val="es-PE"/>
        </w:rPr>
        <w:t>Primero</w:t>
      </w:r>
      <w:r w:rsidRPr="009C7D74">
        <w:rPr>
          <w:b/>
          <w:lang w:val="es-PE"/>
        </w:rPr>
        <w:t xml:space="preserve">: </w:t>
      </w:r>
      <w:r w:rsidRPr="009C7D74">
        <w:rPr>
          <w:lang w:val="es-PE"/>
        </w:rPr>
        <w:t>Que, conforme a su Reglamento, la</w:t>
      </w:r>
      <w:r w:rsidRPr="009C7D74">
        <w:rPr>
          <w:b/>
          <w:bCs/>
          <w:lang w:val="es-PE"/>
        </w:rPr>
        <w:t xml:space="preserve"> </w:t>
      </w:r>
      <w:r w:rsidRPr="009C7D74">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C7D74" w:rsidR="009C7D74" w:rsidP="009C7D74" w:rsidRDefault="009C7D74" w14:paraId="6FDB5F5B" w14:textId="77777777">
      <w:pPr>
        <w:jc w:val="both"/>
        <w:rPr>
          <w:rStyle w:val="Textoennegrita"/>
          <w:b w:val="0"/>
          <w:lang w:val="es-PE"/>
        </w:rPr>
      </w:pPr>
    </w:p>
    <w:p w:rsidRPr="009C7D74" w:rsidR="009C7D74" w:rsidP="009C7D74" w:rsidRDefault="009C7D74" w14:paraId="4DE6289F" w14:textId="77777777">
      <w:pPr>
        <w:jc w:val="both"/>
        <w:rPr>
          <w:rStyle w:val="Textoennegrita"/>
          <w:b w:val="0"/>
          <w:lang w:val="es-PE"/>
        </w:rPr>
      </w:pPr>
      <w:r w:rsidRPr="009C7D74">
        <w:rPr>
          <w:rStyle w:val="Textoennegrita"/>
          <w:u w:val="single"/>
          <w:lang w:val="es-PE"/>
        </w:rPr>
        <w:t>Segundo</w:t>
      </w:r>
      <w:r w:rsidRPr="009C7D74">
        <w:rPr>
          <w:rStyle w:val="Textoennegrita"/>
          <w:lang w:val="es-PE"/>
        </w:rPr>
        <w:t>:</w:t>
      </w:r>
      <w:r w:rsidRPr="009C7D74">
        <w:rPr>
          <w:rStyle w:val="Textoennegrita"/>
          <w:b w:val="0"/>
          <w:lang w:val="es-PE"/>
        </w:rPr>
        <w:t xml:space="preserve"> </w:t>
      </w:r>
      <w:r w:rsidRPr="009C7D74">
        <w:rPr>
          <w:lang w:val="es-PE"/>
        </w:rPr>
        <w:t xml:space="preserve">Asimismo, de acuerdo a </w:t>
      </w:r>
      <w:r w:rsidRPr="009C7D74">
        <w:rPr>
          <w:rStyle w:val="Textoennegrita"/>
          <w:b w:val="0"/>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9C7D74">
        <w:rPr>
          <w:rStyle w:val="Textoennegrita"/>
          <w:b w:val="0"/>
          <w:lang w:val="es-PE"/>
        </w:rPr>
        <w:lastRenderedPageBreak/>
        <w:t>pueden ser las pretensiones indemnizatorias por daños y perjuicios, por reembolso de gastos, o idoneidad de servicios, son ajenas a la competencia funcional de esta Defensoría.</w:t>
      </w:r>
    </w:p>
    <w:p w:rsidRPr="009C7D74" w:rsidR="009C7D74" w:rsidP="009C7D74" w:rsidRDefault="009C7D74" w14:paraId="11B1360E" w14:textId="77777777">
      <w:pPr>
        <w:jc w:val="both"/>
        <w:rPr>
          <w:lang w:val="es-PE"/>
        </w:rPr>
      </w:pPr>
    </w:p>
    <w:p w:rsidRPr="009C7D74" w:rsidR="009C7D74" w:rsidP="009C7D74" w:rsidRDefault="009C7D74" w14:paraId="567365D7" w14:textId="77777777">
      <w:pPr>
        <w:jc w:val="both"/>
      </w:pPr>
      <w:r w:rsidRPr="009C7D74">
        <w:rPr>
          <w:rStyle w:val="Textoennegrita"/>
          <w:u w:val="single"/>
          <w:lang w:val="es-PE"/>
        </w:rPr>
        <w:t>Tercero</w:t>
      </w:r>
      <w:r w:rsidRPr="009C7D74">
        <w:rPr>
          <w:rStyle w:val="Textoennegrita"/>
          <w:lang w:val="es-PE"/>
        </w:rPr>
        <w:t>:</w:t>
      </w:r>
      <w:r w:rsidRPr="009C7D74">
        <w:rPr>
          <w:lang w:val="es-PE"/>
        </w:rPr>
        <w:t xml:space="preserve"> </w:t>
      </w:r>
      <w:r w:rsidRPr="009C7D74">
        <w:t>Que, tratándose en particular del  Seguro Obligatorio de Accidentes de Tránsito – SOAT debe considerarse los alcances de su respectiva regulación normativa, esto es, el Decreto Supremo Nro. 024-2002-MTC, el mismo que aprobó el Texto Único Ordenado (T.U.O.) del Reglamento Nacional de Responsabilidad Civil y Seguros Obligatorios por Accidentes de Tránsito (Reglamento SOAT), siendo que el artículo I de la Ley Nro. 29946 – Ley del Contrato de Seguro, establece que sus disposiciones son supletorias en materia de seguros obligatorios, como es el caso del SOAT.</w:t>
      </w:r>
    </w:p>
    <w:p w:rsidRPr="009C7D74" w:rsidR="009C7D74" w:rsidP="009C7D74" w:rsidRDefault="009C7D74" w14:paraId="2416D022" w14:textId="77777777">
      <w:pPr>
        <w:contextualSpacing/>
        <w:jc w:val="both"/>
        <w:rPr>
          <w:b/>
          <w:u w:val="single"/>
          <w:lang w:val="es-PE"/>
        </w:rPr>
      </w:pPr>
    </w:p>
    <w:p w:rsidRPr="009C7D74" w:rsidR="009C7D74" w:rsidP="009C7D74" w:rsidRDefault="009C7D74" w14:paraId="1A3B78D4" w14:textId="7FF0D8ED">
      <w:pPr>
        <w:tabs>
          <w:tab w:val="left" w:pos="2160"/>
        </w:tabs>
        <w:jc w:val="both"/>
        <w:rPr>
          <w:lang w:val="es-PE"/>
        </w:rPr>
      </w:pPr>
      <w:r w:rsidRPr="24DF508E" w:rsidR="009C7D74">
        <w:rPr>
          <w:b w:val="1"/>
          <w:bCs w:val="1"/>
          <w:u w:val="single"/>
          <w:lang w:val="es-PE"/>
        </w:rPr>
        <w:t>Cuarto</w:t>
      </w:r>
      <w:r w:rsidRPr="24DF508E" w:rsidR="009C7D74">
        <w:rPr>
          <w:b w:val="1"/>
          <w:bCs w:val="1"/>
          <w:lang w:val="es-PE"/>
        </w:rPr>
        <w:t>:</w:t>
      </w:r>
      <w:r w:rsidRPr="24DF508E" w:rsidR="009C7D74">
        <w:rPr>
          <w:lang w:val="es-PE"/>
        </w:rPr>
        <w:t xml:space="preserve"> Que, tratándose de la prescripción invocada por </w:t>
      </w:r>
      <w:r w:rsidRPr="24DF508E" w:rsidR="4411398F">
        <w:rPr>
          <w:lang w:val="es-PE"/>
        </w:rPr>
        <w:t>............................</w:t>
      </w:r>
      <w:r w:rsidRPr="24DF508E" w:rsidR="009C7D74">
        <w:rPr>
          <w:lang w:val="es-PE"/>
        </w:rPr>
        <w:t xml:space="preserve">, corresponde desestimarla de plano, en atención que conforme está probado en el expediente, antes que operase el plazo de prescripción extintiva por responsabilidad extracontractual, la reclamante solicitó cobertura a </w:t>
      </w:r>
      <w:r w:rsidRPr="24DF508E" w:rsidR="4411398F">
        <w:rPr>
          <w:lang w:val="es-PE"/>
        </w:rPr>
        <w:t>............................</w:t>
      </w:r>
      <w:r w:rsidRPr="24DF508E" w:rsidR="009C7D74">
        <w:rPr>
          <w:lang w:val="es-PE"/>
        </w:rPr>
        <w:t xml:space="preserve">, lo cual corresponde legalmente a un supuesto de interrupción del plazo </w:t>
      </w:r>
      <w:r w:rsidRPr="24DF508E" w:rsidR="009C7D74">
        <w:rPr>
          <w:lang w:val="es-PE"/>
        </w:rPr>
        <w:t>prescriptorio</w:t>
      </w:r>
      <w:r w:rsidRPr="24DF508E" w:rsidR="009C7D74">
        <w:rPr>
          <w:lang w:val="es-PE"/>
        </w:rPr>
        <w:t>, siendo que al haber sido rechazada dicha solicitud, ello haya derivado en que se haya recurrido en reclamación ante la DEFASEG.</w:t>
      </w:r>
    </w:p>
    <w:p w:rsidRPr="009C7D74" w:rsidR="009C7D74" w:rsidP="009C7D74" w:rsidRDefault="009C7D74" w14:paraId="769713A3" w14:textId="77777777">
      <w:pPr>
        <w:tabs>
          <w:tab w:val="left" w:pos="2160"/>
        </w:tabs>
        <w:jc w:val="both"/>
        <w:rPr>
          <w:lang w:val="es-PE"/>
        </w:rPr>
      </w:pPr>
    </w:p>
    <w:p w:rsidRPr="009C7D74" w:rsidR="009C7D74" w:rsidP="009C7D74" w:rsidRDefault="009C7D74" w14:paraId="1CD93E04" w14:textId="77777777">
      <w:pPr>
        <w:tabs>
          <w:tab w:val="left" w:pos="2160"/>
        </w:tabs>
        <w:jc w:val="both"/>
        <w:rPr>
          <w:lang w:val="es-PE"/>
        </w:rPr>
      </w:pPr>
      <w:r w:rsidRPr="009C7D74">
        <w:rPr>
          <w:b/>
          <w:u w:val="single"/>
          <w:lang w:val="es-PE"/>
        </w:rPr>
        <w:t>Quinto</w:t>
      </w:r>
      <w:r w:rsidRPr="009C7D74">
        <w:rPr>
          <w:b/>
          <w:lang w:val="es-PE"/>
        </w:rPr>
        <w:t>:</w:t>
      </w:r>
      <w:r w:rsidRPr="009C7D74">
        <w:rPr>
          <w:lang w:val="es-PE"/>
        </w:rPr>
        <w:t xml:space="preserve"> Que, conforme a los términos del rechazo, así como a la reclamación y su absolución, la solución de la presente controversia consiste en determinar si el rechazo de siniestro informado por la aseguradora es legítimo o no. </w:t>
      </w:r>
    </w:p>
    <w:p w:rsidRPr="009C7D74" w:rsidR="009C7D74" w:rsidP="009C7D74" w:rsidRDefault="009C7D74" w14:paraId="552CE536" w14:textId="77777777">
      <w:pPr>
        <w:tabs>
          <w:tab w:val="left" w:pos="2160"/>
        </w:tabs>
        <w:jc w:val="both"/>
        <w:rPr>
          <w:lang w:val="es-PE"/>
        </w:rPr>
      </w:pPr>
    </w:p>
    <w:p w:rsidRPr="009C7D74" w:rsidR="009C7D74" w:rsidP="009C7D74" w:rsidRDefault="009C7D74" w14:paraId="36622694" w14:textId="77777777">
      <w:pPr>
        <w:tabs>
          <w:tab w:val="left" w:pos="2160"/>
        </w:tabs>
        <w:jc w:val="both"/>
        <w:rPr>
          <w:lang w:val="es-PE"/>
        </w:rPr>
      </w:pPr>
      <w:r w:rsidRPr="009C7D74">
        <w:rPr>
          <w:lang w:val="es-PE"/>
        </w:rPr>
        <w:t xml:space="preserve">Al respecto, esta Defensoría debe destacar que de manera consistente y uniforme en distintas resoluciones expedidas, se ha pronunciado en el sentido que la aseguradora contratante del SOAT de una unidad vehicular, no está obligada a otorgar cobertura a los ocupantes de la segunda unidad vehicular que haya participado en la producción de un accidente vehicular y cuyo propietario haya omitido con su obligación legal de contratar el SOAT, conforme se puede apreciar, entre otras, de las Resoluciones </w:t>
      </w:r>
      <w:proofErr w:type="spellStart"/>
      <w:r w:rsidRPr="009C7D74">
        <w:rPr>
          <w:lang w:val="es-PE"/>
        </w:rPr>
        <w:t>Nros</w:t>
      </w:r>
      <w:proofErr w:type="spellEnd"/>
      <w:r w:rsidRPr="009C7D74">
        <w:rPr>
          <w:lang w:val="es-PE"/>
        </w:rPr>
        <w:t>. 039/19 y 128/19 del año 2019, como de la Resolución Nro. 062/2010, emitida en el año 2010, de manera que los argumentos jurídicos expuestos en dichas resoluciones resultan aplicables al presente caso.</w:t>
      </w:r>
    </w:p>
    <w:p w:rsidRPr="009C7D74" w:rsidR="009C7D74" w:rsidP="009C7D74" w:rsidRDefault="009C7D74" w14:paraId="6E6ECD0F" w14:textId="77777777">
      <w:pPr>
        <w:tabs>
          <w:tab w:val="left" w:pos="2160"/>
        </w:tabs>
        <w:jc w:val="both"/>
        <w:rPr>
          <w:lang w:val="es-PE"/>
        </w:rPr>
      </w:pPr>
    </w:p>
    <w:p w:rsidRPr="009C7D74" w:rsidR="009C7D74" w:rsidP="009C7D74" w:rsidRDefault="009C7D74" w14:paraId="2BBDBBBA" w14:textId="77777777">
      <w:pPr>
        <w:tabs>
          <w:tab w:val="left" w:pos="2160"/>
        </w:tabs>
        <w:jc w:val="both"/>
        <w:rPr>
          <w:lang w:val="es-PE"/>
        </w:rPr>
      </w:pPr>
      <w:r w:rsidRPr="009C7D74">
        <w:rPr>
          <w:lang w:val="es-PE"/>
        </w:rPr>
        <w:t>Para ello, resulta pertinente transcribir el artículo 17º del Reglamento Nacional de Responsabilidad Civil y Seguros Obligatorios por Accidentes de Tránsito (según texto final conforme al Decreto Supremo Nro. 001-2004-MTC), cuyos alcances se analizarán en esta resolución:</w:t>
      </w:r>
    </w:p>
    <w:p w:rsidRPr="009C7D74" w:rsidR="009C7D74" w:rsidP="009C7D74" w:rsidRDefault="009C7D74" w14:paraId="28D78B0A" w14:textId="77777777">
      <w:pPr>
        <w:pStyle w:val="NormalWeb"/>
        <w:jc w:val="both"/>
        <w:rPr>
          <w:lang w:val="es-PE"/>
        </w:rPr>
      </w:pPr>
    </w:p>
    <w:p w:rsidRPr="009C7D74" w:rsidR="009C7D74" w:rsidP="009C7D74" w:rsidRDefault="009C7D74" w14:paraId="6FFDC882" w14:textId="77777777">
      <w:pPr>
        <w:pStyle w:val="NormalWeb"/>
        <w:ind w:left="720"/>
        <w:jc w:val="both"/>
        <w:rPr>
          <w:i/>
          <w:color w:val="000000"/>
        </w:rPr>
      </w:pPr>
      <w:r w:rsidRPr="009C7D74">
        <w:rPr>
          <w:i/>
          <w:lang w:val="es-PE"/>
        </w:rPr>
        <w:t>“</w:t>
      </w:r>
      <w:r w:rsidRPr="009C7D74">
        <w:rPr>
          <w:i/>
          <w:color w:val="000000"/>
        </w:rPr>
        <w:t xml:space="preserve">Artículo 17: En caso de accidentes de tránsito en que hayan participado dos o más vehículos, </w:t>
      </w:r>
      <w:r w:rsidRPr="009C7D74">
        <w:rPr>
          <w:b/>
          <w:i/>
          <w:color w:val="000000"/>
        </w:rPr>
        <w:t>cada compañía de seguros será responsable de las indemnizaciones correspondientes a las personas transportadas en el vehículo por ella asegurado</w:t>
      </w:r>
      <w:r w:rsidRPr="009C7D74">
        <w:rPr>
          <w:i/>
          <w:color w:val="000000"/>
        </w:rPr>
        <w:t>.</w:t>
      </w:r>
    </w:p>
    <w:p w:rsidRPr="009C7D74" w:rsidR="009C7D74" w:rsidP="009C7D74" w:rsidRDefault="009C7D74" w14:paraId="7602272C" w14:textId="77777777">
      <w:pPr>
        <w:pStyle w:val="NormalWeb"/>
        <w:ind w:left="720"/>
        <w:jc w:val="both"/>
        <w:rPr>
          <w:i/>
          <w:color w:val="000000"/>
        </w:rPr>
      </w:pPr>
      <w:r w:rsidRPr="009C7D74">
        <w:rPr>
          <w:i/>
          <w:color w:val="000000"/>
        </w:rPr>
        <w:t xml:space="preserve">     En caso de </w:t>
      </w:r>
      <w:r w:rsidRPr="009C7D74">
        <w:rPr>
          <w:b/>
          <w:i/>
          <w:color w:val="000000"/>
        </w:rPr>
        <w:t>peatones o terceros no ocupantes</w:t>
      </w:r>
      <w:r w:rsidRPr="009C7D74">
        <w:rPr>
          <w:i/>
          <w:color w:val="000000"/>
        </w:rPr>
        <w:t xml:space="preserve"> de vehículos automotores, las compañías de seguros intervinientes serán responsables solidariamente de las indemnizaciones que correspondan a dichas personas o su (s) beneficiario (s).</w:t>
      </w:r>
    </w:p>
    <w:p w:rsidRPr="009C7D74" w:rsidR="009C7D74" w:rsidP="009C7D74" w:rsidRDefault="009C7D74" w14:paraId="4BA5BE3E" w14:textId="77777777">
      <w:pPr>
        <w:pStyle w:val="NormalWeb"/>
        <w:ind w:left="720"/>
        <w:jc w:val="both"/>
        <w:rPr>
          <w:i/>
          <w:color w:val="000000"/>
        </w:rPr>
      </w:pPr>
      <w:r w:rsidRPr="009C7D74">
        <w:rPr>
          <w:i/>
          <w:color w:val="000000"/>
        </w:rPr>
        <w:t xml:space="preserve">     En este último caso, la compañía de seguros que hubiere pagado tendrá derecho a repetir contra las demás para exigirles su correspondiente participación sin </w:t>
      </w:r>
      <w:r w:rsidRPr="009C7D74">
        <w:rPr>
          <w:i/>
          <w:color w:val="000000"/>
        </w:rPr>
        <w:lastRenderedPageBreak/>
        <w:t>perjuicio de los convenios que para el efecto puedan celebrar las compañías de seguros involucradas.</w:t>
      </w:r>
    </w:p>
    <w:p w:rsidRPr="009C7D74" w:rsidR="009C7D74" w:rsidP="009C7D74" w:rsidRDefault="009C7D74" w14:paraId="308022B9" w14:textId="77777777">
      <w:pPr>
        <w:pStyle w:val="NormalWeb"/>
        <w:ind w:left="720"/>
        <w:jc w:val="both"/>
        <w:rPr>
          <w:i/>
          <w:color w:val="000000"/>
        </w:rPr>
      </w:pPr>
      <w:r w:rsidRPr="009C7D74">
        <w:rPr>
          <w:b/>
          <w:bCs/>
          <w:i/>
          <w:color w:val="000000"/>
        </w:rPr>
        <w:t>     En el caso que alguno de los vehículos que participa en el accidente de tránsito no contase</w:t>
      </w:r>
      <w:r w:rsidRPr="009C7D74">
        <w:rPr>
          <w:b/>
          <w:i/>
          <w:color w:val="000000"/>
        </w:rPr>
        <w:t xml:space="preserve"> con el Seguro Obligatorio de Accidentes de Tránsito, el propietario, el conductor</w:t>
      </w:r>
      <w:r w:rsidRPr="009C7D74">
        <w:rPr>
          <w:i/>
          <w:color w:val="000000"/>
        </w:rPr>
        <w:t xml:space="preserve"> y en su caso, el prestador del servicio de transporte </w:t>
      </w:r>
      <w:r w:rsidRPr="009C7D74">
        <w:rPr>
          <w:b/>
          <w:i/>
          <w:color w:val="000000"/>
        </w:rPr>
        <w:t>responden solidariamente</w:t>
      </w:r>
      <w:r w:rsidRPr="009C7D74">
        <w:rPr>
          <w:i/>
          <w:color w:val="000000"/>
        </w:rPr>
        <w:t xml:space="preserv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 </w:t>
      </w:r>
      <w:r w:rsidRPr="009C7D74">
        <w:rPr>
          <w:color w:val="000000"/>
        </w:rPr>
        <w:t>(los resaltados son nuestros)</w:t>
      </w:r>
    </w:p>
    <w:p w:rsidRPr="009C7D74" w:rsidR="009C7D74" w:rsidP="009C7D74" w:rsidRDefault="009C7D74" w14:paraId="3EC0D0A6" w14:textId="77777777">
      <w:pPr>
        <w:tabs>
          <w:tab w:val="left" w:pos="2160"/>
        </w:tabs>
        <w:jc w:val="both"/>
        <w:rPr>
          <w:lang w:val="es-PE"/>
        </w:rPr>
      </w:pPr>
    </w:p>
    <w:p w:rsidRPr="009C7D74" w:rsidR="009C7D74" w:rsidP="009C7D74" w:rsidRDefault="009C7D74" w14:paraId="0611480D" w14:textId="77777777">
      <w:pPr>
        <w:tabs>
          <w:tab w:val="left" w:pos="2160"/>
        </w:tabs>
        <w:jc w:val="both"/>
        <w:rPr>
          <w:lang w:val="es-PE"/>
        </w:rPr>
      </w:pPr>
      <w:r w:rsidRPr="009C7D74">
        <w:rPr>
          <w:b/>
          <w:u w:val="single"/>
          <w:lang w:val="es-PE"/>
        </w:rPr>
        <w:t>Sexto:</w:t>
      </w:r>
      <w:r w:rsidRPr="009C7D74">
        <w:rPr>
          <w:lang w:val="es-PE"/>
        </w:rPr>
        <w:t xml:space="preserve"> El artículo 17 del Reglamento SOAT antes referido regula los siguientes supuestos de un accidente entre más de dos vehículos motorizados (vehículos obligados a contratar la cobertura del SOAT, tal como lo dispone el artículo 3 del citado dispositivo):</w:t>
      </w:r>
    </w:p>
    <w:p w:rsidRPr="009C7D74" w:rsidR="009C7D74" w:rsidP="009C7D74" w:rsidRDefault="009C7D74" w14:paraId="6005C2BC" w14:textId="77777777">
      <w:pPr>
        <w:tabs>
          <w:tab w:val="left" w:pos="2160"/>
        </w:tabs>
        <w:jc w:val="both"/>
        <w:rPr>
          <w:lang w:val="es-PE"/>
        </w:rPr>
      </w:pPr>
    </w:p>
    <w:p w:rsidRPr="009C7D74" w:rsidR="009C7D74" w:rsidP="009C7D74" w:rsidRDefault="009C7D74" w14:paraId="580C7FFC" w14:textId="77777777">
      <w:pPr>
        <w:pStyle w:val="Prrafodelista"/>
        <w:numPr>
          <w:ilvl w:val="1"/>
          <w:numId w:val="7"/>
        </w:numPr>
        <w:tabs>
          <w:tab w:val="left" w:pos="2160"/>
        </w:tabs>
        <w:spacing w:after="200" w:line="276" w:lineRule="auto"/>
        <w:jc w:val="both"/>
      </w:pPr>
      <w:r w:rsidRPr="009C7D74">
        <w:t>Todos los vehículos involucrados en el accidente cuentan con SOAT (supuesto considerado implícitamente en el primer párrafo del artículo 17).</w:t>
      </w:r>
    </w:p>
    <w:p w:rsidRPr="009C7D74" w:rsidR="009C7D74" w:rsidP="009C7D74" w:rsidRDefault="009C7D74" w14:paraId="7296D0A4" w14:textId="77777777">
      <w:pPr>
        <w:pStyle w:val="Prrafodelista"/>
        <w:tabs>
          <w:tab w:val="left" w:pos="2160"/>
        </w:tabs>
        <w:ind w:left="360"/>
        <w:jc w:val="both"/>
      </w:pPr>
    </w:p>
    <w:p w:rsidRPr="009C7D74" w:rsidR="009C7D74" w:rsidP="009C7D74" w:rsidRDefault="009C7D74" w14:paraId="1ECF2B93" w14:textId="77777777">
      <w:pPr>
        <w:pStyle w:val="Prrafodelista"/>
        <w:tabs>
          <w:tab w:val="left" w:pos="2160"/>
        </w:tabs>
        <w:ind w:left="709"/>
        <w:jc w:val="both"/>
      </w:pPr>
      <w:r w:rsidRPr="009C7D74">
        <w:t>En dicho supuesto la norma dispone que “</w:t>
      </w:r>
      <w:r w:rsidRPr="009C7D74">
        <w:rPr>
          <w:i/>
          <w:color w:val="000000"/>
        </w:rPr>
        <w:t>cada compañía de seguros será responsable de las indemnizaciones correspondientes a las personas transportadas en el vehículo por ella asegurado”</w:t>
      </w:r>
      <w:r w:rsidRPr="009C7D74">
        <w:t>.</w:t>
      </w:r>
    </w:p>
    <w:p w:rsidRPr="009C7D74" w:rsidR="009C7D74" w:rsidP="009C7D74" w:rsidRDefault="009C7D74" w14:paraId="0CC773F5" w14:textId="77777777">
      <w:pPr>
        <w:pStyle w:val="Prrafodelista"/>
        <w:tabs>
          <w:tab w:val="left" w:pos="2160"/>
        </w:tabs>
        <w:ind w:left="709"/>
        <w:jc w:val="both"/>
      </w:pPr>
    </w:p>
    <w:p w:rsidRPr="009C7D74" w:rsidR="009C7D74" w:rsidP="009C7D74" w:rsidRDefault="009C7D74" w14:paraId="5AB83167" w14:textId="77777777">
      <w:pPr>
        <w:pStyle w:val="Prrafodelista"/>
        <w:tabs>
          <w:tab w:val="left" w:pos="2160"/>
        </w:tabs>
        <w:ind w:left="709"/>
        <w:jc w:val="both"/>
        <w:rPr>
          <w:color w:val="000000"/>
        </w:rPr>
      </w:pPr>
      <w:r w:rsidRPr="009C7D74">
        <w:t>De manera adicional se añade, en el segundo párrafo, que respecto de los peatones o terceros no ocupantes (los que por su sola definición no serían ni el conductor ni las personas transportadas en los vehículos motorizados)</w:t>
      </w:r>
      <w:r w:rsidRPr="009C7D74">
        <w:rPr>
          <w:i/>
          <w:color w:val="000000"/>
        </w:rPr>
        <w:t xml:space="preserve">, “las compañías de seguros intervinientes serán responsables solidariamente de las indemnizaciones que correspondan a dichas personas o su (s) beneficiario (s)”; </w:t>
      </w:r>
      <w:r w:rsidRPr="009C7D74">
        <w:rPr>
          <w:color w:val="000000"/>
        </w:rPr>
        <w:t xml:space="preserve">y en el tercer párrafo se establece que la aseguradora que asumió el gasto en exceso a su participación podrá repetir contra las demás conforme se indica en dicho artículo. </w:t>
      </w:r>
    </w:p>
    <w:p w:rsidRPr="009C7D74" w:rsidR="009C7D74" w:rsidP="009C7D74" w:rsidRDefault="009C7D74" w14:paraId="674C2D7C" w14:textId="77777777">
      <w:pPr>
        <w:pStyle w:val="Prrafodelista"/>
        <w:tabs>
          <w:tab w:val="left" w:pos="2160"/>
        </w:tabs>
        <w:ind w:left="360"/>
        <w:jc w:val="both"/>
      </w:pPr>
    </w:p>
    <w:p w:rsidRPr="009C7D74" w:rsidR="009C7D74" w:rsidP="009C7D74" w:rsidRDefault="009C7D74" w14:paraId="7079CB8E" w14:textId="77777777">
      <w:pPr>
        <w:pStyle w:val="Prrafodelista"/>
        <w:numPr>
          <w:ilvl w:val="1"/>
          <w:numId w:val="7"/>
        </w:numPr>
        <w:tabs>
          <w:tab w:val="left" w:pos="2160"/>
        </w:tabs>
        <w:spacing w:after="200" w:line="276" w:lineRule="auto"/>
        <w:jc w:val="both"/>
      </w:pPr>
      <w:r w:rsidRPr="009C7D74">
        <w:t>Uno de los vehículos participantes no cumplió con su obligación legal de contratar el SOAT (supuesto establecido en el cuarto párrafo del artículo 17).</w:t>
      </w:r>
    </w:p>
    <w:p w:rsidRPr="009C7D74" w:rsidR="009C7D74" w:rsidP="009C7D74" w:rsidRDefault="009C7D74" w14:paraId="0B82FACE" w14:textId="77777777">
      <w:pPr>
        <w:pStyle w:val="Prrafodelista"/>
        <w:tabs>
          <w:tab w:val="left" w:pos="2160"/>
        </w:tabs>
        <w:ind w:left="360"/>
        <w:jc w:val="both"/>
      </w:pPr>
    </w:p>
    <w:p w:rsidRPr="009C7D74" w:rsidR="009C7D74" w:rsidP="009C7D74" w:rsidRDefault="009C7D74" w14:paraId="3ADC59D3" w14:textId="77777777">
      <w:pPr>
        <w:pStyle w:val="Prrafodelista"/>
        <w:tabs>
          <w:tab w:val="left" w:pos="2160"/>
        </w:tabs>
        <w:ind w:left="709"/>
        <w:jc w:val="both"/>
        <w:rPr>
          <w:color w:val="000000"/>
        </w:rPr>
      </w:pPr>
      <w:r w:rsidRPr="009C7D74">
        <w:t>En este supuesto la norma señala que “</w:t>
      </w:r>
      <w:r w:rsidRPr="009C7D74">
        <w:rPr>
          <w:i/>
          <w:color w:val="000000"/>
        </w:rPr>
        <w:t xml:space="preserve">el propietario, el conductor y en su caso, </w:t>
      </w:r>
      <w:proofErr w:type="gramStart"/>
      <w:r w:rsidRPr="009C7D74">
        <w:rPr>
          <w:i/>
          <w:color w:val="000000"/>
        </w:rPr>
        <w:t>el prestador del servicio de transporte responden solidariamente</w:t>
      </w:r>
      <w:proofErr w:type="gramEnd"/>
      <w:r w:rsidRPr="009C7D74">
        <w:rPr>
          <w:i/>
          <w:color w:val="000000"/>
        </w:rPr>
        <w:t xml:space="preserve"> </w:t>
      </w:r>
      <w:r w:rsidRPr="009C7D74">
        <w:rPr>
          <w:b/>
          <w:i/>
          <w:color w:val="000000"/>
        </w:rPr>
        <w:t xml:space="preserve">frente a los ocupantes de </w:t>
      </w:r>
      <w:r w:rsidRPr="009C7D74">
        <w:rPr>
          <w:b/>
          <w:i/>
          <w:color w:val="000000"/>
          <w:u w:val="single"/>
        </w:rPr>
        <w:t>dicho</w:t>
      </w:r>
      <w:r w:rsidRPr="009C7D74">
        <w:rPr>
          <w:b/>
          <w:i/>
          <w:color w:val="000000"/>
        </w:rPr>
        <w:t xml:space="preserve"> vehículo, terceros no ocupantes</w:t>
      </w:r>
      <w:r w:rsidRPr="009C7D74">
        <w:rPr>
          <w:i/>
          <w:color w:val="000000"/>
        </w:rPr>
        <w:t xml:space="preserve">, establecimientos de salud y compañías de seguros por el monto de los gastos incurridos y/o indemnizaciones que éstos hubieren pagado a los accidentados frente a los cuales, los sujetos antes mencionados, resulten responsables”. </w:t>
      </w:r>
      <w:r w:rsidRPr="009C7D74">
        <w:rPr>
          <w:color w:val="000000"/>
        </w:rPr>
        <w:t>(El resaltado y subrayado es nuestro).</w:t>
      </w:r>
    </w:p>
    <w:p w:rsidRPr="009C7D74" w:rsidR="009C7D74" w:rsidP="009C7D74" w:rsidRDefault="009C7D74" w14:paraId="326EB4D7" w14:textId="77777777">
      <w:pPr>
        <w:pStyle w:val="Prrafodelista"/>
        <w:tabs>
          <w:tab w:val="left" w:pos="2160"/>
        </w:tabs>
        <w:ind w:left="709"/>
        <w:jc w:val="both"/>
        <w:rPr>
          <w:color w:val="000000"/>
        </w:rPr>
      </w:pPr>
    </w:p>
    <w:p w:rsidRPr="009C7D74" w:rsidR="009C7D74" w:rsidP="009C7D74" w:rsidRDefault="009C7D74" w14:paraId="5C1C76FE" w14:textId="77777777">
      <w:pPr>
        <w:pStyle w:val="Prrafodelista"/>
        <w:tabs>
          <w:tab w:val="left" w:pos="2160"/>
        </w:tabs>
        <w:ind w:left="709"/>
        <w:jc w:val="both"/>
        <w:rPr>
          <w:color w:val="000000"/>
        </w:rPr>
      </w:pPr>
      <w:r w:rsidRPr="009C7D74">
        <w:rPr>
          <w:color w:val="000000"/>
        </w:rPr>
        <w:t xml:space="preserve">Como se aprecia de la lectura previa, en dicho supuesto, se sanciona solidariamente a tres personas vinculadas al vehículo que omitió contratar al SOAT: al propietario del vehículo, al conductor </w:t>
      </w:r>
      <w:proofErr w:type="gramStart"/>
      <w:r w:rsidRPr="009C7D74">
        <w:rPr>
          <w:color w:val="000000"/>
        </w:rPr>
        <w:t>del mismo</w:t>
      </w:r>
      <w:proofErr w:type="gramEnd"/>
      <w:r w:rsidRPr="009C7D74">
        <w:rPr>
          <w:color w:val="000000"/>
        </w:rPr>
        <w:t xml:space="preserve">, o al prestador del servicio de transporte si fuera el caso. </w:t>
      </w:r>
    </w:p>
    <w:p w:rsidRPr="009C7D74" w:rsidR="009C7D74" w:rsidP="009C7D74" w:rsidRDefault="009C7D74" w14:paraId="4B0DD4C6" w14:textId="77777777">
      <w:pPr>
        <w:pStyle w:val="Prrafodelista"/>
        <w:tabs>
          <w:tab w:val="left" w:pos="2160"/>
        </w:tabs>
        <w:ind w:left="709"/>
        <w:jc w:val="both"/>
        <w:rPr>
          <w:color w:val="000000"/>
        </w:rPr>
      </w:pPr>
    </w:p>
    <w:p w:rsidRPr="009C7D74" w:rsidR="009C7D74" w:rsidP="009C7D74" w:rsidRDefault="009C7D74" w14:paraId="6CA89C59" w14:textId="77777777">
      <w:pPr>
        <w:pStyle w:val="Prrafodelista"/>
        <w:tabs>
          <w:tab w:val="left" w:pos="2160"/>
        </w:tabs>
        <w:ind w:left="709"/>
        <w:jc w:val="both"/>
        <w:rPr>
          <w:color w:val="000000"/>
        </w:rPr>
      </w:pPr>
      <w:r w:rsidRPr="009C7D74">
        <w:rPr>
          <w:color w:val="000000"/>
        </w:rPr>
        <w:lastRenderedPageBreak/>
        <w:t xml:space="preserve">También se desprende de la parte final de este cuarto párrafo, lo siguiente: </w:t>
      </w:r>
    </w:p>
    <w:p w:rsidRPr="009C7D74" w:rsidR="009C7D74" w:rsidP="009C7D74" w:rsidRDefault="009C7D74" w14:paraId="1B82FC2B" w14:textId="77777777">
      <w:pPr>
        <w:pStyle w:val="Prrafodelista"/>
        <w:tabs>
          <w:tab w:val="left" w:pos="2160"/>
        </w:tabs>
        <w:ind w:left="709"/>
        <w:jc w:val="both"/>
        <w:rPr>
          <w:color w:val="000000"/>
        </w:rPr>
      </w:pPr>
    </w:p>
    <w:p w:rsidRPr="009C7D74" w:rsidR="009C7D74" w:rsidP="009C7D74" w:rsidRDefault="009C7D74" w14:paraId="0B10BE96" w14:textId="77777777">
      <w:pPr>
        <w:pStyle w:val="Prrafodelista"/>
        <w:numPr>
          <w:ilvl w:val="0"/>
          <w:numId w:val="6"/>
        </w:numPr>
        <w:tabs>
          <w:tab w:val="left" w:pos="1418"/>
          <w:tab w:val="left" w:pos="2160"/>
        </w:tabs>
        <w:ind w:left="1418" w:hanging="709"/>
        <w:jc w:val="both"/>
        <w:rPr>
          <w:color w:val="000000"/>
        </w:rPr>
      </w:pPr>
      <w:r w:rsidRPr="009C7D74">
        <w:rPr>
          <w:color w:val="000000"/>
        </w:rPr>
        <w:t xml:space="preserve">Se distingue entre “ocupantes del vehículo” y entre “terceros no ocupantes”. Un ocupante del vehículo automotor sería entonces un pasajero o el conductor (en este caso la señora Ana Vigo; y un tercero no ocupante sería un peatón o un tercero que se moviliza en un vehículo no automotor (bicicleta, </w:t>
      </w:r>
      <w:proofErr w:type="spellStart"/>
      <w:r w:rsidRPr="009C7D74">
        <w:rPr>
          <w:color w:val="000000"/>
        </w:rPr>
        <w:t>etc</w:t>
      </w:r>
      <w:proofErr w:type="spellEnd"/>
      <w:r w:rsidRPr="009C7D74">
        <w:rPr>
          <w:color w:val="000000"/>
        </w:rPr>
        <w:t>).</w:t>
      </w:r>
    </w:p>
    <w:p w:rsidRPr="009C7D74" w:rsidR="009C7D74" w:rsidP="009C7D74" w:rsidRDefault="009C7D74" w14:paraId="1C6C467A" w14:textId="77777777">
      <w:pPr>
        <w:pStyle w:val="Prrafodelista"/>
        <w:tabs>
          <w:tab w:val="left" w:pos="1560"/>
          <w:tab w:val="left" w:pos="2160"/>
        </w:tabs>
        <w:ind w:left="709"/>
        <w:jc w:val="both"/>
        <w:rPr>
          <w:color w:val="000000"/>
        </w:rPr>
      </w:pPr>
      <w:r w:rsidRPr="009C7D74">
        <w:rPr>
          <w:color w:val="000000"/>
        </w:rPr>
        <w:t xml:space="preserve"> </w:t>
      </w:r>
    </w:p>
    <w:p w:rsidRPr="009C7D74" w:rsidR="009C7D74" w:rsidP="009C7D74" w:rsidRDefault="009C7D74" w14:paraId="00D882D4" w14:textId="77777777">
      <w:pPr>
        <w:pStyle w:val="Prrafodelista"/>
        <w:numPr>
          <w:ilvl w:val="0"/>
          <w:numId w:val="6"/>
        </w:numPr>
        <w:tabs>
          <w:tab w:val="left" w:pos="1418"/>
          <w:tab w:val="left" w:pos="2160"/>
        </w:tabs>
        <w:ind w:left="1418" w:hanging="709"/>
        <w:jc w:val="both"/>
        <w:rPr>
          <w:color w:val="000000"/>
        </w:rPr>
      </w:pPr>
      <w:r w:rsidRPr="009C7D74">
        <w:rPr>
          <w:color w:val="000000"/>
        </w:rPr>
        <w:t xml:space="preserve">Que las compañías de seguros que hubieran pagado indemnizaciones </w:t>
      </w:r>
      <w:r w:rsidRPr="009C7D74">
        <w:rPr>
          <w:i/>
          <w:color w:val="000000"/>
        </w:rPr>
        <w:t>a los terceros no ocupantes respecto de los cuales tienen responsabilidad solidaria</w:t>
      </w:r>
      <w:r w:rsidRPr="009C7D74">
        <w:rPr>
          <w:color w:val="000000"/>
        </w:rPr>
        <w:t>, podrán repetir contra el propietario o conductor (o empresa de prestadora del servicio de transporte, si corresponde) por la responsabilidad que a estos últimos les compete.</w:t>
      </w:r>
    </w:p>
    <w:p w:rsidRPr="009C7D74" w:rsidR="009C7D74" w:rsidP="009C7D74" w:rsidRDefault="009C7D74" w14:paraId="0D1F9D97" w14:textId="77777777">
      <w:pPr>
        <w:pStyle w:val="Prrafodelista"/>
        <w:tabs>
          <w:tab w:val="left" w:pos="2160"/>
        </w:tabs>
        <w:ind w:left="851"/>
        <w:jc w:val="both"/>
        <w:rPr>
          <w:color w:val="000000"/>
        </w:rPr>
      </w:pPr>
    </w:p>
    <w:p w:rsidRPr="009C7D74" w:rsidR="009C7D74" w:rsidP="009C7D74" w:rsidRDefault="009C7D74" w14:paraId="10ED6188" w14:textId="77777777">
      <w:pPr>
        <w:pStyle w:val="Prrafodelista"/>
        <w:numPr>
          <w:ilvl w:val="1"/>
          <w:numId w:val="7"/>
        </w:numPr>
        <w:tabs>
          <w:tab w:val="left" w:pos="2160"/>
        </w:tabs>
        <w:jc w:val="both"/>
        <w:rPr>
          <w:color w:val="000000"/>
        </w:rPr>
      </w:pPr>
      <w:r w:rsidRPr="009C7D74">
        <w:rPr>
          <w:color w:val="000000"/>
        </w:rPr>
        <w:t xml:space="preserve">La reclamante solicita la cobertura por ser ocupante del vehículo que no contaba con SOAT. No obstante, </w:t>
      </w:r>
      <w:proofErr w:type="gramStart"/>
      <w:r w:rsidRPr="009C7D74">
        <w:rPr>
          <w:color w:val="000000"/>
        </w:rPr>
        <w:t>de acuerdo a</w:t>
      </w:r>
      <w:proofErr w:type="gramEnd"/>
      <w:r w:rsidRPr="009C7D74">
        <w:rPr>
          <w:color w:val="000000"/>
        </w:rPr>
        <w:t xml:space="preserve"> lo expuesto precedentemente, dicho ocupante no tiene la condición de “tercero no ocupante”, siendo que la ley solo presume la responsabilidad solidaria de las aseguradoras respecto de los “terceros no ocupantes”. </w:t>
      </w:r>
    </w:p>
    <w:p w:rsidRPr="009C7D74" w:rsidR="009C7D74" w:rsidP="009C7D74" w:rsidRDefault="009C7D74" w14:paraId="7DC35BCE" w14:textId="77777777">
      <w:pPr>
        <w:tabs>
          <w:tab w:val="left" w:pos="709"/>
          <w:tab w:val="left" w:pos="2160"/>
        </w:tabs>
        <w:jc w:val="both"/>
        <w:rPr>
          <w:color w:val="000000" w:themeColor="text1"/>
          <w:lang w:val="es-PE" w:eastAsia="es-PE"/>
        </w:rPr>
      </w:pPr>
    </w:p>
    <w:p w:rsidRPr="009C7D74" w:rsidR="009C7D74" w:rsidP="009C7D74" w:rsidRDefault="009C7D74" w14:paraId="4AA5FBA3" w14:textId="055332D0">
      <w:pPr>
        <w:tabs>
          <w:tab w:val="left" w:pos="709"/>
          <w:tab w:val="left" w:pos="2160"/>
        </w:tabs>
        <w:ind w:left="709"/>
        <w:jc w:val="both"/>
        <w:rPr>
          <w:color w:val="000000" w:themeColor="text1"/>
          <w:lang w:val="es-PE" w:eastAsia="es-PE"/>
        </w:rPr>
      </w:pPr>
      <w:r w:rsidRPr="24DF508E" w:rsidR="009C7D74">
        <w:rPr>
          <w:color w:val="000000" w:themeColor="text1" w:themeTint="FF" w:themeShade="FF"/>
          <w:lang w:val="es-PE" w:eastAsia="es-PE"/>
        </w:rPr>
        <w:t xml:space="preserve">En otras palabras, del señalado texto normativo no puede desprenderse que la aseguradora deba cubrir, haciendo efectivas las coberturas de la póliza SOAT contratada por su cliente (el propietario del vehículo </w:t>
      </w:r>
      <w:r w:rsidR="009C7D74">
        <w:rPr/>
        <w:t xml:space="preserve">con placa de rodaje Nro. </w:t>
      </w:r>
      <w:r w:rsidR="4290617F">
        <w:rPr/>
        <w:t>......................</w:t>
      </w:r>
      <w:r w:rsidR="009C7D74">
        <w:rPr/>
        <w:t>)</w:t>
      </w:r>
      <w:r w:rsidRPr="24DF508E" w:rsidR="009C7D74">
        <w:rPr>
          <w:color w:val="000000" w:themeColor="text1" w:themeTint="FF" w:themeShade="FF"/>
          <w:lang w:val="es-PE" w:eastAsia="es-PE"/>
        </w:rPr>
        <w:t>, los daños soportados por el conductor y/o los ocupantes de la otra unidad vehicular que participó en los hechos, al margen que la calificación de la actuación del conductor de la unidad asegurada sea concluyente, coadyuvante o ajena a lo sucedido.  En tal virtud, corresponde que los damnificados hagan efectiva la cobertura del SOAT de su propia unidad vehicular.  No obstante, si</w:t>
      </w:r>
      <w:r w:rsidR="009C7D74">
        <w:rPr/>
        <w:t xml:space="preserve"> en el presente caso, dicha unidad circulaba en la vía pública sin contar con una póliza SOAT, válida y vigente, ello corresponde a un riesgo asumido consciente o negligentemente por su conductor.</w:t>
      </w:r>
    </w:p>
    <w:p w:rsidRPr="009C7D74" w:rsidR="009C7D74" w:rsidP="009C7D74" w:rsidRDefault="009C7D74" w14:paraId="5CB37FF1" w14:textId="77777777">
      <w:pPr>
        <w:pStyle w:val="Prrafodelista"/>
        <w:tabs>
          <w:tab w:val="left" w:pos="2160"/>
        </w:tabs>
        <w:ind w:left="0"/>
        <w:jc w:val="both"/>
        <w:rPr>
          <w:color w:val="000000"/>
        </w:rPr>
      </w:pPr>
    </w:p>
    <w:p w:rsidRPr="009C7D74" w:rsidR="009C7D74" w:rsidP="009C7D74" w:rsidRDefault="009C7D74" w14:paraId="6D4037AF" w14:textId="77777777">
      <w:pPr>
        <w:pStyle w:val="NormalWeb"/>
        <w:ind w:left="709"/>
        <w:jc w:val="both"/>
        <w:rPr>
          <w:color w:val="000000"/>
          <w:lang w:val="es-PE"/>
        </w:rPr>
      </w:pPr>
      <w:r w:rsidRPr="009C7D74">
        <w:rPr>
          <w:color w:val="000000"/>
        </w:rPr>
        <w:t xml:space="preserve">En efecto, el párrafo en cuestión indica: </w:t>
      </w:r>
      <w:r w:rsidRPr="009C7D74">
        <w:rPr>
          <w:i/>
          <w:color w:val="000000"/>
        </w:rPr>
        <w:t xml:space="preserve">“En caso de </w:t>
      </w:r>
      <w:r w:rsidRPr="009C7D74">
        <w:rPr>
          <w:b/>
          <w:i/>
          <w:color w:val="000000"/>
        </w:rPr>
        <w:t>peatones o terceros no ocupantes</w:t>
      </w:r>
      <w:r w:rsidRPr="009C7D74">
        <w:rPr>
          <w:i/>
          <w:color w:val="000000"/>
        </w:rPr>
        <w:t xml:space="preserve"> de vehículos automotores, las compañías de seguros intervinientes serán responsables solidariamente de las indemnizaciones que correspondan a dichas personas o su (s) beneficiario (s).”   </w:t>
      </w:r>
      <w:r w:rsidRPr="009C7D74">
        <w:rPr>
          <w:color w:val="000000"/>
        </w:rPr>
        <w:t xml:space="preserve">Si la intención de la norma hubiera sido que dicha responsabilidad solidaria (sin perjuicio del derecho de repetición consagrado en el siguiente párrafo de la norma) se extendiera a los terceros ocupantes del vehículo que omitió contratar el SOAT, hubiera indicado: </w:t>
      </w:r>
      <w:r w:rsidRPr="009C7D74">
        <w:rPr>
          <w:i/>
          <w:color w:val="000000"/>
        </w:rPr>
        <w:t xml:space="preserve">“En caso de peatones, terceros no ocupantes </w:t>
      </w:r>
      <w:r w:rsidRPr="009C7D74">
        <w:rPr>
          <w:b/>
          <w:i/>
          <w:color w:val="000000"/>
        </w:rPr>
        <w:t>u ocupantes de vehículos automotores participantes en el accidente, incluido el propio conductor y ocupantes del vehículo sin SOAT</w:t>
      </w:r>
      <w:r w:rsidRPr="009C7D74">
        <w:rPr>
          <w:i/>
          <w:color w:val="000000"/>
        </w:rPr>
        <w:t>, las compañías de seguros intervinientes serán responsables solidariamente (…)”</w:t>
      </w:r>
      <w:r w:rsidRPr="009C7D74">
        <w:rPr>
          <w:color w:val="000000"/>
        </w:rPr>
        <w:t>; pues conforme se recoge en nuestro ordenamiento legal la solidaridad no se presume “s</w:t>
      </w:r>
      <w:r w:rsidRPr="009C7D74">
        <w:rPr>
          <w:i/>
          <w:color w:val="000000"/>
          <w:shd w:val="clear" w:color="auto" w:fill="FFFFFF"/>
        </w:rPr>
        <w:t xml:space="preserve">ólo la ley o el título de la obligación la establecen en forma expresa”, </w:t>
      </w:r>
      <w:r w:rsidRPr="009C7D74">
        <w:rPr>
          <w:color w:val="000000"/>
          <w:shd w:val="clear" w:color="auto" w:fill="FFFFFF"/>
        </w:rPr>
        <w:t>tal como se señala en el</w:t>
      </w:r>
      <w:r w:rsidRPr="009C7D74">
        <w:rPr>
          <w:color w:val="000000"/>
        </w:rPr>
        <w:t xml:space="preserve"> artículo 1183 del Código Civil</w:t>
      </w:r>
      <w:r w:rsidRPr="009C7D74">
        <w:rPr>
          <w:i/>
          <w:color w:val="000000"/>
          <w:shd w:val="clear" w:color="auto" w:fill="FFFFFF"/>
        </w:rPr>
        <w:t xml:space="preserve">.  </w:t>
      </w:r>
      <w:r w:rsidRPr="009C7D74">
        <w:rPr>
          <w:color w:val="000000"/>
          <w:shd w:val="clear" w:color="auto" w:fill="FFFFFF"/>
        </w:rPr>
        <w:t xml:space="preserve">Asimismo, la </w:t>
      </w:r>
      <w:r w:rsidRPr="009C7D74">
        <w:rPr>
          <w:color w:val="000000"/>
        </w:rPr>
        <w:t xml:space="preserve">sétima regla de interpretación de la Ley Nro. 29946 – Ley del Contrato de Seguro, señala que </w:t>
      </w:r>
      <w:r w:rsidRPr="009C7D74">
        <w:rPr>
          <w:i/>
          <w:color w:val="000000"/>
        </w:rPr>
        <w:t>“</w:t>
      </w:r>
      <w:r w:rsidRPr="009C7D74">
        <w:rPr>
          <w:i/>
          <w:color w:val="000000"/>
          <w:lang w:val="es-PE"/>
        </w:rPr>
        <w:t>La cobertura, exclusiones y, en general, la extensión del riesgo así como los derechos de los beneficiarios, previstos en el contrato de seguro, deben interpretarse literalmente”</w:t>
      </w:r>
      <w:r w:rsidRPr="009C7D74">
        <w:rPr>
          <w:color w:val="000000"/>
          <w:lang w:val="es-PE"/>
        </w:rPr>
        <w:t xml:space="preserve">; debiendo resaltarse que tanto la Ley del Contrato de Seguro, como el Código Civil </w:t>
      </w:r>
      <w:r w:rsidRPr="009C7D74">
        <w:rPr>
          <w:color w:val="000000"/>
          <w:lang w:val="es-PE"/>
        </w:rPr>
        <w:lastRenderedPageBreak/>
        <w:t xml:space="preserve">son de aplicación supletoria a las normas del SOAT, tal como expresamente lo reconoce el artículo I de las Disposiciones Generales de la Ley 29946 y el artículo IX del Título Preliminar del Código Civil. </w:t>
      </w:r>
    </w:p>
    <w:p w:rsidRPr="009C7D74" w:rsidR="009C7D74" w:rsidP="009C7D74" w:rsidRDefault="009C7D74" w14:paraId="53A52D6F" w14:textId="77777777">
      <w:pPr>
        <w:pStyle w:val="NormalWeb"/>
        <w:jc w:val="both"/>
        <w:rPr>
          <w:color w:val="000000"/>
          <w:lang w:val="es-PE"/>
        </w:rPr>
      </w:pPr>
    </w:p>
    <w:p w:rsidRPr="009C7D74" w:rsidR="009C7D74" w:rsidP="009C7D74" w:rsidRDefault="009C7D74" w14:paraId="02CCD4B8" w14:textId="77777777">
      <w:pPr>
        <w:pStyle w:val="Prrafodelista"/>
        <w:tabs>
          <w:tab w:val="left" w:pos="2160"/>
        </w:tabs>
        <w:ind w:left="709"/>
        <w:jc w:val="both"/>
        <w:rPr>
          <w:color w:val="000000"/>
        </w:rPr>
      </w:pPr>
      <w:r w:rsidRPr="009C7D74">
        <w:rPr>
          <w:color w:val="000000"/>
        </w:rPr>
        <w:t xml:space="preserve">Ello no afecta la finalidad y espíritu del SOAT que es no dejar desprotegidos a los terceros que se ven afectados en un accidente de tránsito, pues respecto de ellos la solidaridad se mantiene. Los terceros no ocupantes podrán accionar contra alguna de las compañías de seguros que tuviera el SOAT de alguna de las unidades vehiculares involucradas en el accidente.  Y tratándose de los ocupantes de un vehículo que debió contar con SOAT, ellos pueden accionar contra el propietario o el conductor del vehículo que debió preocuparse de contar con un SOAT vigente, o contra la empresa de transporte, de manera solidaria. </w:t>
      </w:r>
    </w:p>
    <w:p w:rsidRPr="009C7D74" w:rsidR="009C7D74" w:rsidP="009C7D74" w:rsidRDefault="009C7D74" w14:paraId="07093EB6" w14:textId="77777777">
      <w:pPr>
        <w:pStyle w:val="Prrafodelista"/>
        <w:tabs>
          <w:tab w:val="left" w:pos="2160"/>
        </w:tabs>
        <w:ind w:left="0"/>
        <w:jc w:val="both"/>
        <w:rPr>
          <w:color w:val="000000"/>
        </w:rPr>
      </w:pPr>
    </w:p>
    <w:p w:rsidRPr="009C7D74" w:rsidR="009C7D74" w:rsidP="009C7D74" w:rsidRDefault="009C7D74" w14:paraId="08B77183" w14:textId="77777777">
      <w:pPr>
        <w:pStyle w:val="Prrafodelista"/>
        <w:numPr>
          <w:ilvl w:val="1"/>
          <w:numId w:val="7"/>
        </w:numPr>
        <w:tabs>
          <w:tab w:val="left" w:pos="2160"/>
        </w:tabs>
        <w:jc w:val="both"/>
        <w:rPr>
          <w:color w:val="000000"/>
        </w:rPr>
      </w:pPr>
      <w:r w:rsidRPr="009C7D74">
        <w:rPr>
          <w:color w:val="000000"/>
        </w:rPr>
        <w:t xml:space="preserve">En este sentido, esta Defensoría mantiene el criterio recogido en la Resolución Nro. 062/2010, cuyos sexto y sétimo considerandos se reproducen a continuación: </w:t>
      </w:r>
    </w:p>
    <w:p w:rsidRPr="009C7D74" w:rsidR="009C7D74" w:rsidP="009C7D74" w:rsidRDefault="009C7D74" w14:paraId="008A6B34" w14:textId="77777777">
      <w:pPr>
        <w:tabs>
          <w:tab w:val="left" w:pos="2160"/>
        </w:tabs>
        <w:jc w:val="both"/>
        <w:rPr>
          <w:lang w:val="es-PE"/>
        </w:rPr>
      </w:pPr>
    </w:p>
    <w:p w:rsidRPr="009C7D74" w:rsidR="009C7D74" w:rsidP="009C7D74" w:rsidRDefault="009C7D74" w14:paraId="593F4C16" w14:textId="77777777">
      <w:pPr>
        <w:tabs>
          <w:tab w:val="left" w:pos="2160"/>
        </w:tabs>
        <w:ind w:left="1418"/>
        <w:jc w:val="both"/>
        <w:rPr>
          <w:i/>
          <w:lang w:val="es-PE"/>
        </w:rPr>
      </w:pPr>
      <w:r w:rsidRPr="009C7D74">
        <w:rPr>
          <w:i/>
          <w:lang w:val="es-PE"/>
        </w:rPr>
        <w:t>“</w:t>
      </w:r>
      <w:r w:rsidRPr="009C7D74">
        <w:rPr>
          <w:i/>
          <w:u w:val="single"/>
          <w:lang w:val="es-PE"/>
        </w:rPr>
        <w:t>SEXTO</w:t>
      </w:r>
      <w:r w:rsidRPr="009C7D74">
        <w:rPr>
          <w:i/>
          <w:lang w:val="es-PE"/>
        </w:rPr>
        <w:t xml:space="preserve">:  Este Colegiado mantiene el criterio conforme al cual, de la lectura de la norma reproducida en el considerando precedente, y por más que el SOAT sea un seguro de contratación obligatoria y con finalidad social, no puede inferirse o concluirse que, tratándose de accidentes en que hayan participado al menos dos unidades vehiculares (una de las cuales cuenta con SOAT y la otra no), que la aseguradora de la primera de las unidades esté obligada a otorgar cobertura a quienes son los ocupantes de la segunda unidad, siendo que una conclusión semejante es ajena no sólo al texto legal sino a la propia lógica del seguro en que la prima se estructura en función al riesgo asegurado, siendo que dicha interpretación generaría un desincentivo para contratar el SOAT.  Lo que establece claramente la norma bajo comentario (primer párrafo) es que, si ambas unidades vehiculares cuentan con SOAT, cada aseguradora otorga cobertura a los ocupantes de la unidad que ha asegurado, y (segundo párrafo) tratándose de peatones o terceros (esto es, no ocupantes) se genera la responsabilidad solidaria entre las aseguradoras.  Y en el caso que una unidad carezca de SOAT (cuarto párrafo), tratándose de sus ocupantes, asumen responsabilidad solidaria el propietario, el conductor y el prestador del servicio de transporte terrestre, de ser el caso; en ese orden de ideas, en el texto no se dispone que dicha solidaridad se haga extensiva a la aseguradora de la unidad que sí cuenta con SOAT.  Siendo que la solidaridad es una excepción a la regla general de responsabilidad simple o parciaria, y que sólo proviene o se instituye mediante pacto o por disposición legal, resulta evidente que la pretendida solidaridad objeto del reclamo no se desprende del tenor del artículo 17 del Reglamento </w:t>
      </w:r>
      <w:r w:rsidRPr="009C7D74">
        <w:rPr>
          <w:i/>
        </w:rPr>
        <w:t xml:space="preserve">Nacional de Responsabilidad Civil y Seguros Obligatorios por Accidentes de Tránsito, en particular de su cuarto ý último párrafo, siendo que postular lo contrario corresponde a una interpretación contra </w:t>
      </w:r>
      <w:proofErr w:type="spellStart"/>
      <w:r w:rsidRPr="009C7D74">
        <w:rPr>
          <w:i/>
        </w:rPr>
        <w:t>legem</w:t>
      </w:r>
      <w:proofErr w:type="spellEnd"/>
      <w:r w:rsidRPr="009C7D74">
        <w:rPr>
          <w:i/>
        </w:rPr>
        <w:t xml:space="preserve">, sine ius, careciendo de todo sustento afirmar que la finalidad (ratio </w:t>
      </w:r>
      <w:proofErr w:type="spellStart"/>
      <w:r w:rsidRPr="009C7D74">
        <w:rPr>
          <w:i/>
        </w:rPr>
        <w:t>legis</w:t>
      </w:r>
      <w:proofErr w:type="spellEnd"/>
      <w:r w:rsidRPr="009C7D74">
        <w:rPr>
          <w:i/>
        </w:rPr>
        <w:t xml:space="preserve">) del señalado cuarto párrafo es otorgar cobertura inmediata e incondicional a todas las víctimas de una accidente, más aún cuando la norma reglamentaria </w:t>
      </w:r>
      <w:r w:rsidRPr="009C7D74">
        <w:rPr>
          <w:i/>
        </w:rPr>
        <w:lastRenderedPageBreak/>
        <w:t>distingue expresamente entre ocupante y peatones o terceros no ocupantes, estableciendo regímenes aplicables distintos.</w:t>
      </w:r>
    </w:p>
    <w:p w:rsidRPr="009C7D74" w:rsidR="009C7D74" w:rsidP="009C7D74" w:rsidRDefault="009C7D74" w14:paraId="6C56C2A5" w14:textId="77777777">
      <w:pPr>
        <w:tabs>
          <w:tab w:val="left" w:pos="2160"/>
        </w:tabs>
        <w:ind w:left="1418"/>
        <w:jc w:val="both"/>
        <w:rPr>
          <w:i/>
          <w:lang w:val="es-PE"/>
        </w:rPr>
      </w:pPr>
    </w:p>
    <w:p w:rsidRPr="009C7D74" w:rsidR="009C7D74" w:rsidP="009C7D74" w:rsidRDefault="009C7D74" w14:paraId="57762827" w14:textId="77777777">
      <w:pPr>
        <w:tabs>
          <w:tab w:val="left" w:pos="2160"/>
        </w:tabs>
        <w:ind w:left="1418"/>
        <w:jc w:val="both"/>
        <w:rPr>
          <w:i/>
          <w:lang w:val="es-PE"/>
        </w:rPr>
      </w:pPr>
      <w:r w:rsidRPr="009C7D74">
        <w:rPr>
          <w:i/>
          <w:u w:val="single"/>
          <w:lang w:val="es-PE"/>
        </w:rPr>
        <w:t>SÉTIMO</w:t>
      </w:r>
      <w:r w:rsidRPr="009C7D74">
        <w:rPr>
          <w:i/>
          <w:lang w:val="es-PE"/>
        </w:rPr>
        <w:t xml:space="preserve">: A mayor abundamiento, este Colegiado estima que la interpretación postulada por la reclamante resulta siendo finalmente contradictoria con la propia obligatoriedad de contratar el SOAT, por lo que de acogerse aquélla se estaría generando un grave desincentivo para dicha contratación y derivaría en un colapso de las aseguradoras dedicadas a otorgar este tipo de coberturas, o en un incremento tan grave del importe de las primas que generaría un seguro de contratación inviable con un mayor impacto de malestar social, ya que las víctimas de un accidente sólo podrían cobrar una indemnización luego de seguir y ganar un proceso judicial, situación que evita el SOAT por su naturaleza de seguro indemnizatorio antes que de responsabilidad civil.  En ese orden de ideas, no puede ni debe confundirse los alcances del artículo 4° y 14° del </w:t>
      </w:r>
      <w:r w:rsidRPr="009C7D74">
        <w:rPr>
          <w:i/>
        </w:rPr>
        <w:t xml:space="preserve">Reglamento Nacional de Responsabilidad Civil y Seguros Obligatorios por Accidentes de Tránsito, sobre inmediatez e incondicionalidad del pago indemnizatorio, con un tema de solidaridad para el pago, más </w:t>
      </w:r>
      <w:proofErr w:type="spellStart"/>
      <w:proofErr w:type="gramStart"/>
      <w:r w:rsidRPr="009C7D74">
        <w:rPr>
          <w:i/>
        </w:rPr>
        <w:t>aun</w:t>
      </w:r>
      <w:proofErr w:type="spellEnd"/>
      <w:proofErr w:type="gramEnd"/>
      <w:r w:rsidRPr="009C7D74">
        <w:rPr>
          <w:i/>
        </w:rPr>
        <w:t xml:space="preserve"> cuando la pretendida solidaridad invocada no ha sido considerada por el legislador, por lo que resulta improcedente postularla vía interpretación.”</w:t>
      </w:r>
    </w:p>
    <w:p w:rsidRPr="009C7D74" w:rsidR="009C7D74" w:rsidP="009C7D74" w:rsidRDefault="009C7D74" w14:paraId="6AEF55E1" w14:textId="77777777">
      <w:pPr>
        <w:tabs>
          <w:tab w:val="left" w:pos="2160"/>
        </w:tabs>
        <w:ind w:left="1418"/>
        <w:jc w:val="both"/>
        <w:rPr>
          <w:lang w:val="es-PE"/>
        </w:rPr>
      </w:pPr>
    </w:p>
    <w:p w:rsidRPr="009C7D74" w:rsidR="009C7D74" w:rsidP="009C7D74" w:rsidRDefault="009C7D74" w14:paraId="7ABE8049" w14:textId="77777777">
      <w:pPr>
        <w:pStyle w:val="Prrafodelista"/>
        <w:numPr>
          <w:ilvl w:val="1"/>
          <w:numId w:val="7"/>
        </w:numPr>
        <w:tabs>
          <w:tab w:val="left" w:pos="2160"/>
        </w:tabs>
        <w:jc w:val="both"/>
        <w:rPr>
          <w:color w:val="000000"/>
        </w:rPr>
      </w:pPr>
      <w:r w:rsidRPr="009C7D74">
        <w:rPr>
          <w:color w:val="000000"/>
        </w:rPr>
        <w:t xml:space="preserve">De otro lado, existe jurisprudencia del INDECOPI que ratifica dicho criterio; es decir, que el SOAT del vehículo asegurado no alcanza al conductor del vehículo sin SOAT. Por lo que aun cuando este colegiado no coincide con todos los argumentos de dicha jurisprudencia -pues conforme se ha referido en el considerando precedente esta Defensoría  considera que el SOAT de un vehículo no alcanza a los ocupantes y menos al conductor de un vehículo sin SOAT, sino únicamente a lo terceros no ocupantes como sería un peatón-, este colegiado tiene a bien referir dicho antecedente que se refiere al caso en controversia, por lo que a continuación se transcribe el considerando 41, y la parte pertinente del 42 de la Resolución Nro. 4288-2016/SPC-INDECOPI: </w:t>
      </w:r>
    </w:p>
    <w:p w:rsidRPr="009C7D74" w:rsidR="009C7D74" w:rsidP="009C7D74" w:rsidRDefault="009C7D74" w14:paraId="794C71EB" w14:textId="77777777">
      <w:pPr>
        <w:pStyle w:val="Prrafodelista"/>
        <w:tabs>
          <w:tab w:val="left" w:pos="2160"/>
        </w:tabs>
        <w:ind w:left="0"/>
        <w:jc w:val="both"/>
        <w:rPr>
          <w:color w:val="000000"/>
        </w:rPr>
      </w:pPr>
    </w:p>
    <w:p w:rsidRPr="009C7D74" w:rsidR="009C7D74" w:rsidP="009C7D74" w:rsidRDefault="009C7D74" w14:paraId="04BB38E3" w14:textId="77777777">
      <w:pPr>
        <w:pStyle w:val="Prrafodelista"/>
        <w:tabs>
          <w:tab w:val="left" w:pos="2160"/>
        </w:tabs>
        <w:ind w:left="1418"/>
        <w:jc w:val="both"/>
        <w:rPr>
          <w:i/>
          <w:iCs/>
          <w:color w:val="000000"/>
        </w:rPr>
      </w:pPr>
      <w:r w:rsidRPr="009C7D74">
        <w:rPr>
          <w:i/>
          <w:iCs/>
          <w:color w:val="000000"/>
        </w:rPr>
        <w:t xml:space="preserve">“41. En efecto, teniendo en cuenta que es deber de todo conductor contratar el seguro SOAT para su vehículo antes de hacerlo circular, no resulta correcto que ante un siniestro, este conductor, que no cumple con tal obligación legal, reclame a la aseguradora de otro vehículo interviniente en el siniestro (que cuenta con SOAT) una indemnización por los daños materiales y personales que haya sufrido, cuando este, en primera instancia, no ha cumplido con el deber legal antes mencionado, esto es contar y pagar por un SOAT </w:t>
      </w:r>
      <w:r w:rsidRPr="009C7D74">
        <w:rPr>
          <w:i/>
          <w:iCs/>
          <w:color w:val="000000"/>
          <w:u w:val="single"/>
        </w:rPr>
        <w:t>destinado a cubrir a los ocupantes y terceros no ocupantes con relación a su propio vehículo</w:t>
      </w:r>
      <w:r w:rsidRPr="009C7D74">
        <w:rPr>
          <w:i/>
          <w:iCs/>
          <w:color w:val="000000"/>
        </w:rPr>
        <w:t>.</w:t>
      </w:r>
    </w:p>
    <w:p w:rsidRPr="009C7D74" w:rsidR="009C7D74" w:rsidP="009C7D74" w:rsidRDefault="009C7D74" w14:paraId="1D822154" w14:textId="77777777">
      <w:pPr>
        <w:pStyle w:val="Prrafodelista"/>
        <w:tabs>
          <w:tab w:val="left" w:pos="2160"/>
        </w:tabs>
        <w:ind w:left="1418"/>
        <w:jc w:val="both"/>
        <w:rPr>
          <w:i/>
          <w:iCs/>
          <w:color w:val="000000"/>
        </w:rPr>
      </w:pPr>
    </w:p>
    <w:p w:rsidRPr="009C7D74" w:rsidR="009C7D74" w:rsidP="009C7D74" w:rsidRDefault="009C7D74" w14:paraId="24454439" w14:textId="77777777">
      <w:pPr>
        <w:pStyle w:val="Prrafodelista"/>
        <w:tabs>
          <w:tab w:val="left" w:pos="2160"/>
        </w:tabs>
        <w:ind w:left="1418"/>
        <w:jc w:val="both"/>
        <w:rPr>
          <w:color w:val="000000"/>
        </w:rPr>
      </w:pPr>
      <w:r w:rsidRPr="009C7D74">
        <w:rPr>
          <w:i/>
          <w:iCs/>
          <w:color w:val="000000"/>
        </w:rPr>
        <w:t xml:space="preserve">42. Así, la Sala coincide con la Comisión cuando esta indica que si un agente de tránsito conduce un vehículo a sabiendas que no cuenta con un SOAT, no podría ser considerado como beneficiario de dicho seguro, en tanto ha actuado inobservando un deber de cuidado impuesto por ley, (…)”.  </w:t>
      </w:r>
      <w:r w:rsidRPr="009C7D74">
        <w:rPr>
          <w:color w:val="000000"/>
        </w:rPr>
        <w:t>Lo subrayado es nuestro.</w:t>
      </w:r>
    </w:p>
    <w:p w:rsidRPr="009C7D74" w:rsidR="009C7D74" w:rsidP="009C7D74" w:rsidRDefault="009C7D74" w14:paraId="1056F4BC" w14:textId="77777777">
      <w:pPr>
        <w:pStyle w:val="Prrafodelista"/>
        <w:tabs>
          <w:tab w:val="left" w:pos="2160"/>
        </w:tabs>
        <w:ind w:left="1418"/>
        <w:jc w:val="both"/>
        <w:rPr>
          <w:color w:val="000000"/>
        </w:rPr>
      </w:pPr>
    </w:p>
    <w:p w:rsidRPr="009C7D74" w:rsidR="009C7D74" w:rsidP="009C7D74" w:rsidRDefault="009C7D74" w14:paraId="72F78259" w14:textId="50A8C81F">
      <w:pPr>
        <w:pStyle w:val="Prrafodelista"/>
        <w:numPr>
          <w:ilvl w:val="1"/>
          <w:numId w:val="7"/>
        </w:numPr>
        <w:tabs>
          <w:tab w:val="left" w:pos="2160"/>
        </w:tabs>
        <w:jc w:val="both"/>
        <w:rPr>
          <w:color w:val="000000"/>
        </w:rPr>
      </w:pPr>
      <w:r w:rsidRPr="24DF508E" w:rsidR="009C7D74">
        <w:rPr>
          <w:color w:val="000000" w:themeColor="text1" w:themeTint="FF" w:themeShade="FF"/>
        </w:rPr>
        <w:t xml:space="preserve">Atendiendo a lo expresado, este colegiado concluye que el rechazo de cobertura, contenido en la </w:t>
      </w:r>
      <w:r w:rsidR="009C7D74">
        <w:rPr/>
        <w:t xml:space="preserve">carta SINIESTROS.RS. Nro. 5120-2021 LPG del 27 de julio de 2021, se ajusta a ley, por lo que resulta legítimo, no estando </w:t>
      </w:r>
      <w:r w:rsidR="4411398F">
        <w:rPr/>
        <w:t>............................</w:t>
      </w:r>
      <w:r w:rsidR="009C7D74">
        <w:rPr/>
        <w:t xml:space="preserve"> obligada a otorgar cobertura al conductor y/</w:t>
      </w:r>
      <w:r w:rsidR="009C7D74">
        <w:rPr/>
        <w:t>o</w:t>
      </w:r>
      <w:r w:rsidR="009C7D74">
        <w:rPr/>
        <w:t xml:space="preserve"> ocupantes del vehículo menos que participó en el accidente de tránsito relativo a la reclamación, siendo que la reclamante no posee la condición de tercero no ocupante, conforme se desprende de los antecedentes del caso, en particular, de la respectiva denuncia policial, cuya copia obra en el expediente.</w:t>
      </w:r>
    </w:p>
    <w:p w:rsidRPr="009C7D74" w:rsidR="009C7D74" w:rsidP="009C7D74" w:rsidRDefault="009C7D74" w14:paraId="1C507710" w14:textId="77777777">
      <w:pPr>
        <w:pStyle w:val="Prrafodelista"/>
        <w:tabs>
          <w:tab w:val="left" w:pos="2160"/>
        </w:tabs>
        <w:ind w:left="0"/>
        <w:jc w:val="both"/>
        <w:rPr>
          <w:color w:val="000000"/>
        </w:rPr>
      </w:pPr>
    </w:p>
    <w:p w:rsidRPr="009C7D74" w:rsidR="009C7D74" w:rsidP="009C7D74" w:rsidRDefault="009C7D74" w14:paraId="55F4557C" w14:textId="77777777">
      <w:pPr>
        <w:pStyle w:val="Prrafodelista"/>
        <w:tabs>
          <w:tab w:val="left" w:pos="2160"/>
        </w:tabs>
        <w:ind w:left="0"/>
        <w:jc w:val="both"/>
        <w:rPr>
          <w:color w:val="000000"/>
        </w:rPr>
      </w:pPr>
      <w:r w:rsidRPr="009C7D74">
        <w:rPr>
          <w:color w:val="000000"/>
        </w:rPr>
        <w:t xml:space="preserve">Atendiendo a lo expresado precedentemente, esta Defensoría concluye su apreciación razonada y conjunta al amparo de lo establecido en su Reglamento, no encontrando razones que amparen la presente reclamación, por lo que </w:t>
      </w:r>
    </w:p>
    <w:p w:rsidRPr="009C7D74" w:rsidR="009C7D74" w:rsidP="009C7D74" w:rsidRDefault="009C7D74" w14:paraId="19806A7D" w14:textId="77777777">
      <w:pPr>
        <w:pStyle w:val="Prrafodelista"/>
        <w:tabs>
          <w:tab w:val="left" w:pos="2160"/>
        </w:tabs>
        <w:ind w:left="0"/>
        <w:jc w:val="both"/>
        <w:rPr>
          <w:color w:val="000000"/>
        </w:rPr>
      </w:pPr>
    </w:p>
    <w:p w:rsidRPr="009C7D74" w:rsidR="009C7D74" w:rsidP="009C7D74" w:rsidRDefault="009C7D74" w14:paraId="6E81FB39" w14:textId="77777777">
      <w:pPr>
        <w:pStyle w:val="Prrafodelista"/>
        <w:tabs>
          <w:tab w:val="left" w:pos="2160"/>
        </w:tabs>
        <w:ind w:left="0"/>
        <w:jc w:val="both"/>
        <w:rPr>
          <w:b/>
          <w:color w:val="000000"/>
        </w:rPr>
      </w:pPr>
      <w:r w:rsidRPr="009C7D74">
        <w:rPr>
          <w:b/>
          <w:color w:val="000000"/>
        </w:rPr>
        <w:t>RESUELVE:</w:t>
      </w:r>
    </w:p>
    <w:p w:rsidRPr="009C7D74" w:rsidR="009C7D74" w:rsidP="009C7D74" w:rsidRDefault="009C7D74" w14:paraId="0B8FB44B" w14:textId="77777777">
      <w:pPr>
        <w:jc w:val="both"/>
      </w:pPr>
    </w:p>
    <w:p w:rsidRPr="009C7D74" w:rsidR="009C7D74" w:rsidP="009C7D74" w:rsidRDefault="009C7D74" w14:paraId="23045B05" w14:textId="2286C7A3">
      <w:pPr>
        <w:pStyle w:val="Prrafodelista"/>
        <w:tabs>
          <w:tab w:val="left" w:pos="2160"/>
        </w:tabs>
        <w:ind w:left="0"/>
        <w:jc w:val="both"/>
        <w:rPr>
          <w:color w:val="000000"/>
        </w:rPr>
      </w:pPr>
      <w:r w:rsidRPr="24DF508E" w:rsidR="009C7D74">
        <w:rPr>
          <w:color w:val="000000" w:themeColor="text1" w:themeTint="FF" w:themeShade="FF"/>
        </w:rPr>
        <w:t xml:space="preserve">Declarar </w:t>
      </w:r>
      <w:r w:rsidRPr="24DF508E" w:rsidR="009C7D74">
        <w:rPr>
          <w:b w:val="1"/>
          <w:bCs w:val="1"/>
          <w:color w:val="000000" w:themeColor="text1" w:themeTint="FF" w:themeShade="FF"/>
        </w:rPr>
        <w:t>INFUNDADA</w:t>
      </w:r>
      <w:r w:rsidRPr="24DF508E" w:rsidR="009C7D74">
        <w:rPr>
          <w:color w:val="000000" w:themeColor="text1" w:themeTint="FF" w:themeShade="FF"/>
        </w:rPr>
        <w:t xml:space="preserve"> la reclamación interpuesta por </w:t>
      </w:r>
      <w:r w:rsidR="009C7D74">
        <w:rPr/>
        <w:t xml:space="preserve">doña </w:t>
      </w:r>
      <w:r w:rsidR="43CFF38D">
        <w:rPr/>
        <w:t>........................................................................</w:t>
      </w:r>
      <w:r w:rsidR="009C7D74">
        <w:rPr/>
        <w:t xml:space="preserve"> contra </w:t>
      </w:r>
      <w:r w:rsidR="12BE3105">
        <w:rPr/>
        <w:t>..............................................................................</w:t>
      </w:r>
      <w:r w:rsidR="009C7D74">
        <w:rPr/>
        <w:t xml:space="preserve"> (</w:t>
      </w:r>
      <w:r w:rsidR="4411398F">
        <w:rPr/>
        <w:t>............................</w:t>
      </w:r>
      <w:r w:rsidR="009C7D74">
        <w:rPr/>
        <w:t xml:space="preserve">) </w:t>
      </w:r>
      <w:r w:rsidRPr="24DF508E" w:rsidR="009C7D74">
        <w:rPr>
          <w:color w:val="000000" w:themeColor="text1" w:themeTint="FF" w:themeShade="FF"/>
        </w:rPr>
        <w:t>correspondiente al otorgamiento de cobertura derivada del SOAT, quedando a salvo el derecho de la reclamante de recurrir ante las instancias que considere pertinentes.</w:t>
      </w:r>
    </w:p>
    <w:p w:rsidRPr="009C7D74"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9C7D74" w:rsidR="001631D6" w:rsidP="00401DE3" w:rsidRDefault="00F15FBA" w14:paraId="30F8D459" w14:textId="205451F0">
      <w:pPr>
        <w:jc w:val="right"/>
        <w:outlineLvl w:val="0"/>
        <w:rPr>
          <w:lang w:val="es-PE"/>
        </w:rPr>
      </w:pPr>
      <w:r w:rsidRPr="009C7D74">
        <w:rPr>
          <w:lang w:val="es-PE"/>
        </w:rPr>
        <w:t xml:space="preserve">Lima, </w:t>
      </w:r>
      <w:r w:rsidRPr="009C7D74" w:rsidR="00CB4665">
        <w:rPr>
          <w:lang w:val="es-PE"/>
        </w:rPr>
        <w:t>2</w:t>
      </w:r>
      <w:r w:rsidRPr="009C7D74" w:rsidR="00711B04">
        <w:rPr>
          <w:lang w:val="es-PE"/>
        </w:rPr>
        <w:t>5</w:t>
      </w:r>
      <w:r w:rsidRPr="009C7D74" w:rsidR="00447D8A">
        <w:rPr>
          <w:lang w:val="es-PE"/>
        </w:rPr>
        <w:t xml:space="preserve"> </w:t>
      </w:r>
      <w:r w:rsidRPr="009C7D74" w:rsidR="00F62606">
        <w:t>d</w:t>
      </w:r>
      <w:proofErr w:type="spellStart"/>
      <w:r w:rsidRPr="009C7D74">
        <w:rPr>
          <w:lang w:val="es-PE"/>
        </w:rPr>
        <w:t>e</w:t>
      </w:r>
      <w:proofErr w:type="spellEnd"/>
      <w:r w:rsidRPr="009C7D74" w:rsidR="00642D5C">
        <w:rPr>
          <w:lang w:val="es-PE"/>
        </w:rPr>
        <w:t xml:space="preserve"> </w:t>
      </w:r>
      <w:r w:rsidRPr="009C7D74" w:rsidR="00447D8A">
        <w:rPr>
          <w:lang w:val="es-PE"/>
        </w:rPr>
        <w:t>octubre</w:t>
      </w:r>
      <w:r w:rsidRPr="009C7D74" w:rsidR="001631D6">
        <w:rPr>
          <w:lang w:val="es-PE"/>
        </w:rPr>
        <w:t xml:space="preserve"> </w:t>
      </w:r>
      <w:r w:rsidRPr="009C7D74">
        <w:rPr>
          <w:lang w:val="es-PE"/>
        </w:rPr>
        <w:t>de 20</w:t>
      </w:r>
      <w:r w:rsidRPr="009C7D74" w:rsidR="001631D6">
        <w:rPr>
          <w:lang w:val="es-PE"/>
        </w:rPr>
        <w:t>2</w:t>
      </w:r>
      <w:r w:rsidRPr="009C7D74" w:rsidR="003E6BA6">
        <w:rPr>
          <w:lang w:val="es-PE"/>
        </w:rPr>
        <w:t>1</w:t>
      </w:r>
    </w:p>
    <w:p w:rsidRPr="009C7D74" w:rsidR="00C01AB2" w:rsidP="00B5211F" w:rsidRDefault="00C01AB2" w14:paraId="37DB6607" w14:textId="77777777"/>
    <w:p w:rsidRPr="009C7D74" w:rsidR="00431C1C" w:rsidP="00431C1C" w:rsidRDefault="00431C1C" w14:paraId="6E7BC3C0" w14:textId="77777777">
      <w:pPr>
        <w:jc w:val="both"/>
        <w:rPr>
          <w:b/>
          <w:bCs/>
          <w:i/>
          <w:iCs/>
          <w:lang w:val="es-ES_tradnl"/>
        </w:rPr>
      </w:pPr>
      <w:r w:rsidRPr="009C7D74">
        <w:rPr>
          <w:b/>
          <w:bCs/>
          <w:i/>
          <w:iCs/>
          <w:lang w:val="es-ES_tradnl"/>
        </w:rPr>
        <w:t>La Secretaría Técnica certifica que la presente resolución cuenta con el voto de los vocales cuyos nombres figuran en el presente documento.</w:t>
      </w:r>
    </w:p>
    <w:p w:rsidRPr="009C7D74" w:rsidR="00431C1C" w:rsidP="00431C1C" w:rsidRDefault="00431C1C" w14:paraId="1D118CB2" w14:textId="0B6E2748">
      <w:pPr>
        <w:jc w:val="both"/>
        <w:rPr>
          <w:b/>
          <w:bCs/>
          <w:i/>
          <w:iCs/>
          <w:lang w:val="es-ES_tradnl"/>
        </w:rPr>
      </w:pPr>
    </w:p>
    <w:p w:rsidRPr="009C7D74" w:rsidR="00D61A48" w:rsidP="00D61A48" w:rsidRDefault="00D61A48" w14:paraId="1BE5A351" w14:textId="0FACD51A">
      <w:pPr>
        <w:spacing w:line="360" w:lineRule="auto"/>
        <w:jc w:val="center"/>
        <w:rPr>
          <w:b/>
          <w:bCs/>
        </w:rPr>
      </w:pPr>
      <w:r w:rsidRPr="009C7D74">
        <w:rPr>
          <w:b/>
          <w:bCs/>
        </w:rPr>
        <w:t xml:space="preserve">Rolando Eyzaguirre </w:t>
      </w:r>
      <w:proofErr w:type="spellStart"/>
      <w:r w:rsidRPr="009C7D74">
        <w:rPr>
          <w:b/>
          <w:bCs/>
        </w:rPr>
        <w:t>Maccan</w:t>
      </w:r>
      <w:proofErr w:type="spellEnd"/>
      <w:r w:rsidRPr="009C7D74">
        <w:rPr>
          <w:b/>
          <w:bCs/>
        </w:rPr>
        <w:t xml:space="preserve"> – </w:t>
      </w:r>
      <w:proofErr w:type="gramStart"/>
      <w:r w:rsidRPr="009C7D74">
        <w:rPr>
          <w:b/>
          <w:bCs/>
        </w:rPr>
        <w:t>Presidente</w:t>
      </w:r>
      <w:proofErr w:type="gramEnd"/>
    </w:p>
    <w:p w:rsidRPr="009C7D74" w:rsidR="00431C1C" w:rsidP="00431C1C" w:rsidRDefault="00431C1C" w14:paraId="0DEAE9EC" w14:textId="77777777">
      <w:pPr>
        <w:spacing w:line="360" w:lineRule="auto"/>
        <w:jc w:val="center"/>
        <w:rPr>
          <w:b/>
          <w:bCs/>
        </w:rPr>
      </w:pPr>
      <w:r w:rsidRPr="009C7D74">
        <w:rPr>
          <w:b/>
          <w:bCs/>
        </w:rPr>
        <w:t>María Eugenia Valdez Fernández Baca – Vocal</w:t>
      </w:r>
    </w:p>
    <w:p w:rsidRPr="009C7D74" w:rsidR="00D61A48" w:rsidP="00D61A48" w:rsidRDefault="00D61A48" w14:paraId="6A2F3501" w14:textId="5BD98BD8">
      <w:pPr>
        <w:spacing w:line="360" w:lineRule="auto"/>
        <w:jc w:val="center"/>
        <w:rPr>
          <w:b/>
          <w:bCs/>
        </w:rPr>
      </w:pPr>
      <w:r w:rsidRPr="009C7D74">
        <w:rPr>
          <w:b/>
          <w:bCs/>
        </w:rPr>
        <w:t>Marco Antonio Ortega Piana – Vocal</w:t>
      </w:r>
    </w:p>
    <w:p w:rsidRPr="00431C1C" w:rsidR="00517989" w:rsidP="24DF508E" w:rsidRDefault="00B679B0" w14:paraId="164CAA9F" w14:textId="1D7A08F2">
      <w:pPr>
        <w:spacing w:line="360" w:lineRule="auto"/>
        <w:jc w:val="center"/>
        <w:rPr>
          <w:lang w:val="es-MX"/>
        </w:rPr>
      </w:pPr>
      <w:r w:rsidRPr="24DF508E" w:rsidR="00431C1C">
        <w:rPr>
          <w:b w:val="1"/>
          <w:bCs w:val="1"/>
        </w:rPr>
        <w:t>Gonzalo Abad del Busto - Vocal</w:t>
      </w: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679B0" w:rsidP="005F148C" w:rsidRDefault="00B679B0" w14:paraId="7BD67450" w14:textId="77777777">
      <w:r>
        <w:separator/>
      </w:r>
    </w:p>
  </w:endnote>
  <w:endnote w:type="continuationSeparator" w:id="0">
    <w:p w:rsidR="00B679B0" w:rsidP="005F148C" w:rsidRDefault="00B679B0" w14:paraId="434DE4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679B0" w:rsidP="005F148C" w:rsidRDefault="00B679B0" w14:paraId="24060283" w14:textId="77777777">
      <w:r>
        <w:separator/>
      </w:r>
    </w:p>
  </w:footnote>
  <w:footnote w:type="continuationSeparator" w:id="0">
    <w:p w:rsidR="00B679B0" w:rsidP="005F148C" w:rsidRDefault="00B679B0" w14:paraId="7AAEB90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4"/>
  </w:num>
  <w:num w:numId="3">
    <w:abstractNumId w:val="1"/>
  </w:num>
  <w:num w:numId="4">
    <w:abstractNumId w:val="6"/>
  </w:num>
  <w:num w:numId="5">
    <w:abstractNumId w:val="5"/>
  </w:num>
  <w:num w:numId="6">
    <w:abstractNumId w:val="2"/>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65BC"/>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24C6"/>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C7D74"/>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F3742"/>
    <w:rsid w:val="00D128FF"/>
    <w:rsid w:val="00D15C1E"/>
    <w:rsid w:val="00D61A48"/>
    <w:rsid w:val="00D64C72"/>
    <w:rsid w:val="00D86E87"/>
    <w:rsid w:val="00D9006E"/>
    <w:rsid w:val="00D92FA2"/>
    <w:rsid w:val="00DC7958"/>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7A17"/>
    <w:rsid w:val="00FC2FA6"/>
    <w:rsid w:val="00FF2DB2"/>
    <w:rsid w:val="02F5FBB1"/>
    <w:rsid w:val="0B4BC1EB"/>
    <w:rsid w:val="12BE3105"/>
    <w:rsid w:val="24DF508E"/>
    <w:rsid w:val="353F3E6D"/>
    <w:rsid w:val="4290617F"/>
    <w:rsid w:val="43CFF38D"/>
    <w:rsid w:val="4411398F"/>
    <w:rsid w:val="5F40A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D873994-4FA4-4D5C-901F-3D5926CD8EC6}"/>
</file>

<file path=customXml/itemProps3.xml><?xml version="1.0" encoding="utf-8"?>
<ds:datastoreItem xmlns:ds="http://schemas.openxmlformats.org/officeDocument/2006/customXml" ds:itemID="{B83DB9C7-19CE-47B2-B2D8-52538A25D933}"/>
</file>

<file path=customXml/itemProps4.xml><?xml version="1.0" encoding="utf-8"?>
<ds:datastoreItem xmlns:ds="http://schemas.openxmlformats.org/officeDocument/2006/customXml" ds:itemID="{60F71A92-6D10-4E8D-AA67-34B32945A2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158</cp:revision>
  <cp:lastPrinted>2021-10-25T15:11:00Z</cp:lastPrinted>
  <dcterms:created xsi:type="dcterms:W3CDTF">2020-12-18T20:09:00Z</dcterms:created>
  <dcterms:modified xsi:type="dcterms:W3CDTF">2026-02-12T21:53:57Z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