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54A0D" w:rsidR="00F15FBA" w:rsidP="00026017" w:rsidRDefault="00F15FBA" w14:paraId="6EF5AEAB" w14:textId="6D464675">
      <w:pPr>
        <w:pStyle w:val="Ttulo"/>
        <w:outlineLvl w:val="0"/>
        <w:rPr>
          <w:lang w:val="es-PE"/>
        </w:rPr>
      </w:pPr>
      <w:r w:rsidRPr="00554A0D">
        <w:rPr>
          <w:lang w:val="es-PE"/>
        </w:rPr>
        <w:t xml:space="preserve">RESOLUCIÓN </w:t>
      </w:r>
      <w:proofErr w:type="spellStart"/>
      <w:r w:rsidRPr="00554A0D">
        <w:rPr>
          <w:lang w:val="es-PE"/>
        </w:rPr>
        <w:t>N</w:t>
      </w:r>
      <w:r w:rsidRPr="00554A0D" w:rsidR="001631D6">
        <w:rPr>
          <w:lang w:val="es-PE"/>
        </w:rPr>
        <w:t>°</w:t>
      </w:r>
      <w:proofErr w:type="spellEnd"/>
      <w:r w:rsidRPr="00554A0D" w:rsidR="001631D6">
        <w:rPr>
          <w:lang w:val="es-PE"/>
        </w:rPr>
        <w:t xml:space="preserve"> </w:t>
      </w:r>
      <w:r w:rsidRPr="00554A0D" w:rsidR="00160F6F">
        <w:rPr>
          <w:lang w:val="es-PE"/>
        </w:rPr>
        <w:t>1</w:t>
      </w:r>
      <w:r w:rsidRPr="00554A0D" w:rsidR="00437359">
        <w:rPr>
          <w:lang w:val="es-PE"/>
        </w:rPr>
        <w:t>70</w:t>
      </w:r>
      <w:r w:rsidRPr="00554A0D" w:rsidR="001631D6">
        <w:rPr>
          <w:lang w:val="es-PE"/>
        </w:rPr>
        <w:t>/2</w:t>
      </w:r>
      <w:r w:rsidRPr="00554A0D" w:rsidR="003E6BA6">
        <w:rPr>
          <w:lang w:val="es-PE"/>
        </w:rPr>
        <w:t>1</w:t>
      </w:r>
    </w:p>
    <w:p w:rsidRPr="00554A0D" w:rsidR="00135A6B" w:rsidP="00135A6B" w:rsidRDefault="00135A6B" w14:paraId="5136A0CD" w14:textId="77777777">
      <w:pPr>
        <w:rPr>
          <w:b/>
          <w:bCs/>
          <w:lang w:val="es-PE"/>
        </w:rPr>
      </w:pPr>
    </w:p>
    <w:p w:rsidRPr="00554A0D" w:rsidR="00554A0D" w:rsidP="00554A0D" w:rsidRDefault="00554A0D" w14:paraId="6B10068B" w14:textId="77777777"/>
    <w:p w:rsidRPr="00554A0D" w:rsidR="00554A0D" w:rsidP="00554A0D" w:rsidRDefault="00554A0D" w14:paraId="60D80518" w14:textId="77777777">
      <w:pPr>
        <w:rPr>
          <w:b/>
        </w:rPr>
      </w:pPr>
      <w:r w:rsidRPr="00554A0D">
        <w:rPr>
          <w:b/>
        </w:rPr>
        <w:t>VISTOS:</w:t>
      </w:r>
    </w:p>
    <w:p w:rsidRPr="00554A0D" w:rsidR="00554A0D" w:rsidP="00554A0D" w:rsidRDefault="00554A0D" w14:paraId="5A485AA2" w14:textId="77777777">
      <w:pPr>
        <w:jc w:val="both"/>
      </w:pPr>
    </w:p>
    <w:p w:rsidRPr="00554A0D" w:rsidR="00554A0D" w:rsidP="00554A0D" w:rsidRDefault="00554A0D" w14:paraId="24C9EECA" w14:textId="2134A24E">
      <w:pPr>
        <w:jc w:val="both"/>
      </w:pPr>
      <w:r w:rsidR="00554A0D">
        <w:rPr/>
        <w:t xml:space="preserve">La reclamación presentada ante esta Defensoría del Asegurado (DEFASEG) por </w:t>
      </w:r>
      <w:r w:rsidRPr="6ED76F2B" w:rsidR="575BF403">
        <w:rPr>
          <w:b w:val="1"/>
          <w:bCs w:val="1"/>
          <w:lang w:val="es-MX"/>
        </w:rPr>
        <w:t>.....................................................................................</w:t>
      </w:r>
      <w:r w:rsidRPr="6ED76F2B" w:rsidR="00554A0D">
        <w:rPr>
          <w:b w:val="1"/>
          <w:bCs w:val="1"/>
          <w:lang w:val="es-MX"/>
        </w:rPr>
        <w:t xml:space="preserve"> </w:t>
      </w:r>
      <w:r w:rsidR="00554A0D">
        <w:rPr/>
        <w:t xml:space="preserve">contra </w:t>
      </w:r>
      <w:r w:rsidRPr="6ED76F2B" w:rsidR="46164D87">
        <w:rPr>
          <w:b w:val="1"/>
          <w:bCs w:val="1"/>
          <w:lang w:val="es-MX"/>
        </w:rPr>
        <w:t>....................................</w:t>
      </w:r>
      <w:r w:rsidRPr="6ED76F2B" w:rsidR="00554A0D">
        <w:rPr>
          <w:lang w:val="es-MX"/>
        </w:rPr>
        <w:t xml:space="preserve">, con relación al </w:t>
      </w:r>
      <w:r w:rsidRPr="6ED76F2B" w:rsidR="00554A0D">
        <w:rPr>
          <w:b w:val="1"/>
          <w:bCs w:val="1"/>
          <w:lang w:val="es-MX"/>
        </w:rPr>
        <w:t xml:space="preserve">SEGURO DE PROTECCIÓN FAMILIAR – PÓLIZA </w:t>
      </w:r>
      <w:r w:rsidRPr="6ED76F2B" w:rsidR="7B46202D">
        <w:rPr>
          <w:b w:val="1"/>
          <w:bCs w:val="1"/>
          <w:lang w:val="es-MX"/>
        </w:rPr>
        <w:t>.....................................</w:t>
      </w:r>
    </w:p>
    <w:p w:rsidRPr="00554A0D" w:rsidR="00554A0D" w:rsidP="00554A0D" w:rsidRDefault="00554A0D" w14:paraId="71DA9179" w14:textId="77777777">
      <w:pPr>
        <w:jc w:val="both"/>
        <w:rPr>
          <w:rFonts w:eastAsia="Arial Unicode MS"/>
        </w:rPr>
      </w:pPr>
    </w:p>
    <w:p w:rsidRPr="00554A0D" w:rsidR="00554A0D" w:rsidP="00554A0D" w:rsidRDefault="00554A0D" w14:paraId="690BC3D8" w14:textId="77777777">
      <w:pPr>
        <w:jc w:val="both"/>
        <w:rPr>
          <w:rFonts w:eastAsia="Arial Unicode MS"/>
        </w:rPr>
      </w:pPr>
      <w:r w:rsidRPr="00554A0D">
        <w:rPr>
          <w:rFonts w:eastAsia="Arial Unicode MS"/>
        </w:rPr>
        <w:t>Que, la señalada reclamación cumple con los requisitos de materia, cuantía y oportunidad establecidos en el Reglamento de la DEFASEG (</w:t>
      </w:r>
      <w:hyperlink w:history="1" r:id="rId8">
        <w:r w:rsidRPr="00554A0D">
          <w:rPr>
            <w:rStyle w:val="Hipervnculo"/>
            <w:rFonts w:eastAsia="Arial Unicode MS"/>
          </w:rPr>
          <w:t>http://www.defaseg.com.pe/reglamento</w:t>
        </w:r>
      </w:hyperlink>
      <w:r w:rsidRPr="00554A0D">
        <w:rPr>
          <w:rFonts w:eastAsia="Arial Unicode MS"/>
        </w:rPr>
        <w:t>);</w:t>
      </w:r>
    </w:p>
    <w:p w:rsidRPr="00554A0D" w:rsidR="00554A0D" w:rsidP="00554A0D" w:rsidRDefault="00554A0D" w14:paraId="03651D19" w14:textId="77777777">
      <w:pPr>
        <w:jc w:val="both"/>
        <w:rPr>
          <w:rFonts w:eastAsia="Arial Unicode MS"/>
        </w:rPr>
      </w:pPr>
    </w:p>
    <w:p w:rsidRPr="00554A0D" w:rsidR="00554A0D" w:rsidP="00554A0D" w:rsidRDefault="00554A0D" w14:paraId="591A0393" w14:textId="03378CFF">
      <w:pPr>
        <w:tabs>
          <w:tab w:val="num" w:pos="720"/>
        </w:tabs>
        <w:jc w:val="both"/>
      </w:pPr>
      <w:r w:rsidR="00554A0D">
        <w:rPr/>
        <w:t xml:space="preserve">Que, habiéndosele corrido traslado de la respectiva reclamación, </w:t>
      </w:r>
      <w:r w:rsidRPr="6ED76F2B" w:rsidR="46164D87">
        <w:rPr>
          <w:lang w:val="es-MX"/>
        </w:rPr>
        <w:t>....................................</w:t>
      </w:r>
      <w:r w:rsidRPr="6ED76F2B" w:rsidR="00554A0D">
        <w:rPr>
          <w:b w:val="1"/>
          <w:bCs w:val="1"/>
          <w:lang w:val="es-MX"/>
        </w:rPr>
        <w:t xml:space="preserve"> </w:t>
      </w:r>
      <w:r w:rsidR="00554A0D">
        <w:rPr/>
        <w:t>cumplió con presentar sus respectivos descargos;</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rsidRPr="00554A0D" w:rsidR="00554A0D" w:rsidP="00554A0D" w:rsidRDefault="00554A0D" w14:paraId="560800C8" w14:textId="77777777">
      <w:pPr>
        <w:tabs>
          <w:tab w:val="num" w:pos="720"/>
        </w:tabs>
        <w:jc w:val="both"/>
      </w:pPr>
    </w:p>
    <w:p w:rsidRPr="00554A0D" w:rsidR="00554A0D" w:rsidP="00554A0D" w:rsidRDefault="00554A0D" w14:paraId="0C12E575" w14:textId="77777777">
      <w:pPr>
        <w:tabs>
          <w:tab w:val="num" w:pos="720"/>
        </w:tabs>
        <w:jc w:val="both"/>
      </w:pPr>
      <w:r w:rsidRPr="00554A0D">
        <w:t>Que, el 18 de octubre de 2021 se realizó la audiencia de vista en entorno virtual, con la participación de las partes, quienes tuvieron oportunidad de exponer su posición tratándose de la materia reclamada, absolviendo las diversas preguntas que les fueron formuladas;</w:t>
      </w:r>
    </w:p>
    <w:p w:rsidRPr="00554A0D" w:rsidR="00554A0D" w:rsidP="00554A0D" w:rsidRDefault="00554A0D" w14:paraId="4BF96317" w14:textId="77777777">
      <w:pPr>
        <w:pStyle w:val="a"/>
      </w:pPr>
    </w:p>
    <w:p w:rsidRPr="00554A0D" w:rsidR="00554A0D" w:rsidP="00554A0D" w:rsidRDefault="00554A0D" w14:paraId="395B3BED" w14:textId="12DD443A">
      <w:pPr>
        <w:jc w:val="both"/>
      </w:pPr>
      <w:r w:rsidR="00554A0D">
        <w:rPr/>
        <w:t>Que, la reclamación se sustenta principalmente lo siguiente: (1)</w:t>
      </w:r>
      <w:r w:rsidRPr="6ED76F2B" w:rsidR="00554A0D">
        <w:rPr>
          <w:lang w:val="es-MX"/>
        </w:rPr>
        <w:t xml:space="preserve"> </w:t>
      </w:r>
      <w:r w:rsidR="00554A0D">
        <w:rPr/>
        <w:t xml:space="preserve">si bien es cierto que la causa del fallecimiento de su esposo fue un shock séptico, causado por la perforación intestinal, sin embargo, se debe analizar si es cierto que la llamada “Obstrucción intestinal” ocasionó la perforación intestinal, que produjo el cuadro séptico y el lamentable fallecimiento del asegurado; (2) se puede debatir acerca de la certeza que las cirugías previas condicionaron las bridas y adherencias; y que, si estas fueron la causa del diagnóstico de “Obstrucción Intestinal”; (3) la aseguradora asevera que esta obstrucción intestinal causó la perforación intestinal y, por lo tanto, la muerte del asegurado, lo que no es del todo cierto; (4) cuando existe una perforación intestinal, el paciente además del dolor abdominal, que sí es cierto que presentaba su esposo, necesariamente tiene que presentar un cuadro típico caracterizado por fiebre, elevación importante de los leucocitos, presencia de líquido libre (sea intestinal o purulento) en la cavidad peritoneal, lo que constituye una peritonitis; (5) la radiografía de abdomen debe evidenciar un signo llamado neumoperitoneo y niveles hidro aéreos en el </w:t>
      </w:r>
      <w:r w:rsidR="6BA9BBB3">
        <w:rPr/>
        <w:t>...................................</w:t>
      </w:r>
      <w:r w:rsidR="00554A0D">
        <w:rPr/>
        <w:t xml:space="preserve"> (no en el colón que es normal tener gas); (6) ninguno de estos signos clínicos, presentó el asegurado, ni figuran en la Historia Clínica correspondiente; (7) los datos reales que están consignados en la Historia Clínica, que demuestran que la perforación intestinal no fue causada por la obstrucción intestinal ni por bridas y adherencias, son: - El asegurado llegó a la emergencia en Regular Estado General, al llegar con un intenso dolor abdominal no podría ser buen estado, pero no presentaba ningún signo de perforación intestinal. La frecuencia cardiaca era normal, 68 latidos/minutos, es decir no había taquicardia que siempre se presenta en la perforación intestinal y/o sepsis. La presión arterial era normal, no estaba alterada como suele verse en estos casos; - su temperatura al ingreso era de 36°C esto descarta la sepsis y la perforación. La saturación de oxígeno era normal; - Radiografía de Abdomen simple. La radiografía de Abdomen solicitada por el cirujano de emergencia es siempre de pie (como se evidencia por la formación de niveles hidro aéreos en el colon). </w:t>
      </w:r>
      <w:r w:rsidR="00554A0D">
        <w:rPr/>
        <w:t>Esta placa de pie busca un signo patognomónico de la perforación intestinal que se llama neumoperitoneo, que no es más que la evidencia de gas localizado debajo del diafragma que proviene del intestino y ha escapado a través de la perforación.</w:t>
      </w:r>
      <w:r w:rsidR="00554A0D">
        <w:rPr/>
        <w:t xml:space="preserve"> Dicho Signo está ausente en la radiografía de abdomen con lo que se descarta la perforación intestinal; -</w:t>
      </w:r>
      <w:r w:rsidR="00554A0D">
        <w:rPr/>
        <w:t xml:space="preserve">Tomografía de Abdomen (TEM): se informa “cavidad abdominal y pélvica libre de colecciones, masas o líquido libre” … “asas intestinales llenas de líquido” sic. Conclusión: “Proceso inflamatorio de asas intestinal” sic. En otras palabras: la tomografía demuestra la presencia de líquido intestinal dentro del mismo y la ausencia de este líquido fuera del intestino. Cuando existe una perforación intestinal este líquido ha escapado del intestino y se aloja en la cavidad abdominal. Esto constituye otra prueba de que no hubo perforación intestinal </w:t>
      </w:r>
      <w:r w:rsidR="00554A0D">
        <w:rPr/>
        <w:t>pre operatoria</w:t>
      </w:r>
      <w:r w:rsidR="00554A0D">
        <w:rPr/>
        <w:t xml:space="preserve">; -Reporte Operatorio. En los hallazgos operatorios se describen múltiples adherencias firmes </w:t>
      </w:r>
      <w:r w:rsidR="00554A0D">
        <w:rPr/>
        <w:t>inter asas</w:t>
      </w:r>
      <w:r w:rsidR="00554A0D">
        <w:rPr/>
        <w:t xml:space="preserve">. También describen dos perforaciones, pero no refieren si son perforaciones durante el acto operatorio que consistió en la liberación de las adherencias encontradas. En un intestino perforado 12 o 24 horas antes tiene además de otras características específicas de la perforación, otros signos de peritonitis como la presencia de una gran cantidad de líquido y cambios en la serosa de los intestinos, así como en el epiplón mayor. Ninguno de estos signos fue hallado durante la cirugía ni descritos en el reporte operatorio; (8) en el </w:t>
      </w:r>
      <w:r w:rsidR="00554A0D">
        <w:rPr/>
        <w:t>Pre operatorio</w:t>
      </w:r>
      <w:r w:rsidR="00554A0D">
        <w:rPr/>
        <w:t xml:space="preserve">, la sospecha diagnóstica era una obstrucción intestinal sin perforación por no haber ningún signo clínico, ni radiológico de dicha perforación. Recién en el Diagnóstico </w:t>
      </w:r>
      <w:r w:rsidR="00554A0D">
        <w:rPr/>
        <w:t>Post-operatorio</w:t>
      </w:r>
      <w:r w:rsidR="00554A0D">
        <w:rPr/>
        <w:t xml:space="preserve"> colocan la perforación. </w:t>
      </w:r>
      <w:r w:rsidR="00554A0D">
        <w:rPr/>
        <w:t>Es decir, la perforación no fue causada por el estallamiento del intestino por una obstrucción intestinal, si no que se perforó el intestino durante el acto operatorio.</w:t>
      </w:r>
      <w:r w:rsidR="00554A0D">
        <w:rPr/>
        <w:t xml:space="preserve"> Por eso se explica que el paciente acude a emergencia al medio día del 22/04/21 y hayan esperado hasta el día siguiente para programar la cirugía; (9) una perforación intestinal por cualquier causa (arma blanca, de fuego, tifoidea, apendicitis, diverticulitis, </w:t>
      </w:r>
      <w:r w:rsidR="00554A0D">
        <w:rPr/>
        <w:t>etc</w:t>
      </w:r>
      <w:r w:rsidR="00554A0D">
        <w:rPr/>
        <w:t>) tiene indicación de operarse inmediatamente como una hemorragia interna, ya que hay peligro de vida y no se programa para el día siguiente. Esta complicación en sala de operaciones también explica que la cirugía haya empezado a las 9 am y terminado casi 6 horas después. Este tiempo operatorio no es habitual en las cirugías obstructiva de emergencia; (10) la pertinencia del tratamiento médico quirúrgico recibido por su esposo y su desenlace será motivo de una reclamación en otros fueros. Sin embargo, el concluir que el antecedente quirúrgico de hace más de 10 años, causó la muerte del asegurado, basándose someramente en algunos datos de la historia clínica y obviando otros que demuestran fehacientemente que no existe una relación causa – efecto evidente sin lugar a una duda razonable entre estos dos hechos, concluyendo, por lo tanto, que el beneficio no debe ser cubierto, es una decisión apresurada de la aseguradora; (11) no es lo mismo haber tenido una enfermedad antigua, aguda y resuelta, lo cual constituye un antecedente como puede ser una apendicitis operada, 10 años atrás y resuelta quirúrgicamente, como es el caso del asegurado; o haber tenido una bronquitis, una enterocolitis resuelta o las eruptivas de la infancia, que cualquier persona sana en el momento de suscribir una póliza haya podido tener; (12) otra cosa es tener una enfermedad crónica o degenerativa como la diabetes, la hipertensión arterial o el cáncer y no declararlas; (13) la omisión involuntaria de la declaración de un antecedente médico o quirúrgico en la declaración personal de salud, cuando no se tratar de una enfermedad actual o una antigua, que no supone una disminución en la expectativa de vida, no debe ser considerada como incursa en el artículo 24 inciso a) de la póliza correspondiente.</w:t>
      </w:r>
    </w:p>
    <w:p w:rsidRPr="00554A0D" w:rsidR="00554A0D" w:rsidP="00554A0D" w:rsidRDefault="00554A0D" w14:paraId="7C16D361" w14:textId="77777777">
      <w:pPr>
        <w:autoSpaceDE w:val="0"/>
        <w:autoSpaceDN w:val="0"/>
        <w:adjustRightInd w:val="0"/>
        <w:jc w:val="both"/>
        <w:rPr>
          <w:bCs/>
        </w:rPr>
      </w:pPr>
      <w:r w:rsidRPr="00554A0D">
        <w:t xml:space="preserve"> </w:t>
      </w:r>
    </w:p>
    <w:p w:rsidRPr="00554A0D" w:rsidR="00554A0D" w:rsidP="00554A0D" w:rsidRDefault="00554A0D" w14:paraId="12B819BE" w14:textId="085F3F6A">
      <w:pPr>
        <w:pStyle w:val="Default"/>
        <w:jc w:val="both"/>
        <w:rPr>
          <w:rFonts w:ascii="Times New Roman" w:hAnsi="Times New Roman" w:cs="Times New Roman"/>
        </w:rPr>
      </w:pPr>
      <w:r w:rsidRPr="6ED76F2B" w:rsidR="00554A0D">
        <w:rPr>
          <w:rFonts w:ascii="Times New Roman" w:hAnsi="Times New Roman" w:cs="Times New Roman"/>
        </w:rPr>
        <w:t>Que, por su parte, el rechazo de cobertura se fundamenta resumidamente en lo siguiente: (1)</w:t>
      </w:r>
      <w:r w:rsidRPr="6ED76F2B" w:rsidR="00554A0D">
        <w:rPr>
          <w:rFonts w:ascii="Times New Roman" w:hAnsi="Times New Roman" w:cs="Times New Roman"/>
          <w:lang w:val="es-MX"/>
        </w:rPr>
        <w:t xml:space="preserve"> </w:t>
      </w:r>
      <w:r w:rsidRPr="6ED76F2B" w:rsidR="00554A0D">
        <w:rPr>
          <w:rFonts w:ascii="Times New Roman" w:hAnsi="Times New Roman" w:cs="Times New Roman"/>
        </w:rPr>
        <w:t xml:space="preserve">el rechazo de cobertura del fallecimiento del asegurado se fundamenta en el artículo 24 de exclusiones del condicionado general, en virtud del cual, el seguro contratado no cubre a los asegurados cuya historia clínica indique diagnóstico de enfermedad </w:t>
      </w:r>
      <w:r w:rsidRPr="6ED76F2B" w:rsidR="00554A0D">
        <w:rPr>
          <w:rFonts w:ascii="Times New Roman" w:hAnsi="Times New Roman" w:cs="Times New Roman"/>
        </w:rPr>
        <w:t>pre-existente</w:t>
      </w:r>
      <w:r w:rsidRPr="6ED76F2B" w:rsidR="00554A0D">
        <w:rPr>
          <w:rFonts w:ascii="Times New Roman" w:hAnsi="Times New Roman" w:cs="Times New Roman"/>
        </w:rPr>
        <w:t xml:space="preserve"> de cualquier tipo no declaradas al momento de afiliarse; (2) de la revisión de la Historia Clínica de CLINICA LA LUZ, presentada para la evaluación del caso del asegurado, se desprende </w:t>
      </w:r>
      <w:r w:rsidRPr="6ED76F2B" w:rsidR="00554A0D">
        <w:rPr>
          <w:rFonts w:ascii="Times New Roman" w:hAnsi="Times New Roman" w:cs="Times New Roman"/>
        </w:rPr>
        <w:t xml:space="preserve">el siguiente antecedente patológico: - Antecedente quirúrgico: apendicetomía complicada por peritonitis, ileostomía por 8 meses (total 04 operaciones) 2010, - Diagnósticos: obstrucción intestinal; (3) los antecedentes antes mencionados resultan preexistentes a la contratación del Seguro de Protección Familiar Póliza </w:t>
      </w:r>
      <w:r w:rsidRPr="6ED76F2B" w:rsidR="00554A0D">
        <w:rPr>
          <w:rFonts w:ascii="Times New Roman" w:hAnsi="Times New Roman" w:cs="Times New Roman"/>
        </w:rPr>
        <w:t>N°</w:t>
      </w:r>
      <w:r w:rsidRPr="6ED76F2B" w:rsidR="00554A0D">
        <w:rPr>
          <w:rFonts w:ascii="Times New Roman" w:hAnsi="Times New Roman" w:cs="Times New Roman"/>
        </w:rPr>
        <w:t xml:space="preserve"> </w:t>
      </w:r>
      <w:r w:rsidRPr="6ED76F2B" w:rsidR="7DD54D4F">
        <w:rPr>
          <w:rFonts w:ascii="Times New Roman" w:hAnsi="Times New Roman" w:cs="Times New Roman"/>
        </w:rPr>
        <w:t>.....................</w:t>
      </w:r>
      <w:r w:rsidRPr="6ED76F2B" w:rsidR="00554A0D">
        <w:rPr>
          <w:rFonts w:ascii="Times New Roman" w:hAnsi="Times New Roman" w:cs="Times New Roman"/>
        </w:rPr>
        <w:t xml:space="preserve"> con fecha de inicio de vigencia 01.01.2019, teniendo dicho antecedente relación directa con la causa de fallecimiento: perforación intestinal, shock séptico - relación directa con la formación de bridas y adherencias consignadas en reporte operatorio ocasionando perforación intestinal; (4) el cuadro obstructivo intestinal que presento el asegurado se debió a múltiples bridas y adherencias, originadas a consecuencia de cirugías realizadas antes de la contratación del seguro; (5) las bridas y adherencias son secuelas de las cirugías a las que fue sometido el asegurado; (6) el hecho de que no se pueda establecer en qué momento aparecerán, no es tema de discusión, pues lo que importa es que las mismas son consecuencia de múltiples cirugías como: la apendicetomía complicada por peritonitis, ileostomía por 8 meses, ocurridas en los años 2008 - 2010, previas a la contratación del seguro (01 de enero 2019); (7) el día 22 de Abril del 2021 el Sr. </w:t>
      </w:r>
      <w:r w:rsidRPr="6ED76F2B" w:rsidR="7A738FCD">
        <w:rPr>
          <w:rFonts w:ascii="Times New Roman" w:hAnsi="Times New Roman" w:cs="Times New Roman"/>
        </w:rPr>
        <w:t>.......................................................</w:t>
      </w:r>
      <w:r w:rsidRPr="6ED76F2B" w:rsidR="00554A0D">
        <w:rPr>
          <w:rFonts w:ascii="Times New Roman" w:hAnsi="Times New Roman" w:cs="Times New Roman"/>
        </w:rPr>
        <w:t xml:space="preserve">, cónyuge y asegurado dependiente de la Sra. </w:t>
      </w:r>
      <w:r w:rsidRPr="6ED76F2B" w:rsidR="575BF403">
        <w:rPr>
          <w:rFonts w:ascii="Times New Roman" w:hAnsi="Times New Roman" w:cs="Times New Roman"/>
        </w:rPr>
        <w:t>.....................................................................................</w:t>
      </w:r>
      <w:r w:rsidRPr="6ED76F2B" w:rsidR="00554A0D">
        <w:rPr>
          <w:rFonts w:ascii="Times New Roman" w:hAnsi="Times New Roman" w:cs="Times New Roman"/>
        </w:rPr>
        <w:t>, fue conducido de Emergencia a la Clínica La Luz donde después de ser sometido a evaluación fue diagnosticado con signos de oclusión intestinal baja, falleciendo el día 13 de mayo del presente año como consecuencia de perforación intestinal, shop séptico; (8) el asegurado tuvo como antecedentes patológicos en los años (2008-2010), 4 intervenciones quirúrgicas siendo estas, las siguientes: - Apendicitis complicada con Peritonitis generalizada, -Resección intestinal, - Colectomía, - Cálculos Biliares; (9) tales intervenciones quirúrgicas guardan relación directa con el cuadro que presentó el asegurado cuando fue conducido de Emergencia a la Clínica La Luz; por lo cual, habiéndose originado las mismas como consecuencias de una enfermedad no cubierta por ser preexistente, no corresponde la ejecución del contrato de seguro; (10) la información omitida por parte de la reclamante sobre las 4 intervenciones quirúrgicas sometidas a su cónyuge en los años 2008 - 2010, guarda relación directa con la causa de fallecimiento originadas por la formación de bridas y adherencias consignadas en el reporte operatorio ocasionando como resultado final un shock séptico por la perforación intestinal, (11) cualquier procedimiento quirúrgico del colon aumenta el riesgo de perforación. Los procedimientos quirúrgicos pueden debilitar las paredes del colon y aumentar el riesgo de perforación. Estas condiciones incluyen: La apendicitis complicada con la peritonitis generalizada y colostomía.</w:t>
      </w:r>
    </w:p>
    <w:p w:rsidRPr="00554A0D" w:rsidR="00554A0D" w:rsidP="00554A0D" w:rsidRDefault="00554A0D" w14:paraId="582DADB9" w14:textId="77777777">
      <w:pPr>
        <w:tabs>
          <w:tab w:val="left" w:pos="2160"/>
        </w:tabs>
        <w:jc w:val="both"/>
        <w:rPr>
          <w:lang w:val="es-MX"/>
        </w:rPr>
      </w:pPr>
    </w:p>
    <w:p w:rsidRPr="00554A0D" w:rsidR="00554A0D" w:rsidP="00554A0D" w:rsidRDefault="00554A0D" w14:paraId="6B6E885E" w14:textId="77777777">
      <w:pPr>
        <w:spacing w:after="200" w:line="20" w:lineRule="atLeast"/>
        <w:jc w:val="both"/>
        <w:rPr>
          <w:rFonts w:eastAsia="Calibri"/>
          <w:b/>
          <w:lang w:val="es-PE" w:eastAsia="en-US"/>
        </w:rPr>
      </w:pPr>
      <w:r w:rsidRPr="00554A0D">
        <w:rPr>
          <w:rFonts w:eastAsia="Calibri"/>
          <w:b/>
          <w:lang w:val="es-PE" w:eastAsia="en-US"/>
        </w:rPr>
        <w:t xml:space="preserve">CONSIDERANDO: </w:t>
      </w:r>
    </w:p>
    <w:p w:rsidRPr="00554A0D" w:rsidR="00554A0D" w:rsidP="00554A0D" w:rsidRDefault="00554A0D" w14:paraId="0A726926" w14:textId="77777777">
      <w:pPr>
        <w:jc w:val="both"/>
      </w:pPr>
      <w:r w:rsidRPr="00554A0D">
        <w:rPr>
          <w:b/>
          <w:u w:val="single"/>
        </w:rPr>
        <w:t>PRIMERO</w:t>
      </w:r>
      <w:r w:rsidRPr="00554A0D">
        <w:t>: Conforme a su reglamento, la</w:t>
      </w:r>
      <w:r w:rsidRPr="00554A0D">
        <w:rPr>
          <w:b/>
          <w:bCs/>
        </w:rPr>
        <w:t xml:space="preserve"> </w:t>
      </w:r>
      <w:r w:rsidRPr="00554A0D">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554A0D" w:rsidR="00554A0D" w:rsidP="00554A0D" w:rsidRDefault="00554A0D" w14:paraId="623898F7" w14:textId="77777777">
      <w:pPr>
        <w:jc w:val="both"/>
      </w:pPr>
    </w:p>
    <w:p w:rsidRPr="00554A0D" w:rsidR="00554A0D" w:rsidP="00554A0D" w:rsidRDefault="00554A0D" w14:paraId="3051247B" w14:textId="77777777">
      <w:pPr>
        <w:jc w:val="both"/>
        <w:rPr>
          <w:rStyle w:val="Textoennegrita"/>
          <w:b w:val="0"/>
        </w:rPr>
      </w:pPr>
      <w:r w:rsidRPr="00554A0D">
        <w:rPr>
          <w:b/>
          <w:u w:val="single"/>
        </w:rPr>
        <w:t>SEGUNDO</w:t>
      </w:r>
      <w:r w:rsidRPr="00554A0D">
        <w:t xml:space="preserve">: Asimismo, </w:t>
      </w:r>
      <w:proofErr w:type="gramStart"/>
      <w:r w:rsidRPr="00554A0D">
        <w:t>de acuerdo a</w:t>
      </w:r>
      <w:proofErr w:type="gramEnd"/>
      <w:r w:rsidRPr="00554A0D">
        <w:t xml:space="preserve"> </w:t>
      </w:r>
      <w:r w:rsidRPr="00554A0D">
        <w:rPr>
          <w:rStyle w:val="Textoennegrita"/>
          <w:b w:val="0"/>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w:t>
      </w:r>
      <w:r w:rsidRPr="00554A0D">
        <w:rPr>
          <w:rStyle w:val="Textoennegrita"/>
          <w:b w:val="0"/>
        </w:rPr>
        <w:lastRenderedPageBreak/>
        <w:t>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554A0D" w:rsidR="00554A0D" w:rsidP="00554A0D" w:rsidRDefault="00554A0D" w14:paraId="33F159FA" w14:textId="77777777">
      <w:pPr>
        <w:jc w:val="both"/>
        <w:rPr>
          <w:rStyle w:val="Textoennegrita"/>
          <w:b w:val="0"/>
        </w:rPr>
      </w:pPr>
    </w:p>
    <w:p w:rsidRPr="00554A0D" w:rsidR="00554A0D" w:rsidP="00554A0D" w:rsidRDefault="00554A0D" w14:paraId="4D1596C0" w14:textId="77777777">
      <w:pPr>
        <w:jc w:val="both"/>
      </w:pPr>
      <w:r w:rsidRPr="00554A0D">
        <w:rPr>
          <w:rStyle w:val="Textoennegrita"/>
          <w:u w:val="single"/>
        </w:rPr>
        <w:t>TERCERO</w:t>
      </w:r>
      <w:r w:rsidRPr="00554A0D">
        <w:rPr>
          <w:rStyle w:val="Textoennegrita"/>
        </w:rPr>
        <w:t>:</w:t>
      </w:r>
      <w:r w:rsidRPr="00554A0D">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54A0D" w:rsidR="00554A0D" w:rsidP="00554A0D" w:rsidRDefault="00554A0D" w14:paraId="50450FCD" w14:textId="77777777">
      <w:pPr>
        <w:jc w:val="both"/>
      </w:pPr>
    </w:p>
    <w:p w:rsidRPr="00554A0D" w:rsidR="00554A0D" w:rsidP="00554A0D" w:rsidRDefault="00554A0D" w14:paraId="047C1354" w14:textId="77777777">
      <w:pPr>
        <w:contextualSpacing/>
        <w:jc w:val="both"/>
      </w:pPr>
      <w:r w:rsidRPr="00554A0D">
        <w:rPr>
          <w:b/>
          <w:u w:val="single"/>
        </w:rPr>
        <w:t>CUARTO</w:t>
      </w:r>
      <w:r w:rsidRPr="00554A0D">
        <w:rPr>
          <w:b/>
        </w:rPr>
        <w:t>:</w:t>
      </w:r>
      <w:r w:rsidRPr="00554A0D">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554A0D" w:rsidR="00554A0D" w:rsidP="00554A0D" w:rsidRDefault="00554A0D" w14:paraId="26FE278D" w14:textId="77777777">
      <w:pPr>
        <w:contextualSpacing/>
        <w:jc w:val="both"/>
        <w:rPr>
          <w:b/>
          <w:u w:val="single"/>
        </w:rPr>
      </w:pPr>
    </w:p>
    <w:p w:rsidRPr="00554A0D" w:rsidR="00554A0D" w:rsidP="00554A0D" w:rsidRDefault="00554A0D" w14:paraId="7F40223D" w14:textId="77777777">
      <w:pPr>
        <w:jc w:val="both"/>
      </w:pPr>
      <w:r w:rsidRPr="00554A0D">
        <w:rPr>
          <w:rStyle w:val="Textoennegrita"/>
          <w:u w:val="single"/>
        </w:rPr>
        <w:t>QUINTO</w:t>
      </w:r>
      <w:r w:rsidRPr="00554A0D">
        <w:rPr>
          <w:rStyle w:val="Textoennegrita"/>
        </w:rPr>
        <w:t>:</w:t>
      </w:r>
      <w:r w:rsidRPr="00554A0D">
        <w:rPr>
          <w:rStyle w:val="Textoennegrita"/>
          <w:b w:val="0"/>
        </w:rPr>
        <w:t xml:space="preserve"> Que, de acuerdo con el ar</w:t>
      </w:r>
      <w:r w:rsidRPr="00554A0D">
        <w:t>tículo 196 del Código Procesal Civil, la carga de la prueba corresponde a quien afirma hechos que configuran su pretensión, o a quien los contradice alegando nuevos hechos, salvo disposición legal diferente.</w:t>
      </w:r>
    </w:p>
    <w:p w:rsidRPr="00554A0D" w:rsidR="00554A0D" w:rsidP="00554A0D" w:rsidRDefault="00554A0D" w14:paraId="5A6E6C14" w14:textId="77777777">
      <w:pPr>
        <w:contextualSpacing/>
        <w:jc w:val="both"/>
        <w:rPr>
          <w:lang w:val="es-MX"/>
        </w:rPr>
      </w:pPr>
    </w:p>
    <w:p w:rsidRPr="00554A0D" w:rsidR="00554A0D" w:rsidP="00554A0D" w:rsidRDefault="00554A0D" w14:paraId="59352716" w14:textId="77777777">
      <w:pPr>
        <w:spacing w:after="200" w:line="20" w:lineRule="atLeast"/>
        <w:jc w:val="both"/>
        <w:rPr>
          <w:rFonts w:eastAsia="Calibri"/>
          <w:lang w:val="es-PE" w:eastAsia="en-US"/>
        </w:rPr>
      </w:pPr>
      <w:r w:rsidRPr="00554A0D">
        <w:rPr>
          <w:rFonts w:eastAsia="Calibri"/>
          <w:b/>
          <w:u w:val="single"/>
          <w:lang w:val="es-PE" w:eastAsia="en-US"/>
        </w:rPr>
        <w:t>SEXTO</w:t>
      </w:r>
      <w:r w:rsidRPr="00554A0D">
        <w:rPr>
          <w:rFonts w:eastAsia="Calibri"/>
          <w:b/>
          <w:lang w:val="es-PE" w:eastAsia="en-US"/>
        </w:rPr>
        <w:t>:</w:t>
      </w:r>
      <w:r w:rsidRPr="00554A0D">
        <w:rPr>
          <w:rFonts w:eastAsia="Calibri"/>
          <w:lang w:val="es-PE" w:eastAsia="en-US"/>
        </w:rPr>
        <w:t xml:space="preserve"> Que, conforme a los términos del rechazo, así como a la reclamación y su absolución, como a lo tratado en la audiencia de vista, se advierte que la solución de la presente controversia consiste en determinar si el rechazo de la aseguradora es legítimo o no.</w:t>
      </w:r>
    </w:p>
    <w:p w:rsidRPr="00554A0D" w:rsidR="00554A0D" w:rsidP="00554A0D" w:rsidRDefault="00554A0D" w14:paraId="393F53D5" w14:textId="77777777">
      <w:pPr>
        <w:spacing w:after="200" w:line="20" w:lineRule="atLeast"/>
        <w:jc w:val="both"/>
        <w:rPr>
          <w:lang w:val="es-PE"/>
        </w:rPr>
      </w:pPr>
      <w:r w:rsidRPr="00554A0D">
        <w:rPr>
          <w:rFonts w:eastAsia="Calibri"/>
          <w:b/>
          <w:u w:val="single"/>
          <w:lang w:val="es-MX" w:eastAsia="en-US"/>
        </w:rPr>
        <w:t>SÉTIMO</w:t>
      </w:r>
      <w:r w:rsidRPr="00554A0D">
        <w:rPr>
          <w:rFonts w:eastAsia="Calibri"/>
          <w:lang w:val="es-MX" w:eastAsia="en-US"/>
        </w:rPr>
        <w:t>: Que, u</w:t>
      </w:r>
      <w:r w:rsidRPr="00554A0D">
        <w:rPr>
          <w:lang w:val="es-PE"/>
        </w:rPr>
        <w:t xml:space="preserve">n primer tema a considerar es si la exclusión de cobertura invocada por la aseguradora es oponible o no a la reclamante, desde una perspectiva formal. </w:t>
      </w:r>
    </w:p>
    <w:p w:rsidRPr="00554A0D" w:rsidR="00554A0D" w:rsidP="00554A0D" w:rsidRDefault="00554A0D" w14:paraId="4D7FEDCA" w14:textId="77777777">
      <w:pPr>
        <w:spacing w:after="200" w:line="20" w:lineRule="atLeast"/>
        <w:jc w:val="both"/>
        <w:rPr>
          <w:lang w:val="es-PE"/>
        </w:rPr>
      </w:pPr>
      <w:r w:rsidRPr="00554A0D">
        <w:rPr>
          <w:lang w:val="es-PE"/>
        </w:rPr>
        <w:t>Si bien la aseguradora no ha presentado un ejemplar suscrito por la asegurada de la respectiva póliza, no es menos cierto que en momento alguno se ha invocado desconocimiento, siendo que más bien, sobre la base de poseer conocimiento de los contenidos contractuales, se reclama la cobertura contratada, lo cual permite inferir que la asegurada sí conoció oportunamente de los términos y condiciones de la póliza contratada.</w:t>
      </w:r>
    </w:p>
    <w:p w:rsidRPr="00554A0D" w:rsidR="00554A0D" w:rsidP="00554A0D" w:rsidRDefault="00554A0D" w14:paraId="3FD24F4D" w14:textId="77777777">
      <w:pPr>
        <w:spacing w:after="200" w:line="20" w:lineRule="atLeast"/>
        <w:jc w:val="both"/>
        <w:rPr>
          <w:lang w:val="es-PE"/>
        </w:rPr>
      </w:pPr>
      <w:r w:rsidRPr="00554A0D">
        <w:rPr>
          <w:lang w:val="es-PE"/>
        </w:rPr>
        <w:t xml:space="preserve">Adicionalmente, se advierte que la póliza es individual y no colectiva o grupal, caso este último en el cual se genera un excepcional régimen tuitivo que permita eliminar la asimetría informativa.  </w:t>
      </w:r>
    </w:p>
    <w:p w:rsidRPr="00554A0D" w:rsidR="00554A0D" w:rsidP="00554A0D" w:rsidRDefault="00554A0D" w14:paraId="02390C8D" w14:textId="77777777">
      <w:pPr>
        <w:spacing w:after="200" w:line="20" w:lineRule="atLeast"/>
        <w:jc w:val="both"/>
        <w:rPr>
          <w:rFonts w:eastAsia="Calibri"/>
          <w:lang w:val="es-MX" w:eastAsia="en-US"/>
        </w:rPr>
      </w:pPr>
      <w:r w:rsidRPr="00554A0D">
        <w:rPr>
          <w:lang w:val="es-PE"/>
        </w:rPr>
        <w:t xml:space="preserve">Consecuentemente, en el presente caso, los términos y condiciones de la póliza, y, en particular las causales de exclusión de </w:t>
      </w:r>
      <w:proofErr w:type="gramStart"/>
      <w:r w:rsidRPr="00554A0D">
        <w:rPr>
          <w:lang w:val="es-PE"/>
        </w:rPr>
        <w:t>cobertura,</w:t>
      </w:r>
      <w:proofErr w:type="gramEnd"/>
      <w:r w:rsidRPr="00554A0D">
        <w:rPr>
          <w:lang w:val="es-PE"/>
        </w:rPr>
        <w:t xml:space="preserve"> son oponibles.</w:t>
      </w:r>
    </w:p>
    <w:p w:rsidRPr="00554A0D" w:rsidR="00554A0D" w:rsidP="00554A0D" w:rsidRDefault="00554A0D" w14:paraId="4C005B2B" w14:textId="77777777">
      <w:pPr>
        <w:spacing w:after="200" w:line="20" w:lineRule="atLeast"/>
        <w:jc w:val="both"/>
        <w:rPr>
          <w:lang w:val="es-PE"/>
        </w:rPr>
      </w:pPr>
      <w:r w:rsidRPr="00554A0D">
        <w:rPr>
          <w:rFonts w:eastAsia="Calibri"/>
          <w:b/>
          <w:u w:val="single"/>
          <w:lang w:val="es-MX" w:eastAsia="en-US"/>
        </w:rPr>
        <w:t>OCTAVO</w:t>
      </w:r>
      <w:r w:rsidRPr="00554A0D">
        <w:rPr>
          <w:rFonts w:eastAsia="Calibri"/>
          <w:lang w:val="es-PE" w:eastAsia="en-US"/>
        </w:rPr>
        <w:t>: Que, u</w:t>
      </w:r>
      <w:r w:rsidRPr="00554A0D">
        <w:rPr>
          <w:lang w:val="es-PE"/>
        </w:rPr>
        <w:t xml:space="preserve">n segundo tema a analizar radica en determinar los alcances de la exclusión invocada para fines del rechazo.  </w:t>
      </w:r>
    </w:p>
    <w:p w:rsidRPr="00554A0D" w:rsidR="00554A0D" w:rsidP="00554A0D" w:rsidRDefault="00554A0D" w14:paraId="44B658E3" w14:textId="77777777">
      <w:pPr>
        <w:spacing w:after="200" w:line="20" w:lineRule="atLeast"/>
        <w:jc w:val="both"/>
        <w:rPr>
          <w:lang w:val="es-PE"/>
        </w:rPr>
      </w:pPr>
      <w:proofErr w:type="gramStart"/>
      <w:r w:rsidRPr="00554A0D">
        <w:rPr>
          <w:lang w:val="es-PE"/>
        </w:rPr>
        <w:t>De acuerdo al</w:t>
      </w:r>
      <w:proofErr w:type="gramEnd"/>
      <w:r w:rsidRPr="00554A0D">
        <w:rPr>
          <w:lang w:val="es-PE"/>
        </w:rPr>
        <w:t xml:space="preserve"> inciso a) del artículo 24: EXCLUSIONES de las condiciones generales de la póliza contratada, el Seguro de Protección Familiar no cubre, </w:t>
      </w:r>
      <w:r w:rsidRPr="00554A0D">
        <w:rPr>
          <w:i/>
          <w:iCs/>
          <w:lang w:val="es-PE"/>
        </w:rPr>
        <w:t>“a los ASEGURADOS cuya historia clínica indique diagnóstico de ENFERMEDAD PRE-EXISTENTE de cualquier tipo NO DECLARADAS al momento de afiliarse a PROTECCIÓN FAMILIAR”.</w:t>
      </w:r>
      <w:r w:rsidRPr="00554A0D">
        <w:rPr>
          <w:lang w:val="es-PE"/>
        </w:rPr>
        <w:t xml:space="preserve"> </w:t>
      </w:r>
    </w:p>
    <w:p w:rsidRPr="00554A0D" w:rsidR="00554A0D" w:rsidP="00554A0D" w:rsidRDefault="00554A0D" w14:paraId="227CD542" w14:textId="77777777">
      <w:pPr>
        <w:spacing w:after="200" w:line="20" w:lineRule="atLeast"/>
        <w:jc w:val="both"/>
        <w:rPr>
          <w:lang w:val="es-PE"/>
        </w:rPr>
      </w:pPr>
      <w:r w:rsidRPr="00554A0D">
        <w:rPr>
          <w:lang w:val="es-PE"/>
        </w:rPr>
        <w:t xml:space="preserve">De acuerdo con el citado tenor, en estricta aplicación literal de la indicada exclusión, su configuración exige los siguientes requisitos: (i) una enfermedad diagnosticada conforme a </w:t>
      </w:r>
      <w:r w:rsidRPr="00554A0D">
        <w:rPr>
          <w:lang w:val="es-PE"/>
        </w:rPr>
        <w:lastRenderedPageBreak/>
        <w:t>la respectiva historia clínica, y (</w:t>
      </w:r>
      <w:proofErr w:type="spellStart"/>
      <w:r w:rsidRPr="00554A0D">
        <w:rPr>
          <w:lang w:val="es-PE"/>
        </w:rPr>
        <w:t>ii</w:t>
      </w:r>
      <w:proofErr w:type="spellEnd"/>
      <w:r w:rsidRPr="00554A0D">
        <w:rPr>
          <w:lang w:val="es-PE"/>
        </w:rPr>
        <w:t>) que dicha enfermedad no haya sido declarada por el asegurado con ocasión de afiliarse al seguro.  Y por una cuestión elemental de pertinencia, (</w:t>
      </w:r>
      <w:proofErr w:type="spellStart"/>
      <w:r w:rsidRPr="00554A0D">
        <w:rPr>
          <w:lang w:val="es-PE"/>
        </w:rPr>
        <w:t>iii</w:t>
      </w:r>
      <w:proofErr w:type="spellEnd"/>
      <w:r w:rsidRPr="00554A0D">
        <w:rPr>
          <w:lang w:val="es-PE"/>
        </w:rPr>
        <w:t>) que la enfermedad ya diagnosticada y no declarada, se relacione al siniestro respecto del cual, en su oportunidad, se solicite cobertura.</w:t>
      </w:r>
    </w:p>
    <w:p w:rsidRPr="00554A0D" w:rsidR="00554A0D" w:rsidP="00554A0D" w:rsidRDefault="00554A0D" w14:paraId="2A0E01D2" w14:textId="77777777">
      <w:pPr>
        <w:spacing w:after="200" w:line="20" w:lineRule="atLeast"/>
        <w:jc w:val="both"/>
        <w:rPr>
          <w:lang w:val="es-PE"/>
        </w:rPr>
      </w:pPr>
      <w:r w:rsidRPr="00554A0D">
        <w:rPr>
          <w:lang w:val="es-PE"/>
        </w:rPr>
        <w:t>De la documentación obrante en el expediente, este colegiado aprecia que en el presente caso concurren todos y cada uno de dichos requisitos.</w:t>
      </w:r>
    </w:p>
    <w:p w:rsidRPr="00554A0D" w:rsidR="00554A0D" w:rsidP="00554A0D" w:rsidRDefault="00554A0D" w14:paraId="76689BA5" w14:textId="77777777">
      <w:pPr>
        <w:spacing w:after="200" w:line="20" w:lineRule="atLeast"/>
        <w:jc w:val="both"/>
        <w:rPr>
          <w:lang w:val="es-PE"/>
        </w:rPr>
      </w:pPr>
      <w:r w:rsidRPr="00554A0D">
        <w:rPr>
          <w:lang w:val="es-PE"/>
        </w:rPr>
        <w:t xml:space="preserve">Es así </w:t>
      </w:r>
      <w:proofErr w:type="gramStart"/>
      <w:r w:rsidRPr="00554A0D">
        <w:rPr>
          <w:lang w:val="es-PE"/>
        </w:rPr>
        <w:t>que</w:t>
      </w:r>
      <w:proofErr w:type="gramEnd"/>
      <w:r w:rsidRPr="00554A0D">
        <w:rPr>
          <w:lang w:val="es-PE"/>
        </w:rPr>
        <w:t>, consta copia de la historia clínica del asegurado donde constan como antecedentes patológicos cuatro intervenciones en los años 2008-2010:</w:t>
      </w:r>
    </w:p>
    <w:p w:rsidRPr="00554A0D" w:rsidR="00554A0D" w:rsidP="00554A0D" w:rsidRDefault="00554A0D" w14:paraId="2627F849" w14:textId="37838EBB">
      <w:pPr>
        <w:spacing w:after="200" w:line="20" w:lineRule="atLeast"/>
        <w:jc w:val="both"/>
      </w:pPr>
      <w:r w:rsidR="5F5ABF55">
        <w:rPr/>
        <w:t>..............................................................................................................................................</w:t>
      </w:r>
    </w:p>
    <w:p w:rsidRPr="00554A0D" w:rsidR="00554A0D" w:rsidP="00554A0D" w:rsidRDefault="00554A0D" w14:paraId="666CDF5C" w14:textId="65BA9972">
      <w:pPr>
        <w:spacing w:after="200" w:line="20" w:lineRule="atLeast"/>
        <w:jc w:val="both"/>
        <w:rPr>
          <w:lang w:val="es-PE"/>
        </w:rPr>
      </w:pPr>
      <w:r w:rsidRPr="6ED76F2B" w:rsidR="00554A0D">
        <w:rPr>
          <w:lang w:val="es-PE"/>
        </w:rPr>
        <w:t xml:space="preserve">De otro lado, también consta en autos que, el 12 de noviembre de 2018 se suscribió la Solicitud de Seguro de Protección Familiar </w:t>
      </w:r>
      <w:r w:rsidRPr="6ED76F2B" w:rsidR="00554A0D">
        <w:rPr>
          <w:lang w:val="es-PE"/>
        </w:rPr>
        <w:t>N°</w:t>
      </w:r>
      <w:r w:rsidRPr="6ED76F2B" w:rsidR="00554A0D">
        <w:rPr>
          <w:lang w:val="es-PE"/>
        </w:rPr>
        <w:t xml:space="preserve"> </w:t>
      </w:r>
      <w:r w:rsidRPr="6ED76F2B" w:rsidR="75FE6405">
        <w:rPr>
          <w:lang w:val="es-PE"/>
        </w:rPr>
        <w:t>.................</w:t>
      </w:r>
      <w:r w:rsidRPr="6ED76F2B" w:rsidR="00554A0D">
        <w:rPr>
          <w:lang w:val="es-PE"/>
        </w:rPr>
        <w:t>, siendo que en la misma se negó haber padecido enfermedades gastrointestinales:</w:t>
      </w:r>
    </w:p>
    <w:p w:rsidRPr="00554A0D" w:rsidR="00554A0D" w:rsidP="00554A0D" w:rsidRDefault="00554A0D" w14:paraId="79C1BA43" w14:textId="06ED2D4A">
      <w:pPr>
        <w:spacing w:after="200" w:line="20" w:lineRule="atLeast"/>
        <w:jc w:val="both"/>
      </w:pPr>
      <w:r w:rsidR="48B53051">
        <w:rPr/>
        <w:t>................................................................................................................................................</w:t>
      </w:r>
    </w:p>
    <w:p w:rsidRPr="00554A0D" w:rsidR="00554A0D" w:rsidP="00554A0D" w:rsidRDefault="00554A0D" w14:paraId="1813A77C" w14:textId="2F4B066B">
      <w:pPr>
        <w:spacing w:after="200" w:line="20" w:lineRule="atLeast"/>
        <w:jc w:val="both"/>
      </w:pPr>
      <w:r w:rsidR="48B53051">
        <w:rPr/>
        <w:t>................................................................................................................................................</w:t>
      </w:r>
    </w:p>
    <w:p w:rsidRPr="00554A0D" w:rsidR="00554A0D" w:rsidP="00554A0D" w:rsidRDefault="00554A0D" w14:paraId="450CFF5C" w14:textId="48DF72A1">
      <w:pPr>
        <w:spacing w:after="200" w:line="20" w:lineRule="atLeast"/>
        <w:jc w:val="both"/>
        <w:rPr>
          <w:lang w:val="es-PE"/>
        </w:rPr>
      </w:pPr>
      <w:r w:rsidRPr="6ED76F2B" w:rsidR="00554A0D">
        <w:rPr>
          <w:lang w:val="es-PE"/>
        </w:rPr>
        <w:t xml:space="preserve"> </w:t>
      </w:r>
      <w:r w:rsidRPr="6ED76F2B" w:rsidR="575FADDA">
        <w:rPr>
          <w:lang w:val="es-PE"/>
        </w:rPr>
        <w:t>...............................................................................................................................................</w:t>
      </w:r>
    </w:p>
    <w:p w:rsidRPr="00554A0D" w:rsidR="00554A0D" w:rsidP="00554A0D" w:rsidRDefault="00554A0D" w14:paraId="1EAD58EC" w14:textId="77777777">
      <w:pPr>
        <w:spacing w:after="200" w:line="20" w:lineRule="atLeast"/>
        <w:jc w:val="both"/>
        <w:rPr>
          <w:lang w:val="es-PE"/>
        </w:rPr>
      </w:pPr>
      <w:r w:rsidRPr="00554A0D">
        <w:rPr>
          <w:lang w:val="es-PE"/>
        </w:rPr>
        <w:t xml:space="preserve">Si bien el certificado de defunción no establece que la muerte tenga como </w:t>
      </w:r>
      <w:proofErr w:type="gramStart"/>
      <w:r w:rsidRPr="00554A0D">
        <w:rPr>
          <w:lang w:val="es-PE"/>
        </w:rPr>
        <w:t>causa  la</w:t>
      </w:r>
      <w:proofErr w:type="gramEnd"/>
      <w:r w:rsidRPr="00554A0D">
        <w:rPr>
          <w:lang w:val="es-PE"/>
        </w:rPr>
        <w:t xml:space="preserve"> obstrucción intestinal, en la historia clínica sí se identifica ésta como una condición coadyuvante o contributiva a la intervención quirúrgica, que derivó finalmente en las causas inmediatas de la muerte, como fueron la perforación intestinal y shock séptico.</w:t>
      </w:r>
    </w:p>
    <w:p w:rsidRPr="00554A0D" w:rsidR="00554A0D" w:rsidP="00554A0D" w:rsidRDefault="00554A0D" w14:paraId="7B3909CE" w14:textId="77777777">
      <w:pPr>
        <w:spacing w:after="200" w:line="20" w:lineRule="atLeast"/>
        <w:jc w:val="both"/>
        <w:rPr>
          <w:rFonts w:eastAsia="Calibri"/>
          <w:lang w:val="es-MX" w:eastAsia="en-US"/>
        </w:rPr>
      </w:pPr>
      <w:r w:rsidRPr="00554A0D">
        <w:rPr>
          <w:rFonts w:eastAsia="Calibri"/>
          <w:lang w:val="es-MX" w:eastAsia="en-US"/>
        </w:rPr>
        <w:t>En efecto, el asegurado ingresó a emergencia el día 22 de abril de 2021 por un cuadro de oclusión intestinal baja:</w:t>
      </w:r>
    </w:p>
    <w:p w:rsidR="04679F52" w:rsidP="6ED76F2B" w:rsidRDefault="04679F52" w14:paraId="1563E26C" w14:textId="684546CB">
      <w:pPr>
        <w:spacing w:after="200" w:line="20" w:lineRule="atLeast"/>
        <w:jc w:val="both"/>
      </w:pPr>
      <w:r w:rsidR="04679F52">
        <w:rPr/>
        <w:t>..................................................................................................................................................</w:t>
      </w:r>
    </w:p>
    <w:p w:rsidRPr="00554A0D" w:rsidR="00554A0D" w:rsidP="00554A0D" w:rsidRDefault="00554A0D" w14:paraId="10E6F58D" w14:textId="77777777">
      <w:pPr>
        <w:spacing w:after="200" w:line="20" w:lineRule="atLeast"/>
        <w:jc w:val="both"/>
        <w:rPr>
          <w:rFonts w:eastAsia="Calibri"/>
          <w:lang w:val="es-MX" w:eastAsia="en-US"/>
        </w:rPr>
      </w:pPr>
      <w:r w:rsidRPr="00554A0D">
        <w:rPr>
          <w:rFonts w:eastAsia="Calibri"/>
          <w:lang w:val="es-MX" w:eastAsia="en-US"/>
        </w:rPr>
        <w:t>Como consecuencia de ese cuadro, el asegurado fue sometido a una operación el 23 de abril de 2021, presentando un cuadro de perforación intestinal post operatorio que derivó en un shock séptico que produjo su lamentable fallecimiento.</w:t>
      </w:r>
    </w:p>
    <w:p w:rsidRPr="00554A0D" w:rsidR="00554A0D" w:rsidP="00554A0D" w:rsidRDefault="00554A0D" w14:paraId="0766DB06" w14:textId="53E2C299">
      <w:pPr>
        <w:spacing w:after="200" w:line="20" w:lineRule="atLeast"/>
        <w:jc w:val="both"/>
        <w:rPr>
          <w:rFonts w:eastAsia="Calibri"/>
          <w:lang w:val="es-MX" w:eastAsia="en-US"/>
        </w:rPr>
      </w:pPr>
      <w:r w:rsidRPr="6ED76F2B" w:rsidR="00554A0D">
        <w:rPr>
          <w:rFonts w:eastAsia="Calibri"/>
          <w:lang w:val="es-MX" w:eastAsia="en-US"/>
        </w:rPr>
        <w:t>De la literatura médica aportada por la aseguradora, se llega a la convicción racional que las diversas bridas y adherencias originadas a consecuencia de cirugías realizadas con anterioridad a la contratación del seguro (</w:t>
      </w:r>
      <w:r w:rsidRPr="6ED76F2B" w:rsidR="34371833">
        <w:rPr>
          <w:rFonts w:eastAsia="Calibri"/>
          <w:lang w:val="es-MX" w:eastAsia="en-US"/>
        </w:rPr>
        <w:t>...............................................................................................</w:t>
      </w:r>
      <w:r w:rsidRPr="6ED76F2B" w:rsidR="00554A0D">
        <w:rPr>
          <w:rFonts w:eastAsia="Calibri"/>
          <w:lang w:val="es-MX" w:eastAsia="en-US"/>
        </w:rPr>
        <w:t xml:space="preserve">), originaron el cuadro de oclusión intestinal que presentó el asegurado en la emergencia médica que tuvo el día 22 de abril de 2021, lo que condicionó la necesidad que </w:t>
      </w:r>
      <w:r w:rsidRPr="6ED76F2B" w:rsidR="00554A0D">
        <w:rPr>
          <w:rFonts w:eastAsia="Calibri"/>
          <w:lang w:val="es-MX" w:eastAsia="en-US"/>
        </w:rPr>
        <w:t xml:space="preserve">el asegurado sea sometido a una operación, y que presente como cuadro postoperatorio una perforación intestinal que causó el shock </w:t>
      </w:r>
      <w:r w:rsidRPr="6ED76F2B" w:rsidR="269919EF">
        <w:rPr>
          <w:rFonts w:eastAsia="Calibri"/>
          <w:lang w:val="es-MX" w:eastAsia="en-US"/>
        </w:rPr>
        <w:t>.......................................................</w:t>
      </w:r>
      <w:r w:rsidRPr="6ED76F2B" w:rsidR="00554A0D">
        <w:rPr>
          <w:rFonts w:eastAsia="Calibri"/>
          <w:lang w:val="es-MX" w:eastAsia="en-US"/>
        </w:rPr>
        <w:t>:</w:t>
      </w:r>
    </w:p>
    <w:p w:rsidRPr="00554A0D" w:rsidR="00554A0D" w:rsidP="6ED76F2B" w:rsidRDefault="00554A0D" w14:paraId="0FED1C85" w14:textId="3B6F753F">
      <w:pPr>
        <w:pStyle w:val="Default"/>
        <w:ind w:left="708"/>
        <w:jc w:val="both"/>
        <w:rPr>
          <w:rFonts w:ascii="Times New Roman" w:hAnsi="Times New Roman" w:cs="Times New Roman"/>
          <w:i w:val="1"/>
          <w:iCs w:val="1"/>
        </w:rPr>
      </w:pPr>
      <w:r w:rsidRPr="6ED76F2B" w:rsidR="00554A0D">
        <w:rPr>
          <w:rFonts w:ascii="Times New Roman" w:hAnsi="Times New Roman" w:cs="Times New Roman"/>
          <w:i w:val="1"/>
          <w:iCs w:val="1"/>
        </w:rPr>
        <w:t xml:space="preserve">“La Apendicitis es una afección en la cual su apéndice se inflama. El apéndice es un pequeño saco que se encuentra adherido al </w:t>
      </w:r>
      <w:r w:rsidRPr="6ED76F2B" w:rsidR="72AC6660">
        <w:rPr>
          <w:rFonts w:ascii="Times New Roman" w:hAnsi="Times New Roman" w:cs="Times New Roman"/>
          <w:i w:val="1"/>
          <w:iCs w:val="1"/>
        </w:rPr>
        <w:t>..............................</w:t>
      </w:r>
      <w:r w:rsidRPr="6ED76F2B" w:rsidR="00554A0D">
        <w:rPr>
          <w:rFonts w:ascii="Times New Roman" w:hAnsi="Times New Roman" w:cs="Times New Roman"/>
          <w:i w:val="1"/>
          <w:iCs w:val="1"/>
        </w:rPr>
        <w:t xml:space="preserve"> (…) Sus principales complicaciones son la obstrucción intestinal y perforación gastrointestinal”. </w:t>
      </w:r>
    </w:p>
    <w:p w:rsidRPr="00554A0D" w:rsidR="00554A0D" w:rsidP="00554A0D" w:rsidRDefault="00554A0D" w14:paraId="166BDBA8" w14:textId="77777777">
      <w:pPr>
        <w:pStyle w:val="Default"/>
        <w:ind w:left="708"/>
        <w:rPr>
          <w:rFonts w:ascii="Times New Roman" w:hAnsi="Times New Roman" w:cs="Times New Roman"/>
          <w:i/>
          <w:iCs/>
        </w:rPr>
      </w:pPr>
      <w:r w:rsidRPr="00554A0D">
        <w:rPr>
          <w:rFonts w:ascii="Times New Roman" w:hAnsi="Times New Roman" w:cs="Times New Roman"/>
          <w:i/>
          <w:iCs/>
        </w:rPr>
        <w:t xml:space="preserve">Ver información en medlineplus.gov </w:t>
      </w:r>
    </w:p>
    <w:p w:rsidRPr="00554A0D" w:rsidR="00554A0D" w:rsidP="00554A0D" w:rsidRDefault="00554A0D" w14:paraId="42D67E7E" w14:textId="77777777">
      <w:pPr>
        <w:pStyle w:val="Default"/>
        <w:ind w:left="708"/>
        <w:jc w:val="both"/>
        <w:rPr>
          <w:rFonts w:ascii="Times New Roman" w:hAnsi="Times New Roman" w:cs="Times New Roman"/>
          <w:i/>
          <w:iCs/>
        </w:rPr>
      </w:pPr>
      <w:r w:rsidRPr="00554A0D">
        <w:rPr>
          <w:rFonts w:ascii="Times New Roman" w:hAnsi="Times New Roman" w:cs="Times New Roman"/>
          <w:i/>
          <w:iCs/>
        </w:rPr>
        <w:t xml:space="preserve">https://medlineplus.gov/spanish/ency/article/000235.htm  </w:t>
      </w:r>
    </w:p>
    <w:p w:rsidRPr="00554A0D" w:rsidR="00554A0D" w:rsidP="00554A0D" w:rsidRDefault="00554A0D" w14:paraId="39BF8609" w14:textId="77777777">
      <w:pPr>
        <w:pStyle w:val="Default"/>
        <w:ind w:left="708"/>
        <w:jc w:val="both"/>
        <w:rPr>
          <w:rFonts w:ascii="Times New Roman" w:hAnsi="Times New Roman" w:cs="Times New Roman"/>
          <w:i/>
          <w:iCs/>
        </w:rPr>
      </w:pPr>
    </w:p>
    <w:p w:rsidRPr="00554A0D" w:rsidR="00554A0D" w:rsidP="6ED76F2B" w:rsidRDefault="00554A0D" w14:paraId="0385CE15" w14:textId="409C3059">
      <w:pPr>
        <w:pStyle w:val="Default"/>
        <w:ind w:left="708"/>
        <w:jc w:val="both"/>
        <w:rPr>
          <w:rFonts w:ascii="Times New Roman" w:hAnsi="Times New Roman" w:cs="Times New Roman"/>
          <w:i w:val="1"/>
          <w:iCs w:val="1"/>
        </w:rPr>
      </w:pPr>
      <w:r w:rsidRPr="6ED76F2B" w:rsidR="00554A0D">
        <w:rPr>
          <w:rFonts w:ascii="Times New Roman" w:hAnsi="Times New Roman" w:cs="Times New Roman"/>
          <w:i w:val="1"/>
          <w:iCs w:val="1"/>
        </w:rPr>
        <w:t xml:space="preserve">“La Resección intestinal es una cirugía para extirpar todo o parte del </w:t>
      </w:r>
      <w:r w:rsidRPr="6ED76F2B" w:rsidR="72AC6660">
        <w:rPr>
          <w:rFonts w:ascii="Times New Roman" w:hAnsi="Times New Roman" w:cs="Times New Roman"/>
          <w:i w:val="1"/>
          <w:iCs w:val="1"/>
        </w:rPr>
        <w:t>..............................</w:t>
      </w:r>
      <w:r w:rsidRPr="6ED76F2B" w:rsidR="00554A0D">
        <w:rPr>
          <w:rFonts w:ascii="Times New Roman" w:hAnsi="Times New Roman" w:cs="Times New Roman"/>
          <w:i w:val="1"/>
          <w:iCs w:val="1"/>
        </w:rPr>
        <w:t xml:space="preserve">. Esta cirugía también se denomina colectomía. El </w:t>
      </w:r>
      <w:r w:rsidRPr="6ED76F2B" w:rsidR="72AC6660">
        <w:rPr>
          <w:rFonts w:ascii="Times New Roman" w:hAnsi="Times New Roman" w:cs="Times New Roman"/>
          <w:i w:val="1"/>
          <w:iCs w:val="1"/>
        </w:rPr>
        <w:t>..............................</w:t>
      </w:r>
      <w:r w:rsidRPr="6ED76F2B" w:rsidR="00554A0D">
        <w:rPr>
          <w:rFonts w:ascii="Times New Roman" w:hAnsi="Times New Roman" w:cs="Times New Roman"/>
          <w:i w:val="1"/>
          <w:iCs w:val="1"/>
        </w:rPr>
        <w:t xml:space="preserve"> también se denomina colon. La Colectomía es una operación generalmente tarda entre 1 y 4 horas, donde el cirujano realiza cortes en la parte baja del abdomen de 6 a 8 pulgadas, extirpando la parte afectada del </w:t>
      </w:r>
      <w:r w:rsidRPr="6ED76F2B" w:rsidR="72AC6660">
        <w:rPr>
          <w:rFonts w:ascii="Times New Roman" w:hAnsi="Times New Roman" w:cs="Times New Roman"/>
          <w:i w:val="1"/>
          <w:iCs w:val="1"/>
        </w:rPr>
        <w:t>..............................</w:t>
      </w:r>
      <w:r w:rsidRPr="6ED76F2B" w:rsidR="00554A0D">
        <w:rPr>
          <w:rFonts w:ascii="Times New Roman" w:hAnsi="Times New Roman" w:cs="Times New Roman"/>
          <w:i w:val="1"/>
          <w:iCs w:val="1"/>
        </w:rPr>
        <w:t xml:space="preserve"> (…) Sus principales complicaciones son las lesiones en los órganos cerca del colon, como vejiga </w:t>
      </w:r>
      <w:r w:rsidRPr="6ED76F2B" w:rsidR="6BA9BBB3">
        <w:rPr>
          <w:rFonts w:ascii="Times New Roman" w:hAnsi="Times New Roman" w:cs="Times New Roman"/>
          <w:i w:val="1"/>
          <w:iCs w:val="1"/>
        </w:rPr>
        <w:t>...................................</w:t>
      </w:r>
      <w:r w:rsidRPr="6ED76F2B" w:rsidR="00554A0D">
        <w:rPr>
          <w:rFonts w:ascii="Times New Roman" w:hAnsi="Times New Roman" w:cs="Times New Roman"/>
          <w:i w:val="1"/>
          <w:iCs w:val="1"/>
        </w:rPr>
        <w:t xml:space="preserve">”. </w:t>
      </w:r>
    </w:p>
    <w:p w:rsidRPr="00554A0D" w:rsidR="00554A0D" w:rsidP="00554A0D" w:rsidRDefault="00554A0D" w14:paraId="3F3FA1B1" w14:textId="77777777">
      <w:pPr>
        <w:pStyle w:val="Default"/>
        <w:ind w:left="709"/>
        <w:rPr>
          <w:rFonts w:ascii="Times New Roman" w:hAnsi="Times New Roman" w:cs="Times New Roman"/>
          <w:i/>
          <w:iCs/>
        </w:rPr>
      </w:pPr>
      <w:r w:rsidRPr="00554A0D">
        <w:rPr>
          <w:rFonts w:ascii="Times New Roman" w:hAnsi="Times New Roman" w:cs="Times New Roman"/>
          <w:i/>
          <w:iCs/>
        </w:rPr>
        <w:t xml:space="preserve"> Ver información en medinplus.gov </w:t>
      </w:r>
    </w:p>
    <w:p w:rsidR="00554A0D" w:rsidP="00834504" w:rsidRDefault="00554A0D" w14:paraId="1404EDA6" w14:textId="20167938">
      <w:pPr>
        <w:pStyle w:val="Default"/>
        <w:ind w:firstLine="708"/>
        <w:jc w:val="both"/>
        <w:rPr>
          <w:rFonts w:ascii="Times New Roman" w:hAnsi="Times New Roman" w:cs="Times New Roman"/>
          <w:i/>
          <w:iCs/>
        </w:rPr>
      </w:pPr>
      <w:r w:rsidRPr="00554A0D">
        <w:rPr>
          <w:rFonts w:ascii="Times New Roman" w:hAnsi="Times New Roman" w:cs="Times New Roman"/>
          <w:i/>
          <w:iCs/>
        </w:rPr>
        <w:t xml:space="preserve">https://medlineplus.gov/spanish/ency/article/002941.ht  </w:t>
      </w:r>
    </w:p>
    <w:p w:rsidRPr="00554A0D" w:rsidR="00834504" w:rsidP="00834504" w:rsidRDefault="00834504" w14:paraId="19352E8A" w14:textId="77777777">
      <w:pPr>
        <w:pStyle w:val="Default"/>
        <w:ind w:firstLine="708"/>
        <w:jc w:val="both"/>
        <w:rPr>
          <w:rFonts w:ascii="Times New Roman" w:hAnsi="Times New Roman" w:cs="Times New Roman"/>
          <w:i/>
          <w:iCs/>
        </w:rPr>
      </w:pPr>
    </w:p>
    <w:p w:rsidRPr="00554A0D" w:rsidR="00554A0D" w:rsidP="6ED76F2B" w:rsidRDefault="00554A0D" w14:paraId="1C1DAAD6" w14:textId="353EA7EF">
      <w:pPr>
        <w:ind w:left="709"/>
        <w:jc w:val="both"/>
        <w:rPr>
          <w:i w:val="1"/>
          <w:iCs w:val="1"/>
        </w:rPr>
      </w:pPr>
      <w:r w:rsidRPr="6ED76F2B" w:rsidR="00554A0D">
        <w:rPr>
          <w:i w:val="1"/>
          <w:iCs w:val="1"/>
        </w:rPr>
        <w:t xml:space="preserve">“La obstrucción intestinal es un bloqueo que no permite que pase comida ni líquido a través del </w:t>
      </w:r>
      <w:r w:rsidRPr="6ED76F2B" w:rsidR="6BA9BBB3">
        <w:rPr>
          <w:i w:val="1"/>
          <w:iCs w:val="1"/>
        </w:rPr>
        <w:t>...................................</w:t>
      </w:r>
      <w:r w:rsidRPr="6ED76F2B" w:rsidR="00554A0D">
        <w:rPr>
          <w:i w:val="1"/>
          <w:iCs w:val="1"/>
        </w:rPr>
        <w:t xml:space="preserve"> o </w:t>
      </w:r>
      <w:r w:rsidRPr="6ED76F2B" w:rsidR="72AC6660">
        <w:rPr>
          <w:i w:val="1"/>
          <w:iCs w:val="1"/>
        </w:rPr>
        <w:t>..............................</w:t>
      </w:r>
      <w:r w:rsidRPr="6ED76F2B" w:rsidR="00554A0D">
        <w:rPr>
          <w:i w:val="1"/>
          <w:iCs w:val="1"/>
        </w:rPr>
        <w:t xml:space="preserve"> (colon). Las causas de la obstrucción intestinal pueden incluir franjas fibrosas de tejido (adherencias) en el abdomen que se forman después de cirugías, hernias, cáncer de colon, determinados medicamentos o constricción de un intestino inflamado causada por ciertas afecciones, como la enfermedad de Crohn o la diverticulitis (...)”.</w:t>
      </w:r>
    </w:p>
    <w:p w:rsidRPr="00554A0D" w:rsidR="00554A0D" w:rsidP="00554A0D" w:rsidRDefault="00554A0D" w14:paraId="392F89B1" w14:textId="77777777">
      <w:pPr>
        <w:ind w:left="709"/>
        <w:jc w:val="both"/>
        <w:rPr>
          <w:i/>
          <w:iCs/>
        </w:rPr>
      </w:pPr>
      <w:r w:rsidRPr="00554A0D">
        <w:rPr>
          <w:i/>
          <w:iCs/>
        </w:rPr>
        <w:t xml:space="preserve">Ver información en </w:t>
      </w:r>
      <w:proofErr w:type="spellStart"/>
      <w:r w:rsidRPr="00554A0D">
        <w:rPr>
          <w:i/>
          <w:iCs/>
        </w:rPr>
        <w:t>mayoclinic</w:t>
      </w:r>
      <w:proofErr w:type="spellEnd"/>
    </w:p>
    <w:p w:rsidR="0098057C" w:rsidP="6ED76F2B" w:rsidRDefault="00554A0D" w14:paraId="21AD273D" w14:textId="721A2942">
      <w:pPr>
        <w:ind w:left="709"/>
        <w:jc w:val="both"/>
        <w:rPr>
          <w:rFonts w:eastAsia="Calibri"/>
          <w:i w:val="1"/>
          <w:iCs w:val="1"/>
          <w:lang w:val="es-MX" w:eastAsia="en-US"/>
        </w:rPr>
      </w:pPr>
      <w:r w:rsidRPr="6ED76F2B" w:rsidR="00554A0D">
        <w:rPr>
          <w:i w:val="1"/>
          <w:iCs w:val="1"/>
        </w:rPr>
        <w:t>https://www.mayoclinic.org/es-es/diseases-conditions/intestinal-obstruction/symptoms-causes/syc-</w:t>
      </w:r>
      <w:r w:rsidRPr="6ED76F2B" w:rsidR="71546922">
        <w:rPr>
          <w:i w:val="1"/>
          <w:iCs w:val="1"/>
        </w:rPr>
        <w:t>.......................</w:t>
      </w:r>
      <w:r w:rsidRPr="6ED76F2B" w:rsidR="00554A0D">
        <w:rPr>
          <w:i w:val="1"/>
          <w:iCs w:val="1"/>
        </w:rPr>
        <w:t xml:space="preserve">    </w:t>
      </w:r>
    </w:p>
    <w:p w:rsidRPr="00834504" w:rsidR="00834504" w:rsidP="00834504" w:rsidRDefault="00834504" w14:paraId="1D6B02CE" w14:textId="77777777">
      <w:pPr>
        <w:ind w:left="709"/>
        <w:jc w:val="both"/>
        <w:rPr>
          <w:rFonts w:eastAsia="Calibri"/>
          <w:i/>
          <w:iCs/>
          <w:lang w:val="es-MX" w:eastAsia="en-US"/>
        </w:rPr>
      </w:pPr>
    </w:p>
    <w:p w:rsidRPr="00554A0D" w:rsidR="00554A0D" w:rsidP="00554A0D" w:rsidRDefault="00554A0D" w14:paraId="15BCF68A" w14:textId="6E006EF2">
      <w:pPr>
        <w:spacing w:after="200" w:line="20" w:lineRule="atLeast"/>
        <w:jc w:val="both"/>
        <w:rPr>
          <w:rFonts w:eastAsia="Calibri"/>
          <w:lang w:val="es-MX" w:eastAsia="en-US"/>
        </w:rPr>
      </w:pPr>
      <w:r w:rsidRPr="00554A0D">
        <w:rPr>
          <w:rFonts w:eastAsia="Calibri"/>
          <w:lang w:val="es-MX" w:eastAsia="en-US"/>
        </w:rPr>
        <w:t xml:space="preserve">Así, se advierte que esas intervenciones quirúrgicas, esto es, enfermedades preexistentes se </w:t>
      </w:r>
      <w:r w:rsidRPr="00554A0D">
        <w:rPr>
          <w:lang w:val="es-PE"/>
        </w:rPr>
        <w:t xml:space="preserve">relacionan al siniestro, por cuanto son condiciones coadyuvantes que han contribuido en mayor medida a la cadena causal, esto es, la obstrucción intestinal que produjo el procedimiento quirúrgico al colón, la perforación intestinal y el shock séptico. </w:t>
      </w:r>
    </w:p>
    <w:p w:rsidRPr="00554A0D" w:rsidR="00554A0D" w:rsidP="00554A0D" w:rsidRDefault="00554A0D" w14:paraId="0D4ABE57" w14:textId="32DC94A6">
      <w:pPr>
        <w:spacing w:after="200" w:line="20" w:lineRule="atLeast"/>
        <w:jc w:val="both"/>
        <w:rPr>
          <w:rFonts w:eastAsia="Calibri"/>
          <w:lang w:val="es-MX" w:eastAsia="en-US"/>
        </w:rPr>
      </w:pPr>
      <w:r w:rsidRPr="6ED76F2B" w:rsidR="00554A0D">
        <w:rPr>
          <w:rFonts w:eastAsia="Calibri"/>
          <w:lang w:val="es-MX" w:eastAsia="en-US"/>
        </w:rPr>
        <w:t>De lo expuesto, según la literalidad de la exclusión pactada, las enfermedades prexistentes no declaradas (</w:t>
      </w:r>
      <w:r w:rsidRPr="6ED76F2B" w:rsidR="34371833">
        <w:rPr>
          <w:rFonts w:eastAsia="Calibri"/>
          <w:lang w:val="es-MX" w:eastAsia="en-US"/>
        </w:rPr>
        <w:t>...............................................................................................</w:t>
      </w:r>
      <w:r w:rsidRPr="6ED76F2B" w:rsidR="00554A0D">
        <w:rPr>
          <w:rFonts w:eastAsia="Calibri"/>
          <w:lang w:val="es-MX" w:eastAsia="en-US"/>
        </w:rPr>
        <w:t>) pueden ser invocadas como exclusión de cobertura en el presente caso.</w:t>
      </w:r>
    </w:p>
    <w:p w:rsidRPr="00554A0D" w:rsidR="00554A0D" w:rsidP="00554A0D" w:rsidRDefault="00554A0D" w14:paraId="0774B78C" w14:textId="77777777">
      <w:pPr>
        <w:spacing w:after="200" w:line="20" w:lineRule="atLeast"/>
        <w:jc w:val="both"/>
        <w:rPr>
          <w:rFonts w:eastAsia="Calibri"/>
          <w:lang w:val="es-PE" w:eastAsia="en-US"/>
        </w:rPr>
      </w:pPr>
      <w:r w:rsidRPr="00554A0D">
        <w:rPr>
          <w:rFonts w:eastAsia="Calibri"/>
          <w:b/>
          <w:u w:val="single"/>
          <w:lang w:val="es-MX" w:eastAsia="en-US"/>
        </w:rPr>
        <w:t>NOVENO</w:t>
      </w:r>
      <w:r w:rsidRPr="00554A0D">
        <w:rPr>
          <w:rFonts w:eastAsia="Calibri"/>
          <w:lang w:val="es-PE" w:eastAsia="en-US"/>
        </w:rPr>
        <w:t xml:space="preserve">: Atendiendo a lo expresado precedentemente, esta Defensoría concluye su apreciación razonada y conjunta al amparo de lo establecido en su Reglamento, encontrando que existen razones fundadas para el rechazo de cobertura, por lo que </w:t>
      </w:r>
    </w:p>
    <w:p w:rsidRPr="00554A0D" w:rsidR="00554A0D" w:rsidP="00554A0D" w:rsidRDefault="00554A0D" w14:paraId="23B22238" w14:textId="77777777">
      <w:pPr>
        <w:spacing w:after="200" w:line="20" w:lineRule="atLeast"/>
        <w:jc w:val="both"/>
        <w:rPr>
          <w:rFonts w:eastAsia="Calibri"/>
          <w:b/>
          <w:lang w:val="es-PE" w:eastAsia="en-US"/>
        </w:rPr>
      </w:pPr>
      <w:r w:rsidRPr="00554A0D">
        <w:rPr>
          <w:rFonts w:eastAsia="Calibri"/>
          <w:b/>
          <w:lang w:val="es-PE" w:eastAsia="en-US"/>
        </w:rPr>
        <w:t>RESUELVE:</w:t>
      </w:r>
    </w:p>
    <w:p w:rsidRPr="00554A0D" w:rsidR="00554A0D" w:rsidP="00554A0D" w:rsidRDefault="00554A0D" w14:paraId="03D78634" w14:textId="2AB1219B">
      <w:pPr>
        <w:spacing w:after="200" w:line="20" w:lineRule="atLeast"/>
        <w:jc w:val="both"/>
        <w:rPr>
          <w:lang w:val="es-PE"/>
        </w:rPr>
      </w:pPr>
      <w:r w:rsidRPr="6ED76F2B" w:rsidR="00554A0D">
        <w:rPr>
          <w:rFonts w:eastAsia="Calibri"/>
          <w:lang w:val="es-PE" w:eastAsia="en-US"/>
        </w:rPr>
        <w:t>Declarar</w:t>
      </w:r>
      <w:r w:rsidRPr="6ED76F2B" w:rsidR="00554A0D">
        <w:rPr>
          <w:rFonts w:eastAsia="Calibri"/>
          <w:b w:val="1"/>
          <w:bCs w:val="1"/>
          <w:lang w:val="es-PE" w:eastAsia="en-US"/>
        </w:rPr>
        <w:t xml:space="preserve"> INFUNDADO la reclamación </w:t>
      </w:r>
      <w:r w:rsidRPr="6ED76F2B" w:rsidR="00554A0D">
        <w:rPr>
          <w:rFonts w:eastAsia="Calibri"/>
          <w:lang w:val="es-PE" w:eastAsia="en-US"/>
        </w:rPr>
        <w:t>interpuesta</w:t>
      </w:r>
      <w:r w:rsidRPr="6ED76F2B" w:rsidR="00554A0D">
        <w:rPr>
          <w:rFonts w:eastAsia="Calibri"/>
          <w:lang w:val="es-MX" w:eastAsia="en-US"/>
        </w:rPr>
        <w:t xml:space="preserve"> por </w:t>
      </w:r>
      <w:r w:rsidRPr="6ED76F2B" w:rsidR="575BF403">
        <w:rPr>
          <w:b w:val="1"/>
          <w:bCs w:val="1"/>
          <w:lang w:val="es-MX"/>
        </w:rPr>
        <w:t>.....................................................................................</w:t>
      </w:r>
      <w:r w:rsidRPr="6ED76F2B" w:rsidR="00554A0D">
        <w:rPr>
          <w:b w:val="1"/>
          <w:bCs w:val="1"/>
          <w:lang w:val="es-MX"/>
        </w:rPr>
        <w:t xml:space="preserve"> </w:t>
      </w:r>
      <w:r w:rsidR="00554A0D">
        <w:rPr/>
        <w:t xml:space="preserve">contra </w:t>
      </w:r>
      <w:r w:rsidRPr="6ED76F2B" w:rsidR="46164D87">
        <w:rPr>
          <w:b w:val="1"/>
          <w:bCs w:val="1"/>
          <w:lang w:val="es-MX"/>
        </w:rPr>
        <w:t>....................................</w:t>
      </w:r>
      <w:r w:rsidRPr="6ED76F2B" w:rsidR="00554A0D">
        <w:rPr>
          <w:rFonts w:eastAsia="Calibri"/>
          <w:lang w:val="es-MX" w:eastAsia="en-US"/>
        </w:rPr>
        <w:t xml:space="preserve">, </w:t>
      </w:r>
      <w:r w:rsidRPr="6ED76F2B" w:rsidR="00554A0D">
        <w:rPr>
          <w:lang w:val="es-MX"/>
        </w:rPr>
        <w:t xml:space="preserve">con relación al </w:t>
      </w:r>
      <w:r w:rsidRPr="6ED76F2B" w:rsidR="00554A0D">
        <w:rPr>
          <w:b w:val="1"/>
          <w:bCs w:val="1"/>
          <w:lang w:val="es-MX"/>
        </w:rPr>
        <w:t xml:space="preserve">SEGURO DE PROTECCIÓN FAMILIAR – PÓLIZA </w:t>
      </w:r>
      <w:r w:rsidRPr="6ED76F2B" w:rsidR="7B46202D">
        <w:rPr>
          <w:b w:val="1"/>
          <w:bCs w:val="1"/>
          <w:lang w:val="es-MX"/>
        </w:rPr>
        <w:t>.....................................</w:t>
      </w:r>
      <w:r w:rsidRPr="6ED76F2B" w:rsidR="00554A0D">
        <w:rPr>
          <w:lang w:val="es-MX"/>
        </w:rPr>
        <w:t xml:space="preserve">, </w:t>
      </w:r>
      <w:r w:rsidRPr="6ED76F2B" w:rsidR="00554A0D">
        <w:rPr>
          <w:lang w:val="es-PE"/>
        </w:rPr>
        <w:t>dejándose a salvo el derecho de la reclamante de recurrir a las instancias que considere pertinentes.</w:t>
      </w:r>
    </w:p>
    <w:p w:rsidRPr="00554A0D" w:rsidR="000219B0" w:rsidP="000219B0" w:rsidRDefault="000219B0" w14:paraId="3626DA0E" w14:textId="77777777">
      <w:pPr>
        <w:pStyle w:val="Prrafodelista"/>
        <w:tabs>
          <w:tab w:val="left" w:pos="2160"/>
        </w:tabs>
        <w:ind w:left="0"/>
        <w:jc w:val="both"/>
        <w:rPr>
          <w:color w:val="000000"/>
          <w:lang w:val="es-PE"/>
        </w:rPr>
      </w:pPr>
    </w:p>
    <w:p w:rsidRPr="00554A0D"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554A0D" w:rsidR="001631D6" w:rsidP="00401DE3" w:rsidRDefault="00F15FBA" w14:paraId="30F8D459" w14:textId="2F3F9E05">
      <w:pPr>
        <w:jc w:val="right"/>
        <w:outlineLvl w:val="0"/>
        <w:rPr>
          <w:lang w:val="es-PE"/>
        </w:rPr>
      </w:pPr>
      <w:r w:rsidRPr="00554A0D">
        <w:rPr>
          <w:lang w:val="es-PE"/>
        </w:rPr>
        <w:t xml:space="preserve">Lima, </w:t>
      </w:r>
      <w:r w:rsidRPr="00554A0D" w:rsidR="000424D2">
        <w:rPr>
          <w:lang w:val="es-PE"/>
        </w:rPr>
        <w:t>30</w:t>
      </w:r>
      <w:r w:rsidRPr="00554A0D" w:rsidR="00447D8A">
        <w:rPr>
          <w:lang w:val="es-PE"/>
        </w:rPr>
        <w:t xml:space="preserve"> </w:t>
      </w:r>
      <w:r w:rsidRPr="00554A0D" w:rsidR="00F62606">
        <w:t>d</w:t>
      </w:r>
      <w:proofErr w:type="spellStart"/>
      <w:r w:rsidRPr="00554A0D">
        <w:rPr>
          <w:lang w:val="es-PE"/>
        </w:rPr>
        <w:t>e</w:t>
      </w:r>
      <w:proofErr w:type="spellEnd"/>
      <w:r w:rsidRPr="00554A0D" w:rsidR="00642D5C">
        <w:rPr>
          <w:lang w:val="es-PE"/>
        </w:rPr>
        <w:t xml:space="preserve"> </w:t>
      </w:r>
      <w:r w:rsidRPr="00554A0D" w:rsidR="00755439">
        <w:rPr>
          <w:lang w:val="es-PE"/>
        </w:rPr>
        <w:t>noviembre</w:t>
      </w:r>
      <w:r w:rsidRPr="00554A0D" w:rsidR="001631D6">
        <w:rPr>
          <w:lang w:val="es-PE"/>
        </w:rPr>
        <w:t xml:space="preserve"> </w:t>
      </w:r>
      <w:r w:rsidRPr="00554A0D">
        <w:rPr>
          <w:lang w:val="es-PE"/>
        </w:rPr>
        <w:t>de 20</w:t>
      </w:r>
      <w:r w:rsidRPr="00554A0D" w:rsidR="001631D6">
        <w:rPr>
          <w:lang w:val="es-PE"/>
        </w:rPr>
        <w:t>2</w:t>
      </w:r>
      <w:r w:rsidRPr="00554A0D" w:rsidR="003E6BA6">
        <w:rPr>
          <w:lang w:val="es-PE"/>
        </w:rPr>
        <w:t>1</w:t>
      </w:r>
    </w:p>
    <w:p w:rsidRPr="00554A0D" w:rsidR="00C01AB2" w:rsidP="00B5211F" w:rsidRDefault="00C01AB2" w14:paraId="37DB6607" w14:textId="77777777"/>
    <w:p w:rsidRPr="00554A0D" w:rsidR="00431C1C" w:rsidP="00431C1C" w:rsidRDefault="00431C1C" w14:paraId="6E7BC3C0" w14:textId="77777777">
      <w:pPr>
        <w:jc w:val="both"/>
        <w:rPr>
          <w:b/>
          <w:bCs/>
          <w:i/>
          <w:iCs/>
          <w:lang w:val="es-ES_tradnl"/>
        </w:rPr>
      </w:pPr>
      <w:r w:rsidRPr="00554A0D">
        <w:rPr>
          <w:b/>
          <w:bCs/>
          <w:i/>
          <w:iCs/>
          <w:lang w:val="es-ES_tradnl"/>
        </w:rPr>
        <w:t>La Secretaría Técnica certifica que la presente resolución cuenta con el voto de los vocales cuyos nombres figuran en el presente documento.</w:t>
      </w:r>
    </w:p>
    <w:p w:rsidRPr="00554A0D" w:rsidR="00431C1C" w:rsidP="00431C1C" w:rsidRDefault="00431C1C" w14:paraId="1D118CB2" w14:textId="0B6E2748">
      <w:pPr>
        <w:jc w:val="both"/>
        <w:rPr>
          <w:b/>
          <w:bCs/>
          <w:i/>
          <w:iCs/>
          <w:lang w:val="es-ES_tradnl"/>
        </w:rPr>
      </w:pPr>
    </w:p>
    <w:p w:rsidRPr="00554A0D" w:rsidR="00D61A48" w:rsidP="00D61A48" w:rsidRDefault="00D61A48" w14:paraId="1BE5A351" w14:textId="0FACD51A">
      <w:pPr>
        <w:spacing w:line="360" w:lineRule="auto"/>
        <w:jc w:val="center"/>
        <w:rPr>
          <w:b/>
          <w:bCs/>
        </w:rPr>
      </w:pPr>
      <w:r w:rsidRPr="00554A0D">
        <w:rPr>
          <w:b/>
          <w:bCs/>
        </w:rPr>
        <w:t xml:space="preserve">Rolando Eyzaguirre </w:t>
      </w:r>
      <w:proofErr w:type="spellStart"/>
      <w:r w:rsidRPr="00554A0D">
        <w:rPr>
          <w:b/>
          <w:bCs/>
        </w:rPr>
        <w:t>Maccan</w:t>
      </w:r>
      <w:proofErr w:type="spellEnd"/>
      <w:r w:rsidRPr="00554A0D">
        <w:rPr>
          <w:b/>
          <w:bCs/>
        </w:rPr>
        <w:t xml:space="preserve"> – </w:t>
      </w:r>
      <w:proofErr w:type="gramStart"/>
      <w:r w:rsidRPr="00554A0D">
        <w:rPr>
          <w:b/>
          <w:bCs/>
        </w:rPr>
        <w:t>Presidente</w:t>
      </w:r>
      <w:proofErr w:type="gramEnd"/>
    </w:p>
    <w:p w:rsidRPr="00554A0D" w:rsidR="00431C1C" w:rsidP="00431C1C" w:rsidRDefault="00431C1C" w14:paraId="0DEAE9EC" w14:textId="77777777">
      <w:pPr>
        <w:spacing w:line="360" w:lineRule="auto"/>
        <w:jc w:val="center"/>
        <w:rPr>
          <w:b/>
          <w:bCs/>
        </w:rPr>
      </w:pPr>
      <w:r w:rsidRPr="00554A0D">
        <w:rPr>
          <w:b/>
          <w:bCs/>
        </w:rPr>
        <w:t>María Eugenia Valdez Fernández Baca – Vocal</w:t>
      </w:r>
    </w:p>
    <w:p w:rsidRPr="00554A0D" w:rsidR="00D61A48" w:rsidP="00D61A48" w:rsidRDefault="00D61A48" w14:paraId="6A2F3501" w14:textId="5BD98BD8">
      <w:pPr>
        <w:spacing w:line="360" w:lineRule="auto"/>
        <w:jc w:val="center"/>
        <w:rPr>
          <w:b/>
          <w:bCs/>
        </w:rPr>
      </w:pPr>
      <w:r w:rsidRPr="00554A0D">
        <w:rPr>
          <w:b/>
          <w:bCs/>
        </w:rPr>
        <w:t>Marco Antonio Ortega Piana – Vocal</w:t>
      </w:r>
    </w:p>
    <w:p w:rsidRPr="00554A0D" w:rsidR="00431C1C" w:rsidP="00431C1C" w:rsidRDefault="00431C1C" w14:paraId="529DAF3C" w14:textId="77777777">
      <w:pPr>
        <w:spacing w:line="360" w:lineRule="auto"/>
        <w:jc w:val="center"/>
        <w:rPr>
          <w:lang w:val="es-MX"/>
        </w:rPr>
      </w:pPr>
      <w:r w:rsidRPr="00554A0D">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DB499B" w14:paraId="164CAA9F" w14:textId="77777777">
      <w:pPr>
        <w:rPr>
          <w:sz w:val="23"/>
          <w:szCs w:val="23"/>
        </w:rPr>
      </w:pPr>
    </w:p>
    <w:sectPr w:rsidRPr="00431C1C" w:rsidR="00517989"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499B" w:rsidP="005F148C" w:rsidRDefault="00DB499B" w14:paraId="5D74908C" w14:textId="77777777">
      <w:r>
        <w:separator/>
      </w:r>
    </w:p>
  </w:endnote>
  <w:endnote w:type="continuationSeparator" w:id="0">
    <w:p w:rsidR="00DB499B" w:rsidP="005F148C" w:rsidRDefault="00DB499B" w14:paraId="5C5CA6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499B" w:rsidP="005F148C" w:rsidRDefault="00DB499B" w14:paraId="0B33638D" w14:textId="77777777">
      <w:r>
        <w:separator/>
      </w:r>
    </w:p>
  </w:footnote>
  <w:footnote w:type="continuationSeparator" w:id="0">
    <w:p w:rsidR="00DB499B" w:rsidP="005F148C" w:rsidRDefault="00DB499B" w14:paraId="155EF7E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6"/>
  </w:num>
  <w:num w:numId="3">
    <w:abstractNumId w:val="1"/>
  </w:num>
  <w:num w:numId="4">
    <w:abstractNumId w:val="9"/>
  </w:num>
  <w:num w:numId="5">
    <w:abstractNumId w:val="7"/>
  </w:num>
  <w:num w:numId="6">
    <w:abstractNumId w:val="4"/>
  </w:num>
  <w:num w:numId="7">
    <w:abstractNumId w:val="5"/>
  </w:num>
  <w:num w:numId="8">
    <w:abstractNumId w:val="8"/>
  </w:num>
  <w:num w:numId="9">
    <w:abstractNumId w:val="3"/>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15E"/>
    <w:rsid w:val="00007872"/>
    <w:rsid w:val="0001004C"/>
    <w:rsid w:val="000100D3"/>
    <w:rsid w:val="000155B3"/>
    <w:rsid w:val="00020318"/>
    <w:rsid w:val="000219B0"/>
    <w:rsid w:val="00024CD3"/>
    <w:rsid w:val="00026017"/>
    <w:rsid w:val="00032526"/>
    <w:rsid w:val="00035CCC"/>
    <w:rsid w:val="000424D2"/>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37359"/>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54A0D"/>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2E3F"/>
    <w:rsid w:val="007B49ED"/>
    <w:rsid w:val="007B7EE4"/>
    <w:rsid w:val="007C2FC5"/>
    <w:rsid w:val="007C3730"/>
    <w:rsid w:val="007D353F"/>
    <w:rsid w:val="00834504"/>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8057C"/>
    <w:rsid w:val="009A5E32"/>
    <w:rsid w:val="009A7580"/>
    <w:rsid w:val="009B3934"/>
    <w:rsid w:val="009C28AE"/>
    <w:rsid w:val="009C4314"/>
    <w:rsid w:val="009C4A1C"/>
    <w:rsid w:val="009C7D74"/>
    <w:rsid w:val="009E061C"/>
    <w:rsid w:val="009E109A"/>
    <w:rsid w:val="00A14315"/>
    <w:rsid w:val="00A223FC"/>
    <w:rsid w:val="00A23563"/>
    <w:rsid w:val="00A428F9"/>
    <w:rsid w:val="00A435C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B499B"/>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4679F52"/>
    <w:rsid w:val="19388750"/>
    <w:rsid w:val="1BD0D54D"/>
    <w:rsid w:val="2479A121"/>
    <w:rsid w:val="269919EF"/>
    <w:rsid w:val="34371833"/>
    <w:rsid w:val="404FC751"/>
    <w:rsid w:val="4134187F"/>
    <w:rsid w:val="46164D87"/>
    <w:rsid w:val="48B53051"/>
    <w:rsid w:val="50073000"/>
    <w:rsid w:val="575BF403"/>
    <w:rsid w:val="575FADDA"/>
    <w:rsid w:val="5B832791"/>
    <w:rsid w:val="5C89786F"/>
    <w:rsid w:val="5E0CF4F5"/>
    <w:rsid w:val="5F5ABF55"/>
    <w:rsid w:val="6B7615F8"/>
    <w:rsid w:val="6BA9BBB3"/>
    <w:rsid w:val="6ED76F2B"/>
    <w:rsid w:val="71546922"/>
    <w:rsid w:val="72AC6660"/>
    <w:rsid w:val="738E11F8"/>
    <w:rsid w:val="75FE6405"/>
    <w:rsid w:val="76860CED"/>
    <w:rsid w:val="7A738FCD"/>
    <w:rsid w:val="7B46202D"/>
    <w:rsid w:val="7DD54D4F"/>
    <w:rsid w:val="7F681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a">
    <w:basedOn w:val="Normal"/>
    <w:next w:val="Ttulo"/>
    <w:qFormat/>
    <w:rsid w:val="00554A0D"/>
    <w:pPr>
      <w:jc w:val="center"/>
    </w:pPr>
    <w:rPr>
      <w:b/>
      <w:bCs/>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DEFE498-7982-4D86-A9EE-C0A974E7B760}"/>
</file>

<file path=customXml/itemProps3.xml><?xml version="1.0" encoding="utf-8"?>
<ds:datastoreItem xmlns:ds="http://schemas.openxmlformats.org/officeDocument/2006/customXml" ds:itemID="{95EDC6F0-8780-44C4-BFE1-D317119406BA}"/>
</file>

<file path=customXml/itemProps4.xml><?xml version="1.0" encoding="utf-8"?>
<ds:datastoreItem xmlns:ds="http://schemas.openxmlformats.org/officeDocument/2006/customXml" ds:itemID="{3C0CBBB7-0965-4FBD-9DC0-C2EF558905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180</cp:revision>
  <cp:lastPrinted>2021-11-30T22:17:00Z</cp:lastPrinted>
  <dcterms:created xsi:type="dcterms:W3CDTF">2020-12-18T20:09:00Z</dcterms:created>
  <dcterms:modified xsi:type="dcterms:W3CDTF">2026-02-25T13:44:14Z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