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92693" w:rsidR="00F15FBA" w:rsidP="00026017" w:rsidRDefault="00F15FBA" w14:paraId="6EF5AEAB" w14:textId="1ADB6D19">
      <w:pPr>
        <w:pStyle w:val="Ttulo"/>
        <w:outlineLvl w:val="0"/>
        <w:rPr>
          <w:lang w:val="es-PE"/>
        </w:rPr>
      </w:pPr>
      <w:r w:rsidRPr="00B92693">
        <w:rPr>
          <w:lang w:val="es-PE"/>
        </w:rPr>
        <w:t xml:space="preserve">RESOLUCIÓN </w:t>
      </w:r>
      <w:proofErr w:type="spellStart"/>
      <w:r w:rsidRPr="00B92693">
        <w:rPr>
          <w:lang w:val="es-PE"/>
        </w:rPr>
        <w:t>N</w:t>
      </w:r>
      <w:r w:rsidRPr="00B92693" w:rsidR="001631D6">
        <w:rPr>
          <w:lang w:val="es-PE"/>
        </w:rPr>
        <w:t>°</w:t>
      </w:r>
      <w:proofErr w:type="spellEnd"/>
      <w:r w:rsidRPr="00B92693" w:rsidR="001631D6">
        <w:rPr>
          <w:lang w:val="es-PE"/>
        </w:rPr>
        <w:t xml:space="preserve"> </w:t>
      </w:r>
      <w:r w:rsidRPr="00B92693" w:rsidR="00160F6F">
        <w:rPr>
          <w:lang w:val="es-PE"/>
        </w:rPr>
        <w:t>1</w:t>
      </w:r>
      <w:r w:rsidRPr="00B92693" w:rsidR="00DC6770">
        <w:rPr>
          <w:lang w:val="es-PE"/>
        </w:rPr>
        <w:t>74</w:t>
      </w:r>
      <w:r w:rsidRPr="00B92693" w:rsidR="001631D6">
        <w:rPr>
          <w:lang w:val="es-PE"/>
        </w:rPr>
        <w:t>/2</w:t>
      </w:r>
      <w:r w:rsidRPr="00B92693" w:rsidR="003E6BA6">
        <w:rPr>
          <w:lang w:val="es-PE"/>
        </w:rPr>
        <w:t>1</w:t>
      </w:r>
    </w:p>
    <w:p w:rsidRPr="00B92693" w:rsidR="00C94B19" w:rsidP="00C94B19" w:rsidRDefault="00C94B19" w14:paraId="3247FB63" w14:textId="77777777">
      <w:pPr>
        <w:rPr>
          <w:b/>
        </w:rPr>
      </w:pPr>
    </w:p>
    <w:p w:rsidRPr="00B92693" w:rsidR="00B92693" w:rsidP="00B92693" w:rsidRDefault="00B92693" w14:paraId="0989C2DE" w14:textId="77777777">
      <w:pPr>
        <w:rPr>
          <w:b/>
          <w:bCs/>
          <w:lang w:val="es-PE"/>
        </w:rPr>
      </w:pPr>
    </w:p>
    <w:p w:rsidRPr="00B92693" w:rsidR="00B92693" w:rsidP="00B92693" w:rsidRDefault="00B92693" w14:paraId="0505738D" w14:textId="77777777">
      <w:pPr>
        <w:rPr>
          <w:b/>
          <w:bCs/>
          <w:lang w:val="es-PE"/>
        </w:rPr>
      </w:pPr>
    </w:p>
    <w:p w:rsidRPr="00B92693" w:rsidR="00B92693" w:rsidP="00B92693" w:rsidRDefault="00B92693" w14:paraId="3D2EA4D7" w14:textId="77777777">
      <w:pPr>
        <w:jc w:val="both"/>
        <w:outlineLvl w:val="0"/>
        <w:rPr>
          <w:b/>
          <w:bCs/>
          <w:lang w:val="es-PE"/>
        </w:rPr>
      </w:pPr>
      <w:r w:rsidRPr="00B92693">
        <w:rPr>
          <w:b/>
          <w:bCs/>
          <w:lang w:val="es-PE"/>
        </w:rPr>
        <w:t>Vistos:</w:t>
      </w:r>
    </w:p>
    <w:p w:rsidRPr="00B92693" w:rsidR="00B92693" w:rsidP="00B92693" w:rsidRDefault="00B92693" w14:paraId="4176A3EC" w14:textId="77777777">
      <w:pPr>
        <w:jc w:val="both"/>
        <w:rPr>
          <w:lang w:val="es-PE"/>
        </w:rPr>
      </w:pPr>
    </w:p>
    <w:p w:rsidRPr="00B92693" w:rsidR="00B92693" w:rsidP="1C02FA28" w:rsidRDefault="00B92693" w14:paraId="7F7B6A13" w14:textId="0FCF0C0F">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b w:val="1"/>
          <w:bCs w:val="1"/>
          <w:lang w:eastAsia="en-US"/>
        </w:rPr>
      </w:pPr>
      <w:r w:rsidRPr="1C02FA28" w:rsidR="00B92693">
        <w:rPr>
          <w:lang w:val="es-PE"/>
        </w:rPr>
        <w:t>Que, con fecha 28 de agosto de 2021, complementado con fecha 6 de setiembre de 2021, don</w:t>
      </w:r>
      <w:r w:rsidRPr="1C02FA28" w:rsidR="00B92693">
        <w:rPr>
          <w:lang w:val="es-PE"/>
        </w:rPr>
        <w:t xml:space="preserve"> </w:t>
      </w:r>
      <w:r w:rsidR="61F1DBB3">
        <w:rPr/>
        <w:t>...................................................................</w:t>
      </w:r>
      <w:r w:rsidRPr="1C02FA28" w:rsidR="00B92693">
        <w:rPr>
          <w:b w:val="1"/>
          <w:bCs w:val="1"/>
        </w:rPr>
        <w:t xml:space="preserve"> </w:t>
      </w:r>
      <w:r w:rsidR="00B92693">
        <w:rPr/>
        <w:t>interpone</w:t>
      </w:r>
      <w:r w:rsidRPr="1C02FA28" w:rsidR="00B92693">
        <w:rPr>
          <w:lang w:val="es-PE"/>
        </w:rPr>
        <w:t xml:space="preserve"> reclamación ante esta Defensoría del Asegurado (DEFASEG), solicitando que </w:t>
      </w:r>
      <w:bookmarkStart w:name="OLE_LINK2" w:id="0"/>
      <w:r w:rsidRPr="1C02FA28" w:rsidR="7850928D">
        <w:rPr>
          <w:lang w:val="es-PE"/>
        </w:rPr>
        <w:t>..................................</w:t>
      </w:r>
      <w:r w:rsidRPr="1C02FA28" w:rsidR="00B92693">
        <w:rPr>
          <w:lang w:val="es-PE"/>
        </w:rPr>
        <w:t xml:space="preserve"> otorgue debida cobertura al siniestro ocurrido con fecha 10 de julio de 2021,</w:t>
      </w:r>
      <w:r w:rsidR="00B92693">
        <w:rPr/>
        <w:t xml:space="preserve"> conforme</w:t>
      </w:r>
      <w:r w:rsidRPr="1C02FA28" w:rsidR="00B92693">
        <w:rPr>
          <w:lang w:val="es-PE"/>
        </w:rPr>
        <w:t xml:space="preserve"> a los términos y condiciones del </w:t>
      </w:r>
      <w:r w:rsidR="00B92693">
        <w:rPr/>
        <w:t>Seguro</w:t>
      </w:r>
      <w:bookmarkEnd w:id="0"/>
      <w:r w:rsidR="00B92693">
        <w:rPr/>
        <w:t xml:space="preserve"> </w:t>
      </w:r>
      <w:r w:rsidRPr="1C02FA28" w:rsidR="00B92693">
        <w:rPr>
          <w:lang w:val="es-PE"/>
        </w:rPr>
        <w:t xml:space="preserve">de Protección de Tarjeta BBVA – Póliza Nro. </w:t>
      </w:r>
      <w:r w:rsidRPr="1C02FA28" w:rsidR="4751D1C2">
        <w:rPr>
          <w:lang w:val="es-PE"/>
        </w:rPr>
        <w:t>..................................</w:t>
      </w:r>
      <w:r w:rsidRPr="1C02FA28" w:rsidR="00B92693">
        <w:rPr>
          <w:lang w:val="es-PE"/>
        </w:rPr>
        <w:t>;</w:t>
      </w:r>
    </w:p>
    <w:p w:rsidRPr="00B92693" w:rsidR="00B92693" w:rsidP="00B92693" w:rsidRDefault="00B92693" w14:paraId="3CA156D6" w14:textId="77777777">
      <w:pPr>
        <w:jc w:val="both"/>
        <w:rPr>
          <w:lang w:val="es-PE"/>
        </w:rPr>
      </w:pPr>
    </w:p>
    <w:p w:rsidRPr="00B92693" w:rsidR="00B92693" w:rsidP="00B92693" w:rsidRDefault="00B92693" w14:paraId="148D1401" w14:textId="77777777">
      <w:pPr>
        <w:jc w:val="both"/>
        <w:rPr>
          <w:rFonts w:eastAsia="Arial Unicode MS"/>
          <w:lang w:val="es-PE"/>
        </w:rPr>
      </w:pPr>
      <w:r w:rsidRPr="00B92693">
        <w:rPr>
          <w:rFonts w:eastAsia="Arial Unicode MS"/>
          <w:lang w:val="es-PE"/>
        </w:rPr>
        <w:t>Que, la señalada reclamación cumple con los requisitos de materia, cuantía y oportunidad establecidos en el Reglamento de la DEFASEG (</w:t>
      </w:r>
      <w:hyperlink w:history="1" r:id="rId8">
        <w:r w:rsidRPr="00B92693">
          <w:rPr>
            <w:rStyle w:val="Hipervnculo"/>
            <w:rFonts w:eastAsia="Arial Unicode MS"/>
            <w:lang w:val="es-PE"/>
          </w:rPr>
          <w:t>http://www.defaseg.com.pe/reglamento.html</w:t>
        </w:r>
      </w:hyperlink>
      <w:r w:rsidRPr="00B92693">
        <w:rPr>
          <w:rFonts w:eastAsia="Arial Unicode MS"/>
          <w:lang w:val="es-PE"/>
        </w:rPr>
        <w:t>);</w:t>
      </w:r>
    </w:p>
    <w:p w:rsidRPr="00B92693" w:rsidR="00B92693" w:rsidP="00B92693" w:rsidRDefault="00B92693" w14:paraId="0345300D" w14:textId="77777777">
      <w:pPr>
        <w:tabs>
          <w:tab w:val="left" w:pos="2160"/>
        </w:tabs>
        <w:jc w:val="both"/>
        <w:rPr>
          <w:lang w:val="es-PE"/>
        </w:rPr>
      </w:pPr>
    </w:p>
    <w:p w:rsidRPr="00B92693" w:rsidR="00B92693" w:rsidP="00B92693" w:rsidRDefault="00B92693" w14:paraId="1051135B" w14:textId="77777777">
      <w:pPr>
        <w:tabs>
          <w:tab w:val="num" w:pos="720"/>
        </w:tabs>
        <w:jc w:val="both"/>
        <w:rPr>
          <w:lang w:val="es-PE"/>
        </w:rPr>
      </w:pPr>
      <w:r w:rsidRPr="00B92693">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B92693" w:rsidR="00B92693" w:rsidP="00B92693" w:rsidRDefault="00B92693" w14:paraId="1160391E" w14:textId="77777777">
      <w:pPr>
        <w:tabs>
          <w:tab w:val="num" w:pos="720"/>
        </w:tabs>
        <w:jc w:val="both"/>
        <w:rPr>
          <w:lang w:val="es-PE"/>
        </w:rPr>
      </w:pPr>
    </w:p>
    <w:p w:rsidRPr="00B92693" w:rsidR="00B92693" w:rsidP="00B92693" w:rsidRDefault="00B92693" w14:paraId="337C0113" w14:textId="58B09C32">
      <w:pPr>
        <w:tabs>
          <w:tab w:val="num" w:pos="720"/>
        </w:tabs>
        <w:jc w:val="both"/>
        <w:rPr>
          <w:lang w:val="es-PE"/>
        </w:rPr>
      </w:pPr>
      <w:r w:rsidRPr="1C02FA28" w:rsidR="00B92693">
        <w:rPr>
          <w:lang w:val="es-PE"/>
        </w:rPr>
        <w:t xml:space="preserve">Que, habiéndosele corrido traslado de la respectiva reclamación con fecha 8 de setiembre de 2021, </w:t>
      </w:r>
      <w:r w:rsidRPr="1C02FA28" w:rsidR="7850928D">
        <w:rPr>
          <w:lang w:val="es-PE"/>
        </w:rPr>
        <w:t>..................................</w:t>
      </w:r>
      <w:r w:rsidRPr="1C02FA28" w:rsidR="00B92693">
        <w:rPr>
          <w:lang w:val="es-PE"/>
        </w:rPr>
        <w:t xml:space="preserve"> presentó con fecha 17 de setiembre de 2021 sus descargos y la documentación requerida;</w:t>
      </w:r>
    </w:p>
    <w:p w:rsidRPr="00B92693" w:rsidR="00B92693" w:rsidP="00B92693" w:rsidRDefault="00B92693" w14:paraId="37421330" w14:textId="77777777">
      <w:pPr>
        <w:tabs>
          <w:tab w:val="num" w:pos="720"/>
        </w:tabs>
        <w:jc w:val="both"/>
        <w:rPr>
          <w:lang w:val="es-PE"/>
        </w:rPr>
      </w:pPr>
    </w:p>
    <w:p w:rsidRPr="00B92693" w:rsidR="00B92693" w:rsidP="00B92693" w:rsidRDefault="00B92693" w14:paraId="7CE6F7BE" w14:textId="77777777">
      <w:pPr>
        <w:tabs>
          <w:tab w:val="num" w:pos="720"/>
        </w:tabs>
        <w:jc w:val="both"/>
        <w:rPr>
          <w:rFonts w:eastAsiaTheme="minorHAnsi"/>
          <w:lang w:val="es-PE" w:eastAsia="en-US"/>
        </w:rPr>
      </w:pPr>
      <w:r w:rsidRPr="00B92693">
        <w:rPr>
          <w:lang w:val="es-PE"/>
        </w:rPr>
        <w:t>Que, con fecha 6</w:t>
      </w:r>
      <w:r w:rsidRPr="00B92693">
        <w:rPr>
          <w:lang w:val="es-419"/>
        </w:rPr>
        <w:t xml:space="preserve"> de diciembre de 2021 </w:t>
      </w:r>
      <w:r w:rsidRPr="00B92693">
        <w:rPr>
          <w:lang w:val="es-PE"/>
        </w:rPr>
        <w:t>se realizó la audiencia de vista virtual, con la sola participación de la representante de la aseguradora, en la plataforma electrónica habilitada para dicho efecto por la secretaría técnica de la DEFASEG, la que sustentó su posición sobre la reclamación</w:t>
      </w:r>
      <w:r w:rsidRPr="00B92693">
        <w:t xml:space="preserve">, </w:t>
      </w:r>
      <w:r w:rsidRPr="00B92693">
        <w:rPr>
          <w:lang w:val="es-PE"/>
        </w:rPr>
        <w:t>absolviendo las preguntas formuladas por este ORU, conforme consta de la correspondiente acta;</w:t>
      </w:r>
    </w:p>
    <w:p w:rsidRPr="00B92693" w:rsidR="00B92693" w:rsidP="00B92693" w:rsidRDefault="00B92693" w14:paraId="43BB3606" w14:textId="77777777">
      <w:pPr>
        <w:tabs>
          <w:tab w:val="num" w:pos="720"/>
        </w:tabs>
        <w:jc w:val="both"/>
      </w:pPr>
    </w:p>
    <w:p w:rsidRPr="00B92693" w:rsidR="00B92693" w:rsidP="00B92693" w:rsidRDefault="00B92693" w14:paraId="001463B8" w14:textId="77777777">
      <w:pPr>
        <w:jc w:val="both"/>
        <w:rPr>
          <w:rFonts w:eastAsiaTheme="minorHAnsi"/>
          <w:lang w:val="es-PE"/>
        </w:rPr>
      </w:pPr>
      <w:r w:rsidRPr="00B92693">
        <w:rPr>
          <w:lang w:val="es-PE"/>
        </w:rPr>
        <w:t>Que, conforme a la reclamación presentada, el asegurado expresa resumidamente lo siguiente: a) Refiere que fue víctima de una estafa, aprovechándose de su condición de adulto mayor, ya que encontrándose en las instalaciones de una de las oficinas del BBVA (San Felipe y Universitaria), un tercero se ofreció para guiarlo en el retiro de dinero en cajero automático; empero, grande fue su sorpresa cuando no fue posible realizar dicho retiro, siendo que al llegar a su domicilio advirtió que la tarjeta que poseía no era la propia, b) El mismo día de los hechos, 10 de julio de 2021, procedió a asentar la denuncia policial correspondiente, y c) Habiendo solicitado que el seguro otorgue cobertura a lo sucedido, atendiendo que viene pagándolo sin falta desde el año 2017, y habiendo cumplido con entregar todos los documentos requeridos, al cabo de un mes, la aseguradora le informó que resultaba improcedente su solicitud, razón por la cual recurre a la DEFASEG;</w:t>
      </w:r>
    </w:p>
    <w:p w:rsidRPr="00B92693" w:rsidR="00B92693" w:rsidP="00B92693" w:rsidRDefault="00B92693" w14:paraId="29422DA9" w14:textId="77777777">
      <w:pPr>
        <w:jc w:val="both"/>
        <w:rPr>
          <w:lang w:val="es-PE"/>
        </w:rPr>
      </w:pPr>
    </w:p>
    <w:p w:rsidRPr="00B92693" w:rsidR="00B92693" w:rsidP="00B92693" w:rsidRDefault="00B92693" w14:paraId="6ADE7F7D" w14:textId="73488811">
      <w:pPr>
        <w:jc w:val="both"/>
        <w:rPr>
          <w:lang w:val="es-PE"/>
        </w:rPr>
      </w:pPr>
      <w:r w:rsidR="00B92693">
        <w:rPr/>
        <w:t xml:space="preserve">Que, por su parte, ratificando el rechazo de cobertura y solicitando que la reclamación sea desestimada, </w:t>
      </w:r>
      <w:r w:rsidR="7850928D">
        <w:rPr/>
        <w:t>..................................</w:t>
      </w:r>
      <w:r w:rsidR="00B92693">
        <w:rPr/>
        <w:t xml:space="preserve"> </w:t>
      </w:r>
      <w:r w:rsidRPr="1C02FA28" w:rsidR="00B92693">
        <w:rPr>
          <w:lang w:val="es-PE"/>
        </w:rPr>
        <w:t>expresa</w:t>
      </w:r>
      <w:r w:rsidR="00B92693">
        <w:rPr/>
        <w:t xml:space="preserve"> resumidamente lo siguiente: </w:t>
      </w:r>
      <w:r w:rsidRPr="1C02FA28" w:rsidR="00B92693">
        <w:rPr>
          <w:lang w:val="es-PE"/>
        </w:rPr>
        <w:t xml:space="preserve">a) De acuerdo a lo expresado por el asegurado, cuando se encontraba dentro de un establecimiento del BBVA fue interceptado por una tercera persona, quien le indicó que los cajeros automáticos estaban malogrados y se ofreció a ayudarlo, desempeñándose como guía, empero, tuvo dificultades </w:t>
      </w:r>
      <w:r w:rsidRPr="1C02FA28" w:rsidR="00B92693">
        <w:rPr>
          <w:lang w:val="es-PE"/>
        </w:rPr>
        <w:t xml:space="preserve">con la transacción y no pudo realizarse, b) En su domicilio, el asegurado advirtió que habría sufrido un cambio de su tarjeta de débito, siendo que a través de la banca por internet advirtió que se había retirado S/. 720, sin su consentimiento, por lo que solicitó la cobertura del seguro, c) Luego de haberse realizado las verificaciones correspondientes, se rechazó el otorgamiento de cobertura, porque el siniestro producido carece de cobertura conforme a la póliza contratada, c) En efecto, el uso indebido, no consentido, de la tarjeta asegurada se ha dado mediante un retiro en cajero automático, siendo que lo cubierto es el uso indebido únicamente en establecimientos comerciales, siendo además que lo sucedido (conocido como “cambiazo” no corresponde a las modalidades de robo o hurto cubiertas por la póliza, siendo más bien que el cambiazo corresponde a una modalidad de fraude, d) Lo relativo a las coberturas contratadas consta en el correspondiente certificado de seguro, destacándose que el reclamante contrató el seguro a través de un cajero automático, respecto de lo cual con fecha 26 de abril de 2019 se le envió a su correo electrónico la documentación correspondiente, de manera que el asegurado conoció desde un inicio las coberturas, cargas y demás aspectos del seguro contratado, y </w:t>
      </w:r>
      <w:r w:rsidRPr="1C02FA28" w:rsidR="00B92693">
        <w:rPr>
          <w:lang w:val="es-PE"/>
        </w:rPr>
        <w:t>e</w:t>
      </w:r>
      <w:r w:rsidRPr="1C02FA28" w:rsidR="00B92693">
        <w:rPr>
          <w:lang w:val="es-PE"/>
        </w:rPr>
        <w:t>) En tal virtud, debe concluirse que el rechazo se sustenta en el régimen de coberturas contratadas, circunscribiéndose a los parámetros legales correspondientes, conforme a la sétima regla interpretativa enunciada en el artículo IV de la Ley del Contrato de Seguro, conforme a la cual, entre otros aspectos, la cobertura y la extensión del riesgo deben interpretarse literalmente;</w:t>
      </w:r>
    </w:p>
    <w:p w:rsidRPr="00B92693" w:rsidR="00B92693" w:rsidP="00B92693" w:rsidRDefault="00B92693" w14:paraId="74CDD6BE" w14:textId="77777777">
      <w:pPr>
        <w:jc w:val="both"/>
        <w:rPr>
          <w:lang w:val="es-PE"/>
        </w:rPr>
      </w:pPr>
    </w:p>
    <w:p w:rsidRPr="00B92693" w:rsidR="00B92693" w:rsidP="00B92693" w:rsidRDefault="00B92693" w14:paraId="17B42C70" w14:textId="77777777">
      <w:pPr>
        <w:jc w:val="both"/>
        <w:rPr>
          <w:lang w:val="es-PE"/>
        </w:rPr>
      </w:pPr>
      <w:r w:rsidRPr="00B92693">
        <w:rPr>
          <w:bCs/>
          <w:lang w:val="es-PE"/>
        </w:rPr>
        <w:t>Que,</w:t>
      </w:r>
      <w:r w:rsidRPr="00B92693">
        <w:rPr>
          <w:lang w:val="es-PE"/>
        </w:rPr>
        <w:t xml:space="preserve"> el estado del proceso permite que este ORU pueda expedir su resolución sobre el caso sometido a su conocimiento, sobre la base de la información y de los documentos que obran en el expediente;</w:t>
      </w:r>
    </w:p>
    <w:p w:rsidRPr="00B92693" w:rsidR="00B92693" w:rsidP="00B92693" w:rsidRDefault="00B92693" w14:paraId="76199070" w14:textId="77777777">
      <w:pPr>
        <w:jc w:val="both"/>
        <w:rPr>
          <w:b/>
          <w:bCs/>
        </w:rPr>
      </w:pPr>
    </w:p>
    <w:p w:rsidRPr="00B92693" w:rsidR="00B92693" w:rsidP="00B92693" w:rsidRDefault="00B92693" w14:paraId="4DC70B07" w14:textId="77777777">
      <w:pPr>
        <w:jc w:val="both"/>
        <w:rPr>
          <w:lang w:val="es-PE"/>
        </w:rPr>
      </w:pPr>
      <w:r w:rsidRPr="00B92693">
        <w:rPr>
          <w:b/>
          <w:bCs/>
          <w:lang w:val="es-PE"/>
        </w:rPr>
        <w:t>Considerando:</w:t>
      </w:r>
    </w:p>
    <w:p w:rsidRPr="00B92693" w:rsidR="00B92693" w:rsidP="00B92693" w:rsidRDefault="00B92693" w14:paraId="67FEEC93" w14:textId="77777777">
      <w:pPr>
        <w:jc w:val="both"/>
        <w:rPr>
          <w:lang w:val="es-PE"/>
        </w:rPr>
      </w:pPr>
    </w:p>
    <w:p w:rsidRPr="00B92693" w:rsidR="00B92693" w:rsidP="00B92693" w:rsidRDefault="00B92693" w14:paraId="39C6A5DC" w14:textId="77777777">
      <w:pPr>
        <w:jc w:val="both"/>
        <w:rPr>
          <w:lang w:val="es-PE"/>
        </w:rPr>
      </w:pPr>
      <w:r w:rsidRPr="00B92693">
        <w:rPr>
          <w:b/>
          <w:u w:val="single"/>
          <w:lang w:val="es-PE"/>
        </w:rPr>
        <w:t>Primero</w:t>
      </w:r>
      <w:r w:rsidRPr="00B92693">
        <w:rPr>
          <w:b/>
          <w:lang w:val="es-PE"/>
        </w:rPr>
        <w:t xml:space="preserve">: </w:t>
      </w:r>
      <w:r w:rsidRPr="00B92693">
        <w:rPr>
          <w:lang w:val="es-PE"/>
        </w:rPr>
        <w:t>Conforme a su Reglamento, la</w:t>
      </w:r>
      <w:r w:rsidRPr="00B92693">
        <w:rPr>
          <w:b/>
          <w:bCs/>
          <w:lang w:val="es-PE"/>
        </w:rPr>
        <w:t xml:space="preserve"> </w:t>
      </w:r>
      <w:r w:rsidRPr="00B9269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92693" w:rsidR="00B92693" w:rsidP="00B92693" w:rsidRDefault="00B92693" w14:paraId="14D5B653" w14:textId="77777777">
      <w:pPr>
        <w:jc w:val="both"/>
        <w:rPr>
          <w:lang w:val="es-PE"/>
        </w:rPr>
      </w:pPr>
    </w:p>
    <w:p w:rsidRPr="00B92693" w:rsidR="00B92693" w:rsidP="00B92693" w:rsidRDefault="00B92693" w14:paraId="65C059FA" w14:textId="77777777">
      <w:pPr>
        <w:jc w:val="both"/>
        <w:rPr>
          <w:bCs/>
          <w:lang w:val="es-PE"/>
        </w:rPr>
      </w:pPr>
      <w:r w:rsidRPr="00B92693">
        <w:rPr>
          <w:b/>
          <w:bCs/>
          <w:u w:val="single"/>
          <w:lang w:val="es-PE"/>
        </w:rPr>
        <w:t>Segundo</w:t>
      </w:r>
      <w:r w:rsidRPr="00B92693">
        <w:rPr>
          <w:b/>
          <w:bCs/>
          <w:lang w:val="es-PE"/>
        </w:rPr>
        <w:t>:</w:t>
      </w:r>
      <w:r w:rsidRPr="00B92693">
        <w:rPr>
          <w:bCs/>
          <w:lang w:val="es-PE"/>
        </w:rPr>
        <w:t xml:space="preserve"> </w:t>
      </w:r>
      <w:r w:rsidRPr="00B92693">
        <w:rPr>
          <w:lang w:val="es-PE"/>
        </w:rPr>
        <w:t xml:space="preserve">Asimismo, </w:t>
      </w:r>
      <w:proofErr w:type="gramStart"/>
      <w:r w:rsidRPr="00B92693">
        <w:rPr>
          <w:lang w:val="es-PE"/>
        </w:rPr>
        <w:t>de acuerdo a</w:t>
      </w:r>
      <w:proofErr w:type="gramEnd"/>
      <w:r w:rsidRPr="00B92693">
        <w:rPr>
          <w:lang w:val="es-PE"/>
        </w:rPr>
        <w:t xml:space="preserve"> </w:t>
      </w:r>
      <w:r w:rsidRPr="00B92693">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B92693" w:rsidR="00B92693" w:rsidP="00B92693" w:rsidRDefault="00B92693" w14:paraId="1F48C522" w14:textId="77777777">
      <w:pPr>
        <w:jc w:val="both"/>
        <w:rPr>
          <w:bCs/>
          <w:lang w:val="es-PE"/>
        </w:rPr>
      </w:pPr>
    </w:p>
    <w:p w:rsidRPr="00B92693" w:rsidR="00B92693" w:rsidP="00B92693" w:rsidRDefault="00B92693" w14:paraId="45BF5FC0" w14:textId="77777777">
      <w:pPr>
        <w:jc w:val="both"/>
        <w:rPr>
          <w:bCs/>
          <w:lang w:val="es-PE"/>
        </w:rPr>
      </w:pPr>
      <w:r w:rsidRPr="00B92693">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B92693" w:rsidR="00B92693" w:rsidP="00B92693" w:rsidRDefault="00B92693" w14:paraId="59C91DA4" w14:textId="77777777">
      <w:pPr>
        <w:tabs>
          <w:tab w:val="left" w:pos="709"/>
          <w:tab w:val="left" w:pos="2160"/>
        </w:tabs>
        <w:jc w:val="both"/>
        <w:rPr>
          <w:lang w:val="es-PE"/>
        </w:rPr>
      </w:pPr>
    </w:p>
    <w:p w:rsidRPr="00B92693" w:rsidR="00B92693" w:rsidP="00B92693" w:rsidRDefault="00B92693" w14:paraId="13831511" w14:textId="77777777">
      <w:pPr>
        <w:jc w:val="both"/>
      </w:pPr>
      <w:r w:rsidRPr="00B92693">
        <w:rPr>
          <w:b/>
          <w:bCs/>
          <w:u w:val="single"/>
          <w:lang w:val="es-PE"/>
        </w:rPr>
        <w:t>Tercero</w:t>
      </w:r>
      <w:r w:rsidRPr="00B92693">
        <w:rPr>
          <w:b/>
          <w:bCs/>
          <w:lang w:val="es-PE"/>
        </w:rPr>
        <w:t>:</w:t>
      </w:r>
      <w:r w:rsidRPr="00B92693">
        <w:rPr>
          <w:lang w:val="es-PE"/>
        </w:rPr>
        <w:t xml:space="preserve"> De acuerdo a la Ley Nro. </w:t>
      </w:r>
      <w:r w:rsidRPr="00B92693">
        <w:t xml:space="preserve">29946 – Ley del Contrato de Seguro, norma legal vigente con ocasión de la celebración del contrato al cual se contrae el presente caso, </w:t>
      </w:r>
      <w:r w:rsidRPr="00B92693">
        <w:rPr>
          <w:lang w:val="es-PE"/>
        </w:rPr>
        <w:t xml:space="preserve">todas las cuestiones jurídicas se rigen por lo dispuesto en dicha ley y por las que reglas que se acuerden convencionalmente, en cuanto no vulneren los principios esenciales de la naturaleza jurídica </w:t>
      </w:r>
      <w:r w:rsidRPr="00B92693">
        <w:rPr>
          <w:lang w:val="es-PE"/>
        </w:rPr>
        <w:t>del seguro, siendo que sólo se aplica el derecho común a falta de disposiciones del derecho de seguros o de protección al consumidor.</w:t>
      </w:r>
    </w:p>
    <w:p w:rsidRPr="00B92693" w:rsidR="00B92693" w:rsidP="00B92693" w:rsidRDefault="00B92693" w14:paraId="26CBE3A7" w14:textId="77777777">
      <w:pPr>
        <w:jc w:val="both"/>
        <w:rPr>
          <w:b/>
          <w:u w:val="single"/>
          <w:lang w:val="es-PE"/>
        </w:rPr>
      </w:pPr>
    </w:p>
    <w:p w:rsidRPr="00B92693" w:rsidR="00B92693" w:rsidP="00B92693" w:rsidRDefault="00B92693" w14:paraId="76E9332A" w14:textId="77777777">
      <w:pPr>
        <w:jc w:val="both"/>
        <w:rPr>
          <w:lang w:val="es-PE"/>
        </w:rPr>
      </w:pPr>
      <w:r w:rsidRPr="00B92693">
        <w:rPr>
          <w:b/>
          <w:u w:val="single"/>
          <w:lang w:val="es-PE"/>
        </w:rPr>
        <w:t>Cuarto</w:t>
      </w:r>
      <w:r w:rsidRPr="00B92693">
        <w:rPr>
          <w:b/>
          <w:lang w:val="es-PE"/>
        </w:rPr>
        <w:t>:</w:t>
      </w:r>
      <w:r w:rsidRPr="00B92693">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B92693" w:rsidR="00B92693" w:rsidP="00B92693" w:rsidRDefault="00B92693" w14:paraId="6B5CC69E" w14:textId="77777777">
      <w:pPr>
        <w:jc w:val="both"/>
        <w:rPr>
          <w:bCs/>
        </w:rPr>
      </w:pPr>
    </w:p>
    <w:p w:rsidRPr="00B92693" w:rsidR="00B92693" w:rsidP="00B92693" w:rsidRDefault="00B92693" w14:paraId="613C9F0C" w14:textId="77777777">
      <w:pPr>
        <w:jc w:val="both"/>
      </w:pPr>
      <w:r w:rsidRPr="00B92693">
        <w:rPr>
          <w:b/>
          <w:bCs/>
          <w:u w:val="single"/>
          <w:lang w:val="es-PE"/>
        </w:rPr>
        <w:t>Quinto</w:t>
      </w:r>
      <w:r w:rsidRPr="00B92693">
        <w:rPr>
          <w:b/>
          <w:bCs/>
          <w:lang w:val="es-PE"/>
        </w:rPr>
        <w:t xml:space="preserve">: </w:t>
      </w:r>
      <w:r w:rsidRPr="00B92693">
        <w:rPr>
          <w:bCs/>
          <w:lang w:val="es-PE"/>
        </w:rPr>
        <w:t>Conforme al</w:t>
      </w:r>
      <w:r w:rsidRPr="00B92693">
        <w:rPr>
          <w:b/>
          <w:bCs/>
          <w:lang w:val="es-PE"/>
        </w:rPr>
        <w:t xml:space="preserve"> </w:t>
      </w:r>
      <w:r w:rsidRPr="00B92693">
        <w:rPr>
          <w:lang w:val="es-PE"/>
        </w:rPr>
        <w:t>artículo 196 del Código Procesal Civil, la carga de la prueba corresponde a quien afirma hechos que configuran su pretensión, o a quien los contradice alegando nuevos hechos, salvo disposición legal diferente.</w:t>
      </w:r>
    </w:p>
    <w:p w:rsidRPr="00B92693" w:rsidR="00B92693" w:rsidP="00B92693" w:rsidRDefault="00B92693" w14:paraId="6DAE6EBE" w14:textId="77777777">
      <w:pPr>
        <w:tabs>
          <w:tab w:val="left" w:pos="2160"/>
        </w:tabs>
        <w:jc w:val="both"/>
        <w:rPr>
          <w:rFonts w:eastAsiaTheme="minorHAnsi"/>
          <w:lang w:val="es-PE"/>
        </w:rPr>
      </w:pPr>
    </w:p>
    <w:p w:rsidRPr="00B92693" w:rsidR="00B92693" w:rsidP="00B92693" w:rsidRDefault="00B92693" w14:paraId="57DB51A1" w14:textId="2283D822">
      <w:pPr>
        <w:tabs>
          <w:tab w:val="left" w:pos="2160"/>
        </w:tabs>
        <w:jc w:val="both"/>
        <w:rPr>
          <w:lang w:val="es-PE"/>
        </w:rPr>
      </w:pPr>
      <w:r w:rsidRPr="1C02FA28" w:rsidR="00B92693">
        <w:rPr>
          <w:b w:val="1"/>
          <w:bCs w:val="1"/>
          <w:u w:val="single"/>
          <w:lang w:val="es-PE"/>
        </w:rPr>
        <w:t>Sexto</w:t>
      </w:r>
      <w:r w:rsidRPr="1C02FA28" w:rsidR="00B92693">
        <w:rPr>
          <w:b w:val="1"/>
          <w:bCs w:val="1"/>
          <w:lang w:val="es-PE"/>
        </w:rPr>
        <w:t xml:space="preserve">: </w:t>
      </w:r>
      <w:r w:rsidRPr="1C02FA28" w:rsidR="00B92693">
        <w:rPr>
          <w:lang w:val="es-PE"/>
        </w:rPr>
        <w:t>Sobre la base de los términos contenidos en la reclamación</w:t>
      </w:r>
      <w:r w:rsidRPr="1C02FA28" w:rsidR="00B92693">
        <w:rPr>
          <w:lang w:val="es-419"/>
        </w:rPr>
        <w:t xml:space="preserve"> y </w:t>
      </w:r>
      <w:r w:rsidRPr="1C02FA28" w:rsidR="00B92693">
        <w:rPr>
          <w:lang w:val="es-PE"/>
        </w:rPr>
        <w:t xml:space="preserve">a lo tratado en la audiencia de vista, la cuestión controvertida es determinar si el rechazo de cobertura, contenido en la Carta </w:t>
      </w:r>
      <w:r w:rsidRPr="1C02FA28" w:rsidR="24015857">
        <w:rPr>
          <w:lang w:val="es-PE"/>
        </w:rPr>
        <w:t>..................................</w:t>
      </w:r>
      <w:r w:rsidRPr="1C02FA28" w:rsidR="00B92693">
        <w:rPr>
          <w:lang w:val="es-PE"/>
        </w:rPr>
        <w:t xml:space="preserve"> del 2 de agosto de 2021, es justificado o no.</w:t>
      </w:r>
    </w:p>
    <w:p w:rsidRPr="00B92693" w:rsidR="00B92693" w:rsidP="00B92693" w:rsidRDefault="00B92693" w14:paraId="13D768D4" w14:textId="77777777">
      <w:pPr>
        <w:tabs>
          <w:tab w:val="left" w:pos="2160"/>
        </w:tabs>
        <w:jc w:val="both"/>
        <w:rPr>
          <w:lang w:val="es-PE"/>
        </w:rPr>
      </w:pPr>
    </w:p>
    <w:p w:rsidRPr="00B92693" w:rsidR="00B92693" w:rsidP="00B92693" w:rsidRDefault="00B92693" w14:paraId="49DD509A" w14:textId="45223756">
      <w:pPr>
        <w:tabs>
          <w:tab w:val="left" w:pos="2160"/>
        </w:tabs>
        <w:jc w:val="center"/>
      </w:pPr>
      <w:r w:rsidR="46F04C6D">
        <w:rPr/>
        <w:t>..............................................................................................................................</w:t>
      </w:r>
    </w:p>
    <w:p w:rsidRPr="00B92693" w:rsidR="00B92693" w:rsidP="00B92693" w:rsidRDefault="00B92693" w14:paraId="4A69F7A4" w14:textId="77777777">
      <w:pPr>
        <w:tabs>
          <w:tab w:val="left" w:pos="2160"/>
        </w:tabs>
        <w:jc w:val="center"/>
        <w:rPr>
          <w:lang w:val="es-PE"/>
        </w:rPr>
      </w:pPr>
    </w:p>
    <w:p w:rsidRPr="00B92693" w:rsidR="00B92693" w:rsidP="00B92693" w:rsidRDefault="00B92693" w14:paraId="5E4E244B" w14:textId="77777777">
      <w:pPr>
        <w:jc w:val="both"/>
        <w:rPr>
          <w:lang w:val="es-PE"/>
        </w:rPr>
      </w:pPr>
      <w:r w:rsidRPr="00B92693">
        <w:rPr>
          <w:lang w:val="es-PE"/>
        </w:rPr>
        <w:t xml:space="preserve">Así, la comunicación de rechazo se sustenta en que, </w:t>
      </w:r>
      <w:proofErr w:type="gramStart"/>
      <w:r w:rsidRPr="00B92693">
        <w:rPr>
          <w:lang w:val="es-PE"/>
        </w:rPr>
        <w:t>de acuerdo a</w:t>
      </w:r>
      <w:proofErr w:type="gramEnd"/>
      <w:r w:rsidRPr="00B92693">
        <w:rPr>
          <w:lang w:val="es-PE"/>
        </w:rPr>
        <w:t xml:space="preserve"> los hechos reportados, el siniestro no corresponde a un uso indebido en establecimiento comercial, sino a una disposición en efectivo en cajero automático, siendo además que la causa de ello no corresponde a un robo ni a un hurto, sino a una modalidad de fraude o estafa identificada comúnmente como “cambiazo”.</w:t>
      </w:r>
    </w:p>
    <w:p w:rsidRPr="00B92693" w:rsidR="00B92693" w:rsidP="00B92693" w:rsidRDefault="00B92693" w14:paraId="76D349A7" w14:textId="77777777">
      <w:pPr>
        <w:jc w:val="both"/>
        <w:rPr>
          <w:lang w:val="es-PE"/>
        </w:rPr>
      </w:pPr>
    </w:p>
    <w:p w:rsidRPr="00B92693" w:rsidR="00B92693" w:rsidP="00B92693" w:rsidRDefault="00B92693" w14:paraId="22BD87E7" w14:textId="77777777">
      <w:pPr>
        <w:jc w:val="both"/>
        <w:rPr>
          <w:lang w:val="es-PE"/>
        </w:rPr>
      </w:pPr>
      <w:r w:rsidRPr="00B92693">
        <w:rPr>
          <w:lang w:val="es-PE"/>
        </w:rPr>
        <w:t xml:space="preserve">La cuestión controvertida se limita, por consiguiente, a determinar si el denominado “cambiazo” corresponde o no a una modalidad de fraude, tal como sostiene la aseguradora, siendo ajena a las coberturas contratadas.  </w:t>
      </w:r>
    </w:p>
    <w:p w:rsidRPr="00B92693" w:rsidR="00B92693" w:rsidP="00B92693" w:rsidRDefault="00B92693" w14:paraId="5C1362B0" w14:textId="77777777">
      <w:pPr>
        <w:jc w:val="both"/>
        <w:rPr>
          <w:lang w:val="es-PE"/>
        </w:rPr>
      </w:pPr>
    </w:p>
    <w:p w:rsidRPr="00B92693" w:rsidR="00B92693" w:rsidP="00B92693" w:rsidRDefault="00B92693" w14:paraId="6EBDD57F" w14:textId="77777777">
      <w:pPr>
        <w:jc w:val="both"/>
        <w:rPr>
          <w:lang w:val="es-PE"/>
        </w:rPr>
      </w:pPr>
      <w:r w:rsidRPr="00B92693">
        <w:rPr>
          <w:b/>
          <w:bCs/>
          <w:u w:val="single"/>
          <w:lang w:val="es-PE"/>
        </w:rPr>
        <w:t>Sétimo</w:t>
      </w:r>
      <w:r w:rsidRPr="00B92693">
        <w:rPr>
          <w:b/>
          <w:bCs/>
          <w:lang w:val="es-PE"/>
        </w:rPr>
        <w:t xml:space="preserve">: </w:t>
      </w:r>
      <w:r w:rsidRPr="00B92693">
        <w:rPr>
          <w:lang w:val="es-PE"/>
        </w:rPr>
        <w:t>Para resolver la cuestión controvertida, este ORU estima lo siguiente:</w:t>
      </w:r>
    </w:p>
    <w:p w:rsidRPr="00B92693" w:rsidR="00B92693" w:rsidP="00B92693" w:rsidRDefault="00B92693" w14:paraId="03B467FF" w14:textId="77777777">
      <w:pPr>
        <w:jc w:val="both"/>
        <w:rPr>
          <w:lang w:val="es-PE"/>
        </w:rPr>
      </w:pPr>
    </w:p>
    <w:p w:rsidRPr="00B92693" w:rsidR="00B92693" w:rsidP="00B92693" w:rsidRDefault="00B92693" w14:paraId="3B0642AE" w14:textId="5B001F00">
      <w:pPr>
        <w:ind w:left="720" w:hanging="720"/>
        <w:jc w:val="both"/>
        <w:rPr>
          <w:lang w:val="es-PE"/>
        </w:rPr>
      </w:pPr>
      <w:r w:rsidRPr="1C02FA28" w:rsidR="00B92693">
        <w:rPr>
          <w:lang w:val="es-PE"/>
        </w:rPr>
        <w:t>7.1.</w:t>
      </w:r>
      <w:r>
        <w:tab/>
      </w:r>
      <w:r w:rsidRPr="1C02FA28" w:rsidR="00B92693">
        <w:rPr>
          <w:lang w:val="es-PE"/>
        </w:rPr>
        <w:t xml:space="preserve">En materia de seguros, el riesgo se delimita de dos maneras.  </w:t>
      </w:r>
      <w:r w:rsidRPr="1C02FA28" w:rsidR="00B92693">
        <w:rPr>
          <w:lang w:val="es-PE"/>
        </w:rPr>
        <w:t xml:space="preserve">Una de ellas es la </w:t>
      </w:r>
      <w:r w:rsidRPr="1C02FA28" w:rsidR="1D8E10F4">
        <w:rPr>
          <w:lang w:val="es-PE"/>
        </w:rPr>
        <w:t>...............</w:t>
      </w:r>
      <w:r w:rsidRPr="1C02FA28" w:rsidR="00B92693">
        <w:rPr>
          <w:lang w:val="es-PE"/>
        </w:rPr>
        <w:t>, en función a los riesgos que han sido expresamente contratados, conforme a la póliza correspondiente.</w:t>
      </w:r>
      <w:r w:rsidRPr="1C02FA28" w:rsidR="00B92693">
        <w:rPr>
          <w:lang w:val="es-PE"/>
        </w:rPr>
        <w:t xml:space="preserve">  En tal virtud, no es posible extender, otorgar, la cobertura a situaciones que no corresponden a tales riesgos.  Así, por ejemplo, si se contrata el riesgo de robo de tarjeta, no se puede extender la cobertura al hurto de dicha tarjeta; de la misma manera, si se contrata el riesgo de retiros de efectivo en cajero automático mediante tarjeta de crédito hurtada, tampoco se puede extender la cobertura a consumos ilegítimos, o a los retiros de efectivo en cajero automática mediante tarjeta de crédito robada.  Prima, en consecuencia, el principio de estricta identidad entre el riesgo identificado y lo que se ha materializado.  Los eventos que no se identifiquen con lo pactado carecen de cobertura, están excluidos de manera general de ella.  </w:t>
      </w:r>
    </w:p>
    <w:p w:rsidRPr="00B92693" w:rsidR="00B92693" w:rsidP="00B92693" w:rsidRDefault="00B92693" w14:paraId="7A38EB05" w14:textId="77777777">
      <w:pPr>
        <w:ind w:left="720" w:hanging="720"/>
        <w:jc w:val="both"/>
        <w:rPr>
          <w:lang w:val="es-PE"/>
        </w:rPr>
      </w:pPr>
    </w:p>
    <w:p w:rsidRPr="00B92693" w:rsidR="00B92693" w:rsidP="00B92693" w:rsidRDefault="00B92693" w14:paraId="749D088A" w14:textId="77777777">
      <w:pPr>
        <w:ind w:left="720"/>
        <w:jc w:val="both"/>
        <w:rPr>
          <w:lang w:val="es-PE"/>
        </w:rPr>
      </w:pPr>
      <w:r w:rsidRPr="00B92693">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B92693" w:rsidR="00B92693" w:rsidP="00B92693" w:rsidRDefault="00B92693" w14:paraId="475D7B5C" w14:textId="77777777">
      <w:pPr>
        <w:ind w:left="720" w:hanging="720"/>
        <w:jc w:val="both"/>
        <w:rPr>
          <w:lang w:val="es-PE"/>
        </w:rPr>
      </w:pPr>
    </w:p>
    <w:p w:rsidRPr="00B92693" w:rsidR="00B92693" w:rsidP="00B92693" w:rsidRDefault="00B92693" w14:paraId="6852618B" w14:textId="77777777">
      <w:pPr>
        <w:ind w:left="720" w:hanging="720"/>
        <w:jc w:val="both"/>
        <w:rPr>
          <w:lang w:val="es-PE"/>
        </w:rPr>
      </w:pPr>
      <w:r w:rsidRPr="00B92693">
        <w:rPr>
          <w:lang w:val="es-PE"/>
        </w:rPr>
        <w:t>7.2.</w:t>
      </w:r>
      <w:r w:rsidRPr="00B92693">
        <w:rPr>
          <w:lang w:val="es-PE"/>
        </w:rPr>
        <w:tab/>
      </w:r>
      <w:r w:rsidRPr="00B92693">
        <w:rPr>
          <w:lang w:val="es-PE"/>
        </w:rPr>
        <w:t xml:space="preserve">Conforme a lo anterior, si una póliza solo cubre robo y/o hurto, y además bajo ciertas circunstancias, es obvio que no cubre cualquier situación distinta como podría ser, por ejemplo, el extravío o pérdida, o el fraude.  </w:t>
      </w:r>
    </w:p>
    <w:p w:rsidRPr="00B92693" w:rsidR="00B92693" w:rsidP="00B92693" w:rsidRDefault="00B92693" w14:paraId="3B750BA1" w14:textId="77777777">
      <w:pPr>
        <w:ind w:left="720" w:hanging="720"/>
        <w:jc w:val="both"/>
        <w:rPr>
          <w:lang w:val="es-PE"/>
        </w:rPr>
      </w:pPr>
    </w:p>
    <w:p w:rsidRPr="00B92693" w:rsidR="00B92693" w:rsidP="00B92693" w:rsidRDefault="00B92693" w14:paraId="144BFC2D" w14:textId="77777777">
      <w:pPr>
        <w:ind w:left="720" w:hanging="720"/>
        <w:jc w:val="both"/>
        <w:rPr>
          <w:lang w:val="es-PE"/>
        </w:rPr>
      </w:pPr>
      <w:r w:rsidRPr="00B92693">
        <w:rPr>
          <w:lang w:val="es-PE"/>
        </w:rPr>
        <w:t>7.3.</w:t>
      </w:r>
      <w:r w:rsidRPr="00B92693">
        <w:rPr>
          <w:lang w:val="es-PE"/>
        </w:rPr>
        <w:tab/>
      </w:r>
      <w:proofErr w:type="gramStart"/>
      <w:r w:rsidRPr="00B92693">
        <w:rPr>
          <w:lang w:val="es-PE"/>
        </w:rPr>
        <w:t>De acuerdo a</w:t>
      </w:r>
      <w:proofErr w:type="gramEnd"/>
      <w:r w:rsidRPr="00B92693">
        <w:rPr>
          <w:lang w:val="es-PE"/>
        </w:rPr>
        <w:t xml:space="preserve"> su nombre, el denominado “cambiazo” es cuando al titular de la tarjeta le cambian, sin que lo advierta, la misma; ese hecho puede ser voluntario o involuntario.  En el caso concreto, el “cambiazo” proviene de un acto voluntario de entrega de la tarjeta, sin haberse verificado inmediatamente que lo devuelto sea efectivamente lo que fue entregado a tercera persona.  </w:t>
      </w:r>
    </w:p>
    <w:p w:rsidRPr="00B92693" w:rsidR="00B92693" w:rsidP="00B92693" w:rsidRDefault="00B92693" w14:paraId="42161846" w14:textId="77777777">
      <w:pPr>
        <w:ind w:left="720" w:hanging="720"/>
        <w:jc w:val="both"/>
        <w:rPr>
          <w:lang w:val="es-PE"/>
        </w:rPr>
      </w:pPr>
    </w:p>
    <w:p w:rsidRPr="00B92693" w:rsidR="00B92693" w:rsidP="00B92693" w:rsidRDefault="00B92693" w14:paraId="64AE0BAC" w14:textId="439DCAA8">
      <w:pPr>
        <w:ind w:left="720"/>
        <w:jc w:val="both"/>
        <w:rPr>
          <w:lang w:val="es-PE"/>
        </w:rPr>
      </w:pPr>
      <w:r w:rsidRPr="1C02FA28" w:rsidR="00B92693">
        <w:rPr>
          <w:lang w:val="es-PE"/>
        </w:rPr>
        <w:t xml:space="preserve">Ese hecho de entrega voluntaria define, por sí mismo, que no se está ante robo o hurto alguno, porque estas figuras corresponden a una apropiación de lo ajeno, con o sin violencia, respectivamente, pero en el marco de una actuación ajena a la voluntad del afectado.  Lo sucedido al asegurado permite afirmar que se está ante una estafa, ante un engaño, ante un fraude, riesgos que no han sido contratados, por lo que, por delimitación </w:t>
      </w:r>
      <w:r w:rsidRPr="1C02FA28" w:rsidR="1D8E10F4">
        <w:rPr>
          <w:lang w:val="es-PE"/>
        </w:rPr>
        <w:t>...............</w:t>
      </w:r>
      <w:r w:rsidRPr="1C02FA28" w:rsidR="00B92693">
        <w:rPr>
          <w:lang w:val="es-PE"/>
        </w:rPr>
        <w:t xml:space="preserve">, cualquier evento que corresponda a los mismos es ajeno a la cobertura contratada, por lo que </w:t>
      </w:r>
      <w:r w:rsidRPr="1C02FA28" w:rsidR="7850928D">
        <w:rPr>
          <w:lang w:val="es-PE"/>
        </w:rPr>
        <w:t>..................................</w:t>
      </w:r>
      <w:r w:rsidRPr="1C02FA28" w:rsidR="00B92693">
        <w:rPr>
          <w:lang w:val="es-PE"/>
        </w:rPr>
        <w:t xml:space="preserve"> no estaría obligada a indemnizar.</w:t>
      </w:r>
    </w:p>
    <w:p w:rsidRPr="00B92693" w:rsidR="00B92693" w:rsidP="00B92693" w:rsidRDefault="00B92693" w14:paraId="0402A1F3" w14:textId="77777777">
      <w:pPr>
        <w:ind w:left="720" w:hanging="720"/>
        <w:jc w:val="both"/>
        <w:rPr>
          <w:lang w:val="es-PE"/>
        </w:rPr>
      </w:pPr>
    </w:p>
    <w:p w:rsidRPr="00B92693" w:rsidR="00B92693" w:rsidP="00B92693" w:rsidRDefault="00B92693" w14:paraId="740BA04C" w14:textId="510DC6C2">
      <w:pPr>
        <w:ind w:left="720" w:hanging="720"/>
        <w:jc w:val="both"/>
        <w:rPr>
          <w:lang w:val="es-PE"/>
        </w:rPr>
      </w:pPr>
      <w:r w:rsidRPr="1C02FA28" w:rsidR="00B92693">
        <w:rPr>
          <w:lang w:val="es-PE"/>
        </w:rPr>
        <w:t>7.4.</w:t>
      </w:r>
      <w:r>
        <w:tab/>
      </w:r>
      <w:r w:rsidRPr="1C02FA28" w:rsidR="00B92693">
        <w:rPr>
          <w:lang w:val="es-PE"/>
        </w:rPr>
        <w:t xml:space="preserve">De otro </w:t>
      </w:r>
      <w:r w:rsidRPr="1C02FA28" w:rsidR="00B92693">
        <w:rPr>
          <w:lang w:val="es-PE"/>
        </w:rPr>
        <w:t>lado</w:t>
      </w:r>
      <w:r w:rsidRPr="1C02FA28" w:rsidR="2A534093">
        <w:rPr>
          <w:lang w:val="es-PE"/>
        </w:rPr>
        <w:t xml:space="preserve"> </w:t>
      </w:r>
      <w:r w:rsidRPr="1C02FA28" w:rsidR="00B92693">
        <w:rPr>
          <w:lang w:val="es-PE"/>
        </w:rPr>
        <w:t>,</w:t>
      </w:r>
      <w:r w:rsidRPr="1C02FA28" w:rsidR="7850928D">
        <w:rPr>
          <w:lang w:val="es-PE"/>
        </w:rPr>
        <w:t>..................................</w:t>
      </w:r>
      <w:r w:rsidRPr="1C02FA28" w:rsidR="00B92693">
        <w:rPr>
          <w:lang w:val="es-PE"/>
        </w:rPr>
        <w:t xml:space="preserve">, al sustentar su rechazo en que el evento ocurrido no corresponde a un siniestro bajo cobertura según los riesgos contratados, tiene la carga de demostrar cuáles son estos últimos.  </w:t>
      </w:r>
    </w:p>
    <w:p w:rsidRPr="00B92693" w:rsidR="00B92693" w:rsidP="00B92693" w:rsidRDefault="00B92693" w14:paraId="7D116636" w14:textId="77777777">
      <w:pPr>
        <w:ind w:left="720" w:hanging="720"/>
        <w:jc w:val="both"/>
        <w:rPr>
          <w:lang w:val="es-PE"/>
        </w:rPr>
      </w:pPr>
    </w:p>
    <w:p w:rsidRPr="00B92693" w:rsidR="00B92693" w:rsidP="00B92693" w:rsidRDefault="00B92693" w14:paraId="1F8B2752" w14:textId="77777777">
      <w:pPr>
        <w:ind w:left="720"/>
        <w:jc w:val="both"/>
        <w:rPr>
          <w:lang w:val="es-PE"/>
        </w:rPr>
      </w:pPr>
      <w:r w:rsidRPr="00B92693">
        <w:rPr>
          <w:lang w:val="es-PE"/>
        </w:rPr>
        <w:t xml:space="preserve">Al no tratarse de una exclusión, no corresponde exigir que el régimen de exclusiones deba haber sido informado oportuna, adecuada y suficientemente al asegurado, según criterio uniforme de la DEFASEG.  Si la póliza contratada cubriese sólo robo y/o hurto, es manifiesto que no se puede otorgar cobertura a riesgo distinto, no se puede extender una cobertura que se aplica e interpreta restrictivamente.  </w:t>
      </w:r>
    </w:p>
    <w:p w:rsidRPr="00B92693" w:rsidR="00B92693" w:rsidP="00B92693" w:rsidRDefault="00B92693" w14:paraId="38703873" w14:textId="77777777">
      <w:pPr>
        <w:ind w:left="720" w:hanging="720"/>
        <w:jc w:val="both"/>
        <w:rPr>
          <w:lang w:val="es-PE"/>
        </w:rPr>
      </w:pPr>
    </w:p>
    <w:p w:rsidRPr="00B92693" w:rsidR="00B92693" w:rsidP="00B92693" w:rsidRDefault="00B92693" w14:paraId="44326E71" w14:textId="77777777">
      <w:pPr>
        <w:ind w:left="720"/>
        <w:jc w:val="both"/>
        <w:rPr>
          <w:lang w:val="es-PE"/>
        </w:rPr>
      </w:pPr>
      <w:r w:rsidRPr="00B92693">
        <w:rPr>
          <w:lang w:val="es-PE"/>
        </w:rPr>
        <w:t xml:space="preserve">Un contrato de seguro, vinculante, obliga a la aseguradora a otorgar cobertura siempre y cuando se cumplan las condiciones pactadas, las mismas que corresponden al riesgo aceptado expresamente en su oportunidad y </w:t>
      </w:r>
      <w:proofErr w:type="gramStart"/>
      <w:r w:rsidRPr="00B92693">
        <w:rPr>
          <w:lang w:val="es-PE"/>
        </w:rPr>
        <w:t>en razón del</w:t>
      </w:r>
      <w:proofErr w:type="gramEnd"/>
      <w:r w:rsidRPr="00B92693">
        <w:rPr>
          <w:lang w:val="es-PE"/>
        </w:rPr>
        <w:t xml:space="preserve">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B92693" w:rsidR="00B92693" w:rsidP="00B92693" w:rsidRDefault="00B92693" w14:paraId="5DC3B6A5" w14:textId="77777777">
      <w:pPr>
        <w:ind w:left="720" w:hanging="720"/>
        <w:jc w:val="both"/>
        <w:rPr>
          <w:lang w:val="es-PE"/>
        </w:rPr>
      </w:pPr>
    </w:p>
    <w:p w:rsidRPr="00B92693" w:rsidR="00B92693" w:rsidP="00B92693" w:rsidRDefault="00B92693" w14:paraId="3842D0BA" w14:textId="390EED6D">
      <w:pPr>
        <w:ind w:left="720" w:hanging="720"/>
        <w:jc w:val="both"/>
        <w:rPr>
          <w:lang w:val="es-PE"/>
        </w:rPr>
      </w:pPr>
      <w:r w:rsidRPr="1C02FA28" w:rsidR="00B92693">
        <w:rPr>
          <w:lang w:val="es-PE"/>
        </w:rPr>
        <w:t>7.5.</w:t>
      </w:r>
      <w:r>
        <w:tab/>
      </w:r>
      <w:r w:rsidRPr="1C02FA28" w:rsidR="00B92693">
        <w:rPr>
          <w:lang w:val="es-PE"/>
        </w:rPr>
        <w:t xml:space="preserve">Conforme a lo anterior, </w:t>
      </w:r>
      <w:r w:rsidRPr="1C02FA28" w:rsidR="7850928D">
        <w:rPr>
          <w:lang w:val="es-PE"/>
        </w:rPr>
        <w:t>..................................</w:t>
      </w:r>
      <w:r w:rsidRPr="1C02FA28" w:rsidR="00B92693">
        <w:rPr>
          <w:lang w:val="es-PE"/>
        </w:rPr>
        <w:t xml:space="preserve"> ha presentado copia del certificado de seguros extendido al asegurado:</w:t>
      </w:r>
    </w:p>
    <w:p w:rsidRPr="00B92693" w:rsidR="00B92693" w:rsidP="00B92693" w:rsidRDefault="00B92693" w14:paraId="764E41EA" w14:textId="77777777">
      <w:pPr>
        <w:ind w:left="720" w:hanging="11"/>
        <w:jc w:val="both"/>
        <w:rPr>
          <w:lang w:val="es-PE"/>
        </w:rPr>
      </w:pPr>
    </w:p>
    <w:p w:rsidRPr="00B92693" w:rsidR="00B92693" w:rsidP="00B92693" w:rsidRDefault="00B92693" w14:paraId="33439FC0" w14:textId="575AC751">
      <w:pPr>
        <w:ind w:left="720" w:hanging="11"/>
        <w:jc w:val="both"/>
      </w:pPr>
      <w:r w:rsidR="704FAE49">
        <w:rPr/>
        <w:t>......................................................................................................................................</w:t>
      </w:r>
    </w:p>
    <w:p w:rsidRPr="00B92693" w:rsidR="00B92693" w:rsidP="00B92693" w:rsidRDefault="00B92693" w14:paraId="44545866" w14:textId="77777777">
      <w:pPr>
        <w:ind w:left="720" w:hanging="11"/>
        <w:jc w:val="both"/>
        <w:rPr>
          <w:lang w:val="es-PE"/>
        </w:rPr>
      </w:pPr>
    </w:p>
    <w:p w:rsidRPr="00B92693" w:rsidR="00B92693" w:rsidP="00B92693" w:rsidRDefault="00B92693" w14:paraId="72D01E1D" w14:textId="77777777">
      <w:pPr>
        <w:ind w:left="709"/>
        <w:jc w:val="both"/>
        <w:rPr>
          <w:lang w:val="es-PE"/>
        </w:rPr>
      </w:pPr>
      <w:r w:rsidRPr="1C02FA28" w:rsidR="00B92693">
        <w:rPr>
          <w:lang w:val="es-PE"/>
        </w:rPr>
        <w:t>Y de las diversas coberturas contratadas, que figuran todas ellas sen el señalado certificado, deben destacarse las siguientes:</w:t>
      </w:r>
    </w:p>
    <w:p w:rsidR="1C02FA28" w:rsidP="1C02FA28" w:rsidRDefault="1C02FA28" w14:paraId="0A4C7A25" w14:textId="5C6FE17E">
      <w:pPr>
        <w:ind w:left="709"/>
        <w:jc w:val="both"/>
        <w:rPr>
          <w:lang w:val="es-PE"/>
        </w:rPr>
      </w:pPr>
    </w:p>
    <w:p w:rsidRPr="00B92693" w:rsidR="00B92693" w:rsidP="00B92693" w:rsidRDefault="00B92693" w14:paraId="35202F4E" w14:textId="69AA67B0">
      <w:pPr>
        <w:ind w:left="720" w:hanging="11"/>
        <w:jc w:val="both"/>
      </w:pPr>
      <w:r w:rsidR="4EF6514F">
        <w:rPr/>
        <w:t>....................................................................................................................................</w:t>
      </w:r>
    </w:p>
    <w:p w:rsidRPr="00B92693" w:rsidR="00B92693" w:rsidP="00B92693" w:rsidRDefault="00B92693" w14:paraId="2EC3850D" w14:textId="77777777">
      <w:pPr>
        <w:ind w:left="720" w:hanging="11"/>
        <w:jc w:val="both"/>
        <w:rPr>
          <w:lang w:val="es-PE"/>
        </w:rPr>
      </w:pPr>
    </w:p>
    <w:p w:rsidRPr="00B92693" w:rsidR="00B92693" w:rsidP="00B92693" w:rsidRDefault="00B92693" w14:paraId="1DD402AA" w14:textId="77777777">
      <w:pPr>
        <w:ind w:left="720" w:hanging="720"/>
        <w:jc w:val="both"/>
        <w:rPr>
          <w:lang w:val="es-PE"/>
        </w:rPr>
      </w:pPr>
    </w:p>
    <w:p w:rsidRPr="00B92693" w:rsidR="00B92693" w:rsidP="00B92693" w:rsidRDefault="00B92693" w14:paraId="6976FD69" w14:textId="77777777">
      <w:pPr>
        <w:ind w:left="720" w:hanging="11"/>
        <w:jc w:val="both"/>
        <w:rPr>
          <w:lang w:val="es-PE"/>
        </w:rPr>
      </w:pPr>
      <w:r w:rsidRPr="00B92693">
        <w:rPr>
          <w:lang w:val="es-PE"/>
        </w:rPr>
        <w:t>De la respectiva lectura se colige que el “uso indebido” que corresponde a la cobertura contratada, y por la cual se ha pagado una prima, no corresponde al uso indebido invocado por el reclamante, siendo que la apropiación de la tarjeta asegurada por tercera persona, como consecuencia del “cambiazo”, no fue por robo ni por hurto, sino por una maniobra engañosa, fraudulenta, la cual no es un riesgo contratado.</w:t>
      </w:r>
    </w:p>
    <w:p w:rsidRPr="00B92693" w:rsidR="00B92693" w:rsidP="00B92693" w:rsidRDefault="00B92693" w14:paraId="14E49431" w14:textId="77777777">
      <w:pPr>
        <w:jc w:val="both"/>
        <w:rPr>
          <w:lang w:val="es-PE"/>
        </w:rPr>
      </w:pPr>
    </w:p>
    <w:p w:rsidRPr="00B92693" w:rsidR="00B92693" w:rsidP="00B92693" w:rsidRDefault="00B92693" w14:paraId="2015D69F" w14:textId="2CFD0095">
      <w:pPr>
        <w:ind w:left="709"/>
        <w:jc w:val="both"/>
        <w:rPr>
          <w:lang w:val="es-PE"/>
        </w:rPr>
      </w:pPr>
      <w:r w:rsidRPr="1C02FA28" w:rsidR="00B92693">
        <w:rPr>
          <w:lang w:val="es-PE"/>
        </w:rPr>
        <w:t xml:space="preserve">Conforme a ello, y siguiendo lo exigido en el artículo 77 de la Ley Nro. 29946 – Ley del Contrato de Seguro, </w:t>
      </w:r>
      <w:r w:rsidRPr="1C02FA28" w:rsidR="7850928D">
        <w:rPr>
          <w:lang w:val="es-PE"/>
        </w:rPr>
        <w:t>..................................</w:t>
      </w:r>
      <w:r w:rsidRPr="1C02FA28" w:rsidR="00B92693">
        <w:rPr>
          <w:lang w:val="es-PE"/>
        </w:rPr>
        <w:t xml:space="preserve"> ha probado que la negativa de cobertura se justifica en el régimen de riesgos contratado, siendo que lo sucedido al reclamante no corresponde a un riesgo aceptado en su oportunidad, ni estimado para fines de calcular la prima del seguro, siendo pertinente la aplicación de la sétima regla interpretativa contenida en su artículo IV: </w:t>
      </w:r>
      <w:r w:rsidRPr="1C02FA28" w:rsidR="00B92693">
        <w:rPr>
          <w:b w:val="1"/>
          <w:bCs w:val="1"/>
          <w:i w:val="1"/>
          <w:iCs w:val="1"/>
          <w:lang w:val="es-PE"/>
        </w:rPr>
        <w:t>“La cobertura,</w:t>
      </w:r>
      <w:r w:rsidRPr="1C02FA28" w:rsidR="00B92693">
        <w:rPr>
          <w:i w:val="1"/>
          <w:iCs w:val="1"/>
          <w:lang w:val="es-PE"/>
        </w:rPr>
        <w:t xml:space="preserve"> exclusiones </w:t>
      </w:r>
      <w:r w:rsidRPr="1C02FA28" w:rsidR="00B92693">
        <w:rPr>
          <w:b w:val="1"/>
          <w:bCs w:val="1"/>
          <w:i w:val="1"/>
          <w:iCs w:val="1"/>
          <w:lang w:val="es-PE"/>
        </w:rPr>
        <w:t xml:space="preserve">y, en general, </w:t>
      </w:r>
      <w:r w:rsidRPr="1C02FA28" w:rsidR="00B92693">
        <w:rPr>
          <w:b w:val="1"/>
          <w:bCs w:val="1"/>
          <w:i w:val="1"/>
          <w:iCs w:val="1"/>
          <w:lang w:val="es-PE"/>
        </w:rPr>
        <w:t xml:space="preserve">la extensión del riesgo, </w:t>
      </w:r>
      <w:r w:rsidRPr="1C02FA28" w:rsidR="00B92693">
        <w:rPr>
          <w:i w:val="1"/>
          <w:iCs w:val="1"/>
          <w:lang w:val="es-PE"/>
        </w:rPr>
        <w:t xml:space="preserve">así como los derechos de los beneficiarios, previstos en el contrato de seguro, </w:t>
      </w:r>
      <w:r w:rsidRPr="1C02FA28" w:rsidR="00B92693">
        <w:rPr>
          <w:b w:val="1"/>
          <w:bCs w:val="1"/>
          <w:i w:val="1"/>
          <w:iCs w:val="1"/>
          <w:lang w:val="es-PE"/>
        </w:rPr>
        <w:t xml:space="preserve">deben interpretarse literalmente” </w:t>
      </w:r>
      <w:r w:rsidRPr="1C02FA28" w:rsidR="00B92693">
        <w:rPr>
          <w:lang w:val="es-PE"/>
        </w:rPr>
        <w:t>(lo destacado es nuestro), invocada en sus descargos.</w:t>
      </w:r>
    </w:p>
    <w:p w:rsidRPr="00B92693" w:rsidR="00B92693" w:rsidP="00B92693" w:rsidRDefault="00B92693" w14:paraId="00D75BCC" w14:textId="77777777">
      <w:pPr>
        <w:tabs>
          <w:tab w:val="left" w:pos="709"/>
          <w:tab w:val="left" w:pos="2160"/>
        </w:tabs>
        <w:jc w:val="both"/>
        <w:rPr>
          <w:lang w:val="es-PE"/>
        </w:rPr>
      </w:pPr>
    </w:p>
    <w:p w:rsidRPr="00B92693" w:rsidR="00B92693" w:rsidP="00B92693" w:rsidRDefault="00B92693" w14:paraId="60E93FE7" w14:textId="77777777">
      <w:pPr>
        <w:tabs>
          <w:tab w:val="left" w:pos="709"/>
          <w:tab w:val="left" w:pos="2160"/>
        </w:tabs>
        <w:jc w:val="both"/>
      </w:pPr>
      <w:r w:rsidRPr="00B92693">
        <w:rPr>
          <w:lang w:val="es-PE"/>
        </w:rPr>
        <w:t xml:space="preserve">Atendiendo a las consideraciones expresadas, sobre la base de lo establecido en el contrato de seguro y en la normativa correspondiente, este Órgano Resolutivo Unipersonal </w:t>
      </w:r>
      <w:r w:rsidRPr="00B92693">
        <w:t>concluye su apreciación razonada y conjunta al amparo de lo establecido en su Reglamento,</w:t>
      </w:r>
    </w:p>
    <w:p w:rsidRPr="00B92693" w:rsidR="00B92693" w:rsidP="00B92693" w:rsidRDefault="00B92693" w14:paraId="6F4573DB" w14:textId="77777777">
      <w:pPr>
        <w:tabs>
          <w:tab w:val="left" w:pos="709"/>
          <w:tab w:val="left" w:pos="2160"/>
        </w:tabs>
        <w:jc w:val="both"/>
      </w:pPr>
    </w:p>
    <w:p w:rsidRPr="00B92693" w:rsidR="00B92693" w:rsidP="00B92693" w:rsidRDefault="00B92693" w14:paraId="567A964A" w14:textId="77777777">
      <w:pPr>
        <w:tabs>
          <w:tab w:val="left" w:pos="709"/>
          <w:tab w:val="left" w:pos="2160"/>
        </w:tabs>
        <w:jc w:val="both"/>
        <w:rPr>
          <w:b/>
        </w:rPr>
      </w:pPr>
      <w:r w:rsidRPr="00B92693">
        <w:rPr>
          <w:b/>
        </w:rPr>
        <w:t>SE RESUELVE</w:t>
      </w:r>
      <w:r w:rsidRPr="00B92693">
        <w:rPr>
          <w:b/>
          <w:lang w:val="es-PE"/>
        </w:rPr>
        <w:t>:</w:t>
      </w:r>
    </w:p>
    <w:p w:rsidRPr="00B92693" w:rsidR="00B92693" w:rsidP="00B92693" w:rsidRDefault="00B92693" w14:paraId="37E466EE" w14:textId="77777777">
      <w:pPr>
        <w:tabs>
          <w:tab w:val="left" w:pos="709"/>
          <w:tab w:val="left" w:pos="2160"/>
        </w:tabs>
        <w:jc w:val="both"/>
        <w:rPr>
          <w:b/>
          <w:bCs/>
        </w:rPr>
      </w:pPr>
    </w:p>
    <w:p w:rsidRPr="00B92693" w:rsidR="00B92693" w:rsidP="1C02FA28" w:rsidRDefault="00B92693" w14:paraId="504D8E54" w14:textId="1AF88555">
      <w:pPr>
        <w:tabs>
          <w:tab w:val="left" w:pos="0"/>
          <w:tab w:val="left" w:pos="708"/>
          <w:tab w:val="left" w:pos="1416"/>
          <w:tab w:val="left" w:pos="2160"/>
          <w:tab w:val="left" w:pos="3540"/>
          <w:tab w:val="left" w:pos="4248"/>
          <w:tab w:val="left" w:pos="4956"/>
          <w:tab w:val="left" w:pos="5664"/>
          <w:tab w:val="left" w:pos="6372"/>
          <w:tab w:val="left" w:pos="7125"/>
        </w:tabs>
        <w:jc w:val="both"/>
        <w:rPr>
          <w:rFonts w:eastAsia="Calibri" w:eastAsiaTheme="minorAscii"/>
          <w:lang w:eastAsia="en-US"/>
        </w:rPr>
      </w:pPr>
      <w:r w:rsidRPr="1C02FA28" w:rsidR="00B92693">
        <w:rPr>
          <w:b w:val="1"/>
          <w:bCs w:val="1"/>
          <w:lang w:val="es-PE"/>
        </w:rPr>
        <w:t xml:space="preserve">DECLARAR INFUNDADA </w:t>
      </w:r>
      <w:r w:rsidRPr="1C02FA28" w:rsidR="00B92693">
        <w:rPr>
          <w:lang w:val="es-PE"/>
        </w:rPr>
        <w:t xml:space="preserve">la reclamación interpuesta por don </w:t>
      </w:r>
      <w:r w:rsidR="61F1DBB3">
        <w:rPr/>
        <w:t>...................................................................</w:t>
      </w:r>
      <w:r w:rsidR="00B92693">
        <w:rPr/>
        <w:t xml:space="preserve"> </w:t>
      </w:r>
      <w:r w:rsidR="00B92693">
        <w:rPr/>
        <w:t xml:space="preserve">contra </w:t>
      </w:r>
      <w:r w:rsidR="7850928D">
        <w:rPr/>
        <w:t>..................................</w:t>
      </w:r>
      <w:r w:rsidR="00B92693">
        <w:rPr/>
        <w:t>, dejándose a salvo su derecho de recurrir a las instancias que considere pertinentes para hacer valer su pretensión.</w:t>
      </w:r>
    </w:p>
    <w:p w:rsidRPr="00B92693" w:rsidR="00D25A9B" w:rsidP="00D25A9B" w:rsidRDefault="00D25A9B" w14:paraId="5DA4985D"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B92693" w:rsidR="00E405EF" w:rsidP="00E405EF" w:rsidRDefault="00E405EF" w14:paraId="063C0CA9" w14:textId="77777777">
      <w:pPr>
        <w:tabs>
          <w:tab w:val="left" w:pos="2160"/>
        </w:tabs>
        <w:jc w:val="both"/>
        <w:rPr>
          <w:lang w:val="es-PE"/>
        </w:rPr>
      </w:pPr>
    </w:p>
    <w:p w:rsidRPr="00B92693" w:rsidR="001631D6" w:rsidP="00401DE3" w:rsidRDefault="00F15FBA" w14:paraId="30F8D459" w14:textId="487F29D7">
      <w:pPr>
        <w:jc w:val="right"/>
        <w:outlineLvl w:val="0"/>
        <w:rPr>
          <w:lang w:val="es-PE"/>
        </w:rPr>
      </w:pPr>
      <w:r w:rsidRPr="00B92693">
        <w:rPr>
          <w:lang w:val="es-PE"/>
        </w:rPr>
        <w:t xml:space="preserve">Lima, </w:t>
      </w:r>
      <w:r w:rsidRPr="00B92693" w:rsidR="00DC6770">
        <w:rPr>
          <w:lang w:val="es-PE"/>
        </w:rPr>
        <w:t>09</w:t>
      </w:r>
      <w:r w:rsidRPr="00B92693" w:rsidR="00447D8A">
        <w:rPr>
          <w:lang w:val="es-PE"/>
        </w:rPr>
        <w:t xml:space="preserve"> </w:t>
      </w:r>
      <w:r w:rsidRPr="00B92693" w:rsidR="00F62606">
        <w:t>d</w:t>
      </w:r>
      <w:proofErr w:type="spellStart"/>
      <w:r w:rsidRPr="00B92693" w:rsidR="00DC6770">
        <w:rPr>
          <w:lang w:val="es-PE"/>
        </w:rPr>
        <w:t>e</w:t>
      </w:r>
      <w:proofErr w:type="spellEnd"/>
      <w:r w:rsidRPr="00B92693" w:rsidR="00DC6770">
        <w:rPr>
          <w:lang w:val="es-PE"/>
        </w:rPr>
        <w:t xml:space="preserve"> diciembre</w:t>
      </w:r>
      <w:r w:rsidRPr="00B92693" w:rsidR="001631D6">
        <w:rPr>
          <w:lang w:val="es-PE"/>
        </w:rPr>
        <w:t xml:space="preserve"> </w:t>
      </w:r>
      <w:r w:rsidRPr="00B92693">
        <w:rPr>
          <w:lang w:val="es-PE"/>
        </w:rPr>
        <w:t>de 20</w:t>
      </w:r>
      <w:r w:rsidRPr="00B92693" w:rsidR="001631D6">
        <w:rPr>
          <w:lang w:val="es-PE"/>
        </w:rPr>
        <w:t>2</w:t>
      </w:r>
      <w:r w:rsidRPr="00B92693" w:rsidR="003E6BA6">
        <w:rPr>
          <w:lang w:val="es-PE"/>
        </w:rPr>
        <w:t>1</w:t>
      </w:r>
    </w:p>
    <w:p w:rsidRPr="00B92693" w:rsidR="00C01AB2" w:rsidP="00B5211F" w:rsidRDefault="00C01AB2" w14:paraId="37DB6607" w14:textId="77777777"/>
    <w:p w:rsidRPr="00B92693" w:rsidR="007F19B9" w:rsidP="007F19B9" w:rsidRDefault="007F19B9" w14:paraId="1A14B111" w14:textId="77777777">
      <w:pPr>
        <w:jc w:val="both"/>
        <w:rPr>
          <w:b/>
          <w:bCs/>
          <w:i/>
          <w:iCs/>
        </w:rPr>
      </w:pPr>
      <w:r w:rsidRPr="00B92693">
        <w:rPr>
          <w:b/>
          <w:bCs/>
          <w:i/>
          <w:iCs/>
        </w:rPr>
        <w:t>La Secretaría Técnica certifica que la presente resolución, al haber sido emitida por el Órgano Resolutivo Unipersonal, cuenta con el voto del vocal cuyo nombre figura al final del presente documento.</w:t>
      </w:r>
    </w:p>
    <w:p w:rsidRPr="00B92693" w:rsidR="007F19B9" w:rsidP="007F19B9" w:rsidRDefault="007F19B9" w14:paraId="26D9908D" w14:textId="77777777">
      <w:pPr>
        <w:jc w:val="both"/>
        <w:rPr>
          <w:b/>
          <w:bCs/>
          <w:i/>
          <w:iCs/>
          <w:lang w:val="es-ES_tradnl"/>
        </w:rPr>
      </w:pPr>
    </w:p>
    <w:p w:rsidRPr="00B92693" w:rsidR="009079E9" w:rsidP="009079E9" w:rsidRDefault="009079E9" w14:paraId="107F8523" w14:textId="77777777">
      <w:pPr>
        <w:spacing w:line="360" w:lineRule="auto"/>
        <w:jc w:val="center"/>
        <w:rPr>
          <w:b/>
          <w:bCs/>
        </w:rPr>
      </w:pPr>
      <w:r w:rsidRPr="00B92693">
        <w:rPr>
          <w:b/>
          <w:bCs/>
        </w:rPr>
        <w:t>Marco Antonio Ortega Piana – Vocal</w:t>
      </w:r>
    </w:p>
    <w:p w:rsidRPr="007F19B9" w:rsidR="001631D6" w:rsidP="00F15FBA" w:rsidRDefault="001631D6" w14:paraId="0DA96C46" w14:textId="77777777">
      <w:pPr>
        <w:jc w:val="both"/>
        <w:rPr>
          <w:sz w:val="23"/>
          <w:szCs w:val="23"/>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CD0A17"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0A17" w:rsidP="005F148C" w:rsidRDefault="00CD0A17" w14:paraId="26C03AC2" w14:textId="77777777">
      <w:r>
        <w:separator/>
      </w:r>
    </w:p>
  </w:endnote>
  <w:endnote w:type="continuationSeparator" w:id="0">
    <w:p w:rsidR="00CD0A17" w:rsidP="005F148C" w:rsidRDefault="00CD0A17" w14:paraId="4F2406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0A17" w:rsidP="005F148C" w:rsidRDefault="00CD0A17" w14:paraId="3CB79069" w14:textId="77777777">
      <w:r>
        <w:separator/>
      </w:r>
    </w:p>
  </w:footnote>
  <w:footnote w:type="continuationSeparator" w:id="0">
    <w:p w:rsidR="00CD0A17" w:rsidP="005F148C" w:rsidRDefault="00CD0A17" w14:paraId="55171B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3C97"/>
    <w:rsid w:val="000F71B9"/>
    <w:rsid w:val="00103188"/>
    <w:rsid w:val="00112332"/>
    <w:rsid w:val="00131FAD"/>
    <w:rsid w:val="00140C67"/>
    <w:rsid w:val="001454A5"/>
    <w:rsid w:val="0014757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01"/>
    <w:rsid w:val="001F1C40"/>
    <w:rsid w:val="0020442B"/>
    <w:rsid w:val="002065BC"/>
    <w:rsid w:val="00233ED8"/>
    <w:rsid w:val="002370F4"/>
    <w:rsid w:val="00253FC9"/>
    <w:rsid w:val="00270FE8"/>
    <w:rsid w:val="00276CFB"/>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2EA"/>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29E0"/>
    <w:rsid w:val="00734447"/>
    <w:rsid w:val="0073577C"/>
    <w:rsid w:val="00736B94"/>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7F19B9"/>
    <w:rsid w:val="00805FDA"/>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079E9"/>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AF4FB0"/>
    <w:rsid w:val="00B04114"/>
    <w:rsid w:val="00B158E7"/>
    <w:rsid w:val="00B17F4D"/>
    <w:rsid w:val="00B23D15"/>
    <w:rsid w:val="00B255AA"/>
    <w:rsid w:val="00B37C91"/>
    <w:rsid w:val="00B5211F"/>
    <w:rsid w:val="00B60E25"/>
    <w:rsid w:val="00B773DA"/>
    <w:rsid w:val="00B84B2B"/>
    <w:rsid w:val="00B84F66"/>
    <w:rsid w:val="00B92693"/>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860C5"/>
    <w:rsid w:val="00C94B19"/>
    <w:rsid w:val="00C9752A"/>
    <w:rsid w:val="00CA4FD6"/>
    <w:rsid w:val="00CA5138"/>
    <w:rsid w:val="00CB451A"/>
    <w:rsid w:val="00CB4665"/>
    <w:rsid w:val="00CB7C37"/>
    <w:rsid w:val="00CC7829"/>
    <w:rsid w:val="00CD0A17"/>
    <w:rsid w:val="00CF3742"/>
    <w:rsid w:val="00D10FD4"/>
    <w:rsid w:val="00D128FF"/>
    <w:rsid w:val="00D15C1E"/>
    <w:rsid w:val="00D16F81"/>
    <w:rsid w:val="00D25A9B"/>
    <w:rsid w:val="00D61A48"/>
    <w:rsid w:val="00D64C72"/>
    <w:rsid w:val="00D86E87"/>
    <w:rsid w:val="00D9006E"/>
    <w:rsid w:val="00D92FA2"/>
    <w:rsid w:val="00DC6770"/>
    <w:rsid w:val="00DC7958"/>
    <w:rsid w:val="00DD248C"/>
    <w:rsid w:val="00DD7C90"/>
    <w:rsid w:val="00DF2A67"/>
    <w:rsid w:val="00DF7559"/>
    <w:rsid w:val="00E06DE2"/>
    <w:rsid w:val="00E138FB"/>
    <w:rsid w:val="00E1668B"/>
    <w:rsid w:val="00E17CD0"/>
    <w:rsid w:val="00E206AF"/>
    <w:rsid w:val="00E21C09"/>
    <w:rsid w:val="00E35821"/>
    <w:rsid w:val="00E37925"/>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33DD"/>
    <w:rsid w:val="00EF4FF0"/>
    <w:rsid w:val="00F0068B"/>
    <w:rsid w:val="00F00797"/>
    <w:rsid w:val="00F029DD"/>
    <w:rsid w:val="00F1075C"/>
    <w:rsid w:val="00F1461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C6782"/>
    <w:rsid w:val="00FF2DB2"/>
    <w:rsid w:val="109ED994"/>
    <w:rsid w:val="1C02FA28"/>
    <w:rsid w:val="1D8E10F4"/>
    <w:rsid w:val="2254BC41"/>
    <w:rsid w:val="24015857"/>
    <w:rsid w:val="2A534093"/>
    <w:rsid w:val="46F04C6D"/>
    <w:rsid w:val="4751D1C2"/>
    <w:rsid w:val="4D2F82D2"/>
    <w:rsid w:val="4EF6514F"/>
    <w:rsid w:val="54DCC4AD"/>
    <w:rsid w:val="563EDF3D"/>
    <w:rsid w:val="57F1DB55"/>
    <w:rsid w:val="61F1DBB3"/>
    <w:rsid w:val="6997A207"/>
    <w:rsid w:val="704FAE49"/>
    <w:rsid w:val="760E9473"/>
    <w:rsid w:val="78509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3602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386B9B2-3E76-4240-B020-AE52CD349B82}"/>
</file>

<file path=customXml/itemProps3.xml><?xml version="1.0" encoding="utf-8"?>
<ds:datastoreItem xmlns:ds="http://schemas.openxmlformats.org/officeDocument/2006/customXml" ds:itemID="{C64C5D0F-399C-43BA-B8DA-DE31A284D5F9}"/>
</file>

<file path=customXml/itemProps4.xml><?xml version="1.0" encoding="utf-8"?>
<ds:datastoreItem xmlns:ds="http://schemas.openxmlformats.org/officeDocument/2006/customXml" ds:itemID="{DE6E39E6-DD0E-4D67-A983-73CEC52FD6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170</cp:revision>
  <cp:lastPrinted>2021-12-09T15:17:00Z</cp:lastPrinted>
  <dcterms:created xsi:type="dcterms:W3CDTF">2020-12-18T20:09:00Z</dcterms:created>
  <dcterms:modified xsi:type="dcterms:W3CDTF">2026-02-25T17:22:30Z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