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54DAC" w:rsidR="00707C99" w:rsidP="00272F4F" w:rsidRDefault="00201C0D" w14:paraId="19FE0E96" w14:textId="7C69F31C">
      <w:pPr>
        <w:spacing w:after="0" w:line="240" w:lineRule="auto"/>
        <w:jc w:val="center"/>
        <w:rPr>
          <w:rFonts w:ascii="Times New Roman" w:hAnsi="Times New Roman" w:cs="Times New Roman"/>
          <w:b/>
          <w:sz w:val="24"/>
          <w:szCs w:val="24"/>
          <w:lang w:val="es-PE" w:eastAsia="ar-SA"/>
        </w:rPr>
      </w:pPr>
      <w:r w:rsidRPr="00754DAC">
        <w:rPr>
          <w:rFonts w:ascii="Times New Roman" w:hAnsi="Times New Roman" w:cs="Times New Roman"/>
          <w:b/>
          <w:sz w:val="24"/>
          <w:szCs w:val="24"/>
          <w:lang w:val="es-PE" w:eastAsia="ar-SA"/>
        </w:rPr>
        <w:t xml:space="preserve">RESOLUCIÓN DE RECURSO IMPUGNATIVO </w:t>
      </w:r>
      <w:r w:rsidRPr="00754DAC" w:rsidR="00707C99">
        <w:rPr>
          <w:rFonts w:ascii="Times New Roman" w:hAnsi="Times New Roman" w:cs="Times New Roman"/>
          <w:b/>
          <w:sz w:val="24"/>
          <w:szCs w:val="24"/>
          <w:lang w:val="es-PE" w:eastAsia="ar-SA"/>
        </w:rPr>
        <w:t xml:space="preserve">N° </w:t>
      </w:r>
      <w:r w:rsidRPr="00754DAC" w:rsidR="00C671F5">
        <w:rPr>
          <w:rFonts w:ascii="Times New Roman" w:hAnsi="Times New Roman" w:cs="Times New Roman"/>
          <w:b/>
          <w:sz w:val="24"/>
          <w:szCs w:val="24"/>
          <w:lang w:val="es-PE" w:eastAsia="ar-SA"/>
        </w:rPr>
        <w:t>0</w:t>
      </w:r>
      <w:r w:rsidRPr="00754DAC" w:rsidR="00231C58">
        <w:rPr>
          <w:rFonts w:ascii="Times New Roman" w:hAnsi="Times New Roman" w:cs="Times New Roman"/>
          <w:b/>
          <w:sz w:val="24"/>
          <w:szCs w:val="24"/>
          <w:lang w:val="es-PE" w:eastAsia="ar-SA"/>
        </w:rPr>
        <w:t>0</w:t>
      </w:r>
      <w:r w:rsidRPr="00754DAC" w:rsidR="00754DAC">
        <w:rPr>
          <w:rFonts w:ascii="Times New Roman" w:hAnsi="Times New Roman" w:cs="Times New Roman"/>
          <w:b/>
          <w:sz w:val="24"/>
          <w:szCs w:val="24"/>
          <w:lang w:val="es-PE" w:eastAsia="ar-SA"/>
        </w:rPr>
        <w:t>2</w:t>
      </w:r>
      <w:r w:rsidRPr="00754DAC" w:rsidR="00C671F5">
        <w:rPr>
          <w:rFonts w:ascii="Times New Roman" w:hAnsi="Times New Roman" w:cs="Times New Roman"/>
          <w:b/>
          <w:sz w:val="24"/>
          <w:szCs w:val="24"/>
          <w:lang w:val="es-PE" w:eastAsia="ar-SA"/>
        </w:rPr>
        <w:t>/2</w:t>
      </w:r>
      <w:r w:rsidRPr="00754DAC" w:rsidR="00B93C7A">
        <w:rPr>
          <w:rFonts w:ascii="Times New Roman" w:hAnsi="Times New Roman" w:cs="Times New Roman"/>
          <w:b/>
          <w:sz w:val="24"/>
          <w:szCs w:val="24"/>
          <w:lang w:val="es-PE" w:eastAsia="ar-SA"/>
        </w:rPr>
        <w:t>2</w:t>
      </w:r>
    </w:p>
    <w:p w:rsidRPr="00754DAC" w:rsidR="00754DAC" w:rsidP="00754DAC" w:rsidRDefault="00754DAC" w14:paraId="5A463DF5" w14:textId="77777777">
      <w:pPr>
        <w:spacing w:after="0" w:line="240" w:lineRule="auto"/>
        <w:jc w:val="both"/>
        <w:rPr>
          <w:rFonts w:ascii="Times New Roman" w:hAnsi="Times New Roman" w:cs="Times New Roman"/>
          <w:sz w:val="24"/>
          <w:szCs w:val="24"/>
          <w:lang w:val="es-PE"/>
        </w:rPr>
      </w:pPr>
      <w:r w:rsidRPr="00754DAC">
        <w:rPr>
          <w:rFonts w:ascii="Times New Roman" w:hAnsi="Times New Roman" w:cs="Times New Roman"/>
          <w:b/>
          <w:sz w:val="24"/>
          <w:szCs w:val="24"/>
          <w:lang w:val="es-PE"/>
        </w:rPr>
        <w:t xml:space="preserve">Vistos: </w:t>
      </w:r>
    </w:p>
    <w:p w:rsidRPr="00754DAC" w:rsidR="00754DAC" w:rsidP="00754DAC" w:rsidRDefault="00754DAC" w14:paraId="53C3C289" w14:textId="77777777">
      <w:pPr>
        <w:spacing w:after="0" w:line="240" w:lineRule="auto"/>
        <w:jc w:val="both"/>
        <w:rPr>
          <w:rFonts w:ascii="Times New Roman" w:hAnsi="Times New Roman" w:cs="Times New Roman"/>
          <w:sz w:val="24"/>
          <w:szCs w:val="24"/>
          <w:lang w:val="es-PE"/>
        </w:rPr>
      </w:pPr>
    </w:p>
    <w:p w:rsidRPr="00754DAC" w:rsidR="00754DAC" w:rsidP="00754DAC" w:rsidRDefault="00754DAC" w14:paraId="180AD624" w14:textId="60CB592A">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 xml:space="preserve">El Recurso Impugnativo presentado el 30 de noviembre de 2021 </w:t>
      </w:r>
      <w:r w:rsidR="00143957">
        <w:rPr>
          <w:rFonts w:ascii="Times New Roman" w:hAnsi="Times New Roman" w:cs="Times New Roman"/>
          <w:sz w:val="24"/>
          <w:szCs w:val="24"/>
          <w:lang w:val="es-PE"/>
        </w:rPr>
        <w:t>……………………</w:t>
      </w:r>
      <w:r w:rsidRPr="00754DAC">
        <w:rPr>
          <w:rFonts w:ascii="Times New Roman" w:hAnsi="Times New Roman" w:cs="Times New Roman"/>
          <w:sz w:val="24"/>
          <w:szCs w:val="24"/>
          <w:lang w:val="es-PE"/>
        </w:rPr>
        <w:t xml:space="preserve"> respecto de la Resolución N° 164/21 de fecha 22 de noviembre de 2021 emitida por esta Defensoría del Asegurado (DEFASEG) que declaró INFUNDADA la reclamación interpuesta, sobre sobre otorgamiento de cobertura al siniestro ocurrido bajo la Póliza de Seguro de Vehículos contratada</w:t>
      </w:r>
    </w:p>
    <w:p w:rsidRPr="00754DAC" w:rsidR="00754DAC" w:rsidP="00754DAC" w:rsidRDefault="00754DAC" w14:paraId="72C5EAC8"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Que el señalado Recurso Impugnativo se fundamenta resumidamente en lo siguiente: 1) Que, sobre el presente caso, no se ha motivado algunos aspectos relevantes y se han inobservado diversas normas aplicables en materia de seguros. 2) Que, en relación a los deberes informativos que tiene la aseguradora en relación con el asegurado, la Defensoría no ha justificado porque no se ha aplicado el artículo 14 del Reglamento de Transparencia de Información en la Contratación de Seguros y, el artículo 36 del Reglamento de Gestión de Conducta de Mercado del Sistema de Seguros, los cuales señalan lo siguiente:</w:t>
      </w:r>
    </w:p>
    <w:p w:rsidRPr="00754DAC" w:rsidR="00754DAC" w:rsidP="00754DAC" w:rsidRDefault="00754DAC" w14:paraId="2DCCF457"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Resolución S.B.S N° 3199 – 2013</w:t>
      </w:r>
    </w:p>
    <w:p w:rsidRPr="00754DAC" w:rsidR="00754DAC" w:rsidP="00754DAC" w:rsidRDefault="00754DAC" w14:paraId="2AC686D9"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Artículo 14°. - Entrega de pólizas o Certificados de Seguro</w:t>
      </w:r>
    </w:p>
    <w:p w:rsidRPr="00754DAC" w:rsidR="00754DAC" w:rsidP="00754DAC" w:rsidRDefault="00754DAC" w14:paraId="1D2FF31F" w14:textId="77777777">
      <w:pPr>
        <w:spacing w:line="240" w:lineRule="auto"/>
        <w:jc w:val="both"/>
        <w:rPr>
          <w:rFonts w:ascii="Times New Roman" w:hAnsi="Times New Roman" w:cs="Times New Roman"/>
          <w:sz w:val="24"/>
          <w:szCs w:val="24"/>
        </w:rPr>
      </w:pPr>
      <w:r w:rsidRPr="00754DAC">
        <w:rPr>
          <w:rFonts w:ascii="Times New Roman" w:hAnsi="Times New Roman" w:cs="Times New Roman"/>
          <w:sz w:val="24"/>
          <w:szCs w:val="24"/>
        </w:rPr>
        <w:t>(…)</w:t>
      </w:r>
    </w:p>
    <w:p w:rsidRPr="00754DAC" w:rsidR="00754DAC" w:rsidP="00754DAC" w:rsidRDefault="00754DAC" w14:paraId="538EC041" w14:textId="77777777">
      <w:pPr>
        <w:pStyle w:val="Prrafodelista"/>
        <w:numPr>
          <w:ilvl w:val="0"/>
          <w:numId w:val="7"/>
        </w:numPr>
        <w:spacing w:after="200"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En el caso de seguros individuales, entregar la póliza de seguro al contratante y/o asegurado. En caso se haya entregado la póliza al contratante y el asegurado sea una persona distinta, este podrá solicitar copia de la póliza a la empresa, sin perjuicio del pago que podría corresponder por efectuar dicho servicio.</w:t>
      </w:r>
    </w:p>
    <w:p w:rsidRPr="00754DAC" w:rsidR="00754DAC" w:rsidP="00754DAC" w:rsidRDefault="00754DAC" w14:paraId="26726F35"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w:t>
      </w:r>
    </w:p>
    <w:p w:rsidRPr="00754DAC" w:rsidR="00754DAC" w:rsidP="00754DAC" w:rsidRDefault="00754DAC" w14:paraId="0F2105D2"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Resolución S.B.S N° 4143 – 2019</w:t>
      </w:r>
    </w:p>
    <w:p w:rsidRPr="00754DAC" w:rsidR="00754DAC" w:rsidP="00754DAC" w:rsidRDefault="00754DAC" w14:paraId="00E8FA4C"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Artículo 36°. - Comunicaciones remitidas a los contratantes y/o asegurados.</w:t>
      </w:r>
    </w:p>
    <w:p w:rsidRPr="00754DAC" w:rsidR="00754DAC" w:rsidP="00754DAC" w:rsidRDefault="00754DAC" w14:paraId="04D6E126"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Todas las comunicaciones referidas a la póliza intermediada, que corresponda cursar al contratante y/o asegurado, deben remitirse en copia al corredor de seguros que haya sido designado a través de la carta de nombramiento, en el correo electrónico que haya sido indicado para tal efecto.</w:t>
      </w:r>
    </w:p>
    <w:p w:rsidRPr="00754DAC" w:rsidR="00754DAC" w:rsidP="00754DAC" w:rsidRDefault="00754DAC" w14:paraId="42881060" w14:textId="5A762752">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 xml:space="preserve">3) Que, conforme se aprecia, ambas normas ponen de manifiesto que quien debe recibir la póliza no es otro más que el asegurado, siendo que, en el caso del corredor de seguros, se establece una obligación adicional pero no sustitutiva, por lo cual no es válida la sola notificación al corredor. 4) Que, igualmente, la Defensoría no ha analizado adecuadamente los documentos remitidos por la aseguradora, ya que se puede verificar que no existe cargo de entrega para la vigencia del 12 de diciembre de 2018 al 12 de diciembre de 2019. Que, como ha indicado </w:t>
      </w:r>
      <w:r w:rsidR="00143957">
        <w:rPr>
          <w:rFonts w:ascii="Times New Roman" w:hAnsi="Times New Roman" w:cs="Times New Roman"/>
          <w:sz w:val="24"/>
          <w:szCs w:val="24"/>
          <w:lang w:val="es-PE"/>
        </w:rPr>
        <w:t>……………………</w:t>
      </w:r>
      <w:r w:rsidR="00143957">
        <w:rPr>
          <w:rFonts w:ascii="Times New Roman" w:hAnsi="Times New Roman" w:cs="Times New Roman"/>
          <w:sz w:val="24"/>
          <w:szCs w:val="24"/>
          <w:lang w:val="es-PE"/>
        </w:rPr>
        <w:t xml:space="preserve"> </w:t>
      </w:r>
      <w:r w:rsidRPr="00754DAC">
        <w:rPr>
          <w:rFonts w:ascii="Times New Roman" w:hAnsi="Times New Roman" w:cs="Times New Roman"/>
          <w:sz w:val="24"/>
          <w:szCs w:val="24"/>
          <w:lang w:val="es-PE"/>
        </w:rPr>
        <w:t xml:space="preserve">en su contestación y en los escritos adicionales, corresponden a la vigencia anterior a la vigencia correspondiente al siniestro, lo cual es lógico, ya que la fecha de recepción del corredor fue el 22 de enero de 2018; es decir, que este cargo no demuestra nada en relación a la entrega de la póliza12/12/2018 al 12/12/2019, que es donde ocurrió el siniestro. 5) Que, sin embargo, debido a que han existido correos en la vigencia 2018/2019 donde el corredor de seguros habla de un endoso donde se insertó la cláusula de inspección, la Defensoría sin explicar dónde está el cargo correcto de la póliza vigente al momento de ocurrir </w:t>
      </w:r>
      <w:r w:rsidRPr="00754DAC">
        <w:rPr>
          <w:rFonts w:ascii="Times New Roman" w:hAnsi="Times New Roman" w:cs="Times New Roman"/>
          <w:sz w:val="24"/>
          <w:szCs w:val="24"/>
          <w:lang w:val="es-PE"/>
        </w:rPr>
        <w:lastRenderedPageBreak/>
        <w:t>el siniestro, considera sin mayor explicación que se incorporó dicha modificación y que la misma se habría mantenido en la siguiente vigencia donde ocurrió el siniestro. 6) Que, también debe tenerse en cuenta que, la póliza por la vigencia 12 de diciembre de 2019 al 12 de diciembre de 2020, la cual, si fue entregada al asegurado, no contenía la cláusula de inspección.</w:t>
      </w:r>
    </w:p>
    <w:p w:rsidRPr="00754DAC" w:rsidR="00754DAC" w:rsidP="00754DAC" w:rsidRDefault="00754DAC" w14:paraId="78E9003B" w14:textId="5D2529F5">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 xml:space="preserve">Que, habiéndose corrido traslado a </w:t>
      </w:r>
      <w:r w:rsidR="00143957">
        <w:rPr>
          <w:rFonts w:ascii="Times New Roman" w:hAnsi="Times New Roman" w:cs="Times New Roman"/>
          <w:sz w:val="24"/>
          <w:szCs w:val="24"/>
          <w:lang w:val="es-PE"/>
        </w:rPr>
        <w:t>……………………</w:t>
      </w:r>
      <w:r w:rsidR="00143957">
        <w:rPr>
          <w:rFonts w:ascii="Times New Roman" w:hAnsi="Times New Roman" w:cs="Times New Roman"/>
          <w:sz w:val="24"/>
          <w:szCs w:val="24"/>
          <w:lang w:val="es-PE"/>
        </w:rPr>
        <w:t xml:space="preserve"> </w:t>
      </w:r>
      <w:r w:rsidRPr="00754DAC">
        <w:rPr>
          <w:rFonts w:ascii="Times New Roman" w:hAnsi="Times New Roman" w:cs="Times New Roman"/>
          <w:sz w:val="24"/>
          <w:szCs w:val="24"/>
          <w:lang w:val="es-PE"/>
        </w:rPr>
        <w:t>del referido Recurso impugnatorio, la aseguradora, expresa lo siguiente: 1) Que, la asegurada manifiesta que no se le entregó la póliza y como tal desconocía la obligación de pasar inspección, por lo que la compañía no puede oponerle  dicha exclusión de cobertura.2 ) Que, conforme se ha acreditado en autos, la póliza vigente al momento del siniestro fue contratada por intermedio de un corredor de seguros, es decir, que la asegurada conocía o debía conocer las obligaciones y alcances de la póliza contratada, por lo que las alegaciones de la asegurada sobre desconocimiento de la Cláusula de Garantía de Inspección, no soporta el mayor sustento jurídico. 3) Que, es importante precisar que, la asegurada no cumplió con el requerimiento de los vocales de presentar la póliza vigente al momento del siniestro 12/12/2018 al 12/12/2019, la cual ha sido presentada por la aseguradora y en la cual figura la Cláusula de Garantía de Inspección. Que, así mismo, la asegurada no ha negado el agenciamiento y la contratación de la póliza por intermedio de un corredor de seguros; por ello no cabe duda que tenía que pasar inspección la unidad asegurada, caso contrario no operaría la cobertura de robo, la cual es materia del reclamo. 4) Que, los contratos son obligatorios para las partes en cuanto se haya expresado en ellos, según el artículo 1361 del Código Civil, por tanto, no existe justificación alguna para que se aparten de lo convenido, salvo que se pruebe que no existe coincidencia entre lo expresado en el contrato y la voluntad común de los contratantes.</w:t>
      </w:r>
    </w:p>
    <w:p w:rsidRPr="00754DAC" w:rsidR="00754DAC" w:rsidP="00754DAC" w:rsidRDefault="00754DAC" w14:paraId="1DBAD1B8"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Que, atendiendo a lo expuesto, esta Defensoría resuelve finalmente lo siguiente:</w:t>
      </w:r>
    </w:p>
    <w:p w:rsidRPr="00754DAC" w:rsidR="00754DAC" w:rsidP="00754DAC" w:rsidRDefault="00754DAC" w14:paraId="230C441B" w14:textId="12D8D59A">
      <w:pPr>
        <w:spacing w:line="240" w:lineRule="auto"/>
        <w:jc w:val="both"/>
        <w:rPr>
          <w:rFonts w:ascii="Times New Roman" w:hAnsi="Times New Roman" w:cs="Times New Roman"/>
          <w:sz w:val="24"/>
          <w:szCs w:val="24"/>
          <w:lang w:val="es-PE"/>
        </w:rPr>
      </w:pPr>
      <w:r w:rsidRPr="00754DAC">
        <w:rPr>
          <w:rFonts w:ascii="Times New Roman" w:hAnsi="Times New Roman" w:cs="Times New Roman"/>
          <w:b/>
          <w:sz w:val="24"/>
          <w:szCs w:val="24"/>
          <w:lang w:val="es-PE"/>
        </w:rPr>
        <w:t>PRIMERO:</w:t>
      </w:r>
      <w:r w:rsidRPr="00754DAC">
        <w:rPr>
          <w:rFonts w:ascii="Times New Roman" w:hAnsi="Times New Roman" w:cs="Times New Roman"/>
          <w:sz w:val="24"/>
          <w:szCs w:val="24"/>
          <w:lang w:val="es-PE"/>
        </w:rPr>
        <w:t xml:space="preserve"> Que el artículo 10 (Procedimiento) del Reglamento de la DEFASEG (</w:t>
      </w:r>
      <w:hyperlink w:history="1" r:id="rId8">
        <w:r w:rsidRPr="00754DAC">
          <w:rPr>
            <w:rStyle w:val="Hipervnculo"/>
            <w:rFonts w:ascii="Times New Roman" w:hAnsi="Times New Roman" w:cs="Times New Roman"/>
            <w:sz w:val="24"/>
            <w:szCs w:val="24"/>
            <w:lang w:val="es-PE"/>
          </w:rPr>
          <w:t>http://www.defaseg.com.pe/reglamento</w:t>
        </w:r>
      </w:hyperlink>
      <w:r w:rsidRPr="00754DAC">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00143957">
        <w:rPr>
          <w:rFonts w:ascii="Times New Roman" w:hAnsi="Times New Roman" w:cs="Times New Roman"/>
          <w:sz w:val="24"/>
          <w:szCs w:val="24"/>
          <w:lang w:val="es-PE"/>
        </w:rPr>
        <w:t>……………………</w:t>
      </w:r>
      <w:r w:rsidR="00143957">
        <w:rPr>
          <w:rFonts w:ascii="Times New Roman" w:hAnsi="Times New Roman" w:cs="Times New Roman"/>
          <w:sz w:val="24"/>
          <w:szCs w:val="24"/>
          <w:lang w:val="es-PE"/>
        </w:rPr>
        <w:t xml:space="preserve"> </w:t>
      </w:r>
      <w:r w:rsidRPr="00754DAC">
        <w:rPr>
          <w:rFonts w:ascii="Times New Roman" w:hAnsi="Times New Roman" w:cs="Times New Roman"/>
          <w:sz w:val="24"/>
          <w:szCs w:val="24"/>
          <w:lang w:val="es-PE"/>
        </w:rPr>
        <w:t>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754DAC" w:rsidR="00754DAC" w:rsidP="00754DAC" w:rsidRDefault="00754DAC" w14:paraId="289D857E"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b/>
          <w:sz w:val="24"/>
          <w:szCs w:val="24"/>
          <w:lang w:val="es-PE"/>
        </w:rPr>
        <w:t>SEGUNDO:</w:t>
      </w:r>
      <w:r w:rsidRPr="00754DAC">
        <w:rPr>
          <w:rFonts w:ascii="Times New Roman" w:hAnsi="Times New Roman" w:cs="Times New Roman"/>
          <w:sz w:val="24"/>
          <w:szCs w:val="24"/>
          <w:lang w:val="es-PE"/>
        </w:rPr>
        <w:t xml:space="preserve"> Que, de la lectura del Recurso Impugnativo interpuesto se aprecia que la asegurada insiste en lo ya expresado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754DAC" w:rsidR="00754DAC" w:rsidP="00754DAC" w:rsidRDefault="00754DAC" w14:paraId="3E1709C4"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Sin perjuicio de lo anterior, la DEFASEG considera oportuno aclarar algunos aspectos mencionados por la reclamante en su escrito de Recurso Impugnativo:</w:t>
      </w:r>
    </w:p>
    <w:p w:rsidRPr="00754DAC" w:rsidR="00754DAC" w:rsidP="00754DAC" w:rsidRDefault="00754DAC" w14:paraId="14DE79A0" w14:textId="77777777">
      <w:pPr>
        <w:pStyle w:val="Prrafodelista"/>
        <w:numPr>
          <w:ilvl w:val="0"/>
          <w:numId w:val="8"/>
        </w:numPr>
        <w:spacing w:after="200"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lastRenderedPageBreak/>
        <w:t>Que, la DEFASEG no ha explicado las razones por las cuales no ha aplicado el artículo 14° del reglamento de Transparencia de Información en la Contratación de Seguros, y el artículo 36° del Reglamento de Gestión de Conducta del Mercado de Sistema de Seguros:</w:t>
      </w:r>
    </w:p>
    <w:p w:rsidRPr="00754DAC" w:rsidR="00754DAC" w:rsidP="00754DAC" w:rsidRDefault="00754DAC" w14:paraId="35ECA54D"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a-1) “En el caso de seguros individuales, entregar la póliza de seguro al contratante y/o asegurado (…)</w:t>
      </w:r>
    </w:p>
    <w:p w:rsidRPr="00754DAC" w:rsidR="00754DAC" w:rsidP="00754DAC" w:rsidRDefault="00754DAC" w14:paraId="528E3AF6"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a-2) “Todas las comunicaciones referidas a la póliza intermediada, que corresponda cursar al contratante y/o asegurado, deben remitirse en copia al corredor de seguros que haya sido designado (…)</w:t>
      </w:r>
    </w:p>
    <w:p w:rsidRPr="00754DAC" w:rsidR="00754DAC" w:rsidP="00754DAC" w:rsidRDefault="00754DAC" w14:paraId="3578CDDA"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Que, respecto a lo manifestado, tal como se ha indicado en la Resolución recurrida, el artículo 37° de la Ley 29946 – Ley de Contrato de Seguro – “Corredor, Representación y Comercialización”, indica claramente que el corredor de seguros está facultado para realizar actos administrativos de representación, mas no de disposición. Que, en relación a este tema, la Representación se encuentra regulada en el artículo 145° del Código Civil que establece que el acto jurídico puede ser realizado mediante representante, salvo disposición contraria de la ley. Que, como se puede apreciar el artículo 37° de la Ley de Seguro mencionada, otorga poder de representación al corredor de seguros.</w:t>
      </w:r>
    </w:p>
    <w:p w:rsidRPr="00754DAC" w:rsidR="00754DAC" w:rsidP="00754DAC" w:rsidRDefault="00754DAC" w14:paraId="767DFFE8" w14:textId="77777777">
      <w:pPr>
        <w:pStyle w:val="Prrafodelista"/>
        <w:numPr>
          <w:ilvl w:val="0"/>
          <w:numId w:val="8"/>
        </w:numPr>
        <w:spacing w:after="200"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Que, no existe cargo de entrega de la póliza por la vigencia del 12 de diciembre del 2018 al 12 de diciembre de 2019. Al respecto, en documento que figura en el expediente, figura el cargo de recepción por parte del corredor de seguros en fecha 22 de enero de 2019; por lo tanto, el cargo corresponde a la póliza de la vigencia 12 de diciembre de 2018 al 12 de diciembre de 2019.</w:t>
      </w:r>
    </w:p>
    <w:p w:rsidRPr="00754DAC" w:rsidR="00754DAC" w:rsidP="00754DAC" w:rsidRDefault="00754DAC" w14:paraId="5ACF4DB5" w14:textId="77777777">
      <w:pPr>
        <w:pStyle w:val="Prrafodelista"/>
        <w:numPr>
          <w:ilvl w:val="0"/>
          <w:numId w:val="8"/>
        </w:numPr>
        <w:spacing w:after="200"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Que, debido a que han existido correos en la vigencia 2018/2019 donde el corredor de seguros habla de un endoso donde se insertó la cláusula de inspección, la Defensoría sin explicar dónde está el cargo correcto de la póliza vigente al momento de ocurrir el siniestro, considera sin mayor explicación que se incorporó dicha modificación y que la misma se habría mantenido en la siguiente vigencia donde ocurrió el siniestro. Al respecto, en el expediente no existe prueba remitida por la asegurada que indique lo mencionado sobre un endoso relacionado a la inclusión de la cláusula de inspección.</w:t>
      </w:r>
    </w:p>
    <w:p w:rsidRPr="00754DAC" w:rsidR="00754DAC" w:rsidP="00754DAC" w:rsidRDefault="00754DAC" w14:paraId="5DE4FE48"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Por consiguiente, este colegiado reitera su análisis contenido en la resolución recurrida.</w:t>
      </w:r>
    </w:p>
    <w:p w:rsidRPr="00754DAC" w:rsidR="00754DAC" w:rsidP="00754DAC" w:rsidRDefault="00754DAC" w14:paraId="34FBEEB7" w14:textId="77777777">
      <w:pPr>
        <w:spacing w:line="240" w:lineRule="auto"/>
        <w:jc w:val="both"/>
        <w:rPr>
          <w:rFonts w:ascii="Times New Roman" w:hAnsi="Times New Roman" w:cs="Times New Roman"/>
          <w:sz w:val="24"/>
          <w:szCs w:val="24"/>
          <w:lang w:val="es-PE"/>
        </w:rPr>
      </w:pPr>
      <w:r w:rsidRPr="00754DAC">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rsidRPr="00754DAC" w:rsidR="00754DAC" w:rsidP="00754DAC" w:rsidRDefault="00754DAC" w14:paraId="4001C529" w14:textId="77777777">
      <w:pPr>
        <w:spacing w:line="240" w:lineRule="auto"/>
        <w:jc w:val="both"/>
        <w:rPr>
          <w:rFonts w:ascii="Times New Roman" w:hAnsi="Times New Roman" w:cs="Times New Roman"/>
          <w:b/>
          <w:sz w:val="24"/>
          <w:szCs w:val="24"/>
          <w:lang w:val="es-PE"/>
        </w:rPr>
      </w:pPr>
      <w:r w:rsidRPr="00754DAC">
        <w:rPr>
          <w:rFonts w:ascii="Times New Roman" w:hAnsi="Times New Roman" w:cs="Times New Roman"/>
          <w:b/>
          <w:sz w:val="24"/>
          <w:szCs w:val="24"/>
          <w:lang w:val="es-PE"/>
        </w:rPr>
        <w:t xml:space="preserve">RESUELVE: </w:t>
      </w:r>
    </w:p>
    <w:p w:rsidRPr="00754DAC" w:rsidR="00754DAC" w:rsidP="00754DAC" w:rsidRDefault="00754DAC" w14:paraId="1EF59834" w14:textId="5BF353D1">
      <w:pPr>
        <w:spacing w:line="240" w:lineRule="auto"/>
        <w:jc w:val="both"/>
        <w:rPr>
          <w:rFonts w:ascii="Times New Roman" w:hAnsi="Times New Roman" w:cs="Times New Roman"/>
          <w:sz w:val="24"/>
          <w:szCs w:val="24"/>
          <w:lang w:val="es-PE"/>
        </w:rPr>
      </w:pPr>
      <w:r w:rsidRPr="54551B72" w:rsidR="00754DAC">
        <w:rPr>
          <w:rFonts w:ascii="Times New Roman" w:hAnsi="Times New Roman" w:cs="Times New Roman"/>
          <w:sz w:val="24"/>
          <w:szCs w:val="24"/>
          <w:lang w:val="es-PE"/>
        </w:rPr>
        <w:t xml:space="preserve">Declarar </w:t>
      </w:r>
      <w:r w:rsidRPr="54551B72" w:rsidR="00754DAC">
        <w:rPr>
          <w:rFonts w:ascii="Times New Roman" w:hAnsi="Times New Roman" w:cs="Times New Roman"/>
          <w:b w:val="1"/>
          <w:bCs w:val="1"/>
          <w:sz w:val="24"/>
          <w:szCs w:val="24"/>
          <w:lang w:val="es-PE"/>
        </w:rPr>
        <w:t>INFUNDADO</w:t>
      </w:r>
      <w:r w:rsidRPr="54551B72" w:rsidR="00754DAC">
        <w:rPr>
          <w:rFonts w:ascii="Times New Roman" w:hAnsi="Times New Roman" w:cs="Times New Roman"/>
          <w:sz w:val="24"/>
          <w:szCs w:val="24"/>
          <w:lang w:val="es-PE"/>
        </w:rPr>
        <w:t xml:space="preserve"> el Recurso Impugnativo interpuesto y, por consiguiente, ratificar la Resolución </w:t>
      </w:r>
      <w:r w:rsidRPr="54551B72" w:rsidR="00754DAC">
        <w:rPr>
          <w:rFonts w:ascii="Times New Roman" w:hAnsi="Times New Roman" w:cs="Times New Roman"/>
          <w:sz w:val="24"/>
          <w:szCs w:val="24"/>
          <w:lang w:val="es-PE"/>
        </w:rPr>
        <w:t>N°</w:t>
      </w:r>
      <w:r w:rsidRPr="54551B72" w:rsidR="00754DAC">
        <w:rPr>
          <w:rFonts w:ascii="Times New Roman" w:hAnsi="Times New Roman" w:cs="Times New Roman"/>
          <w:sz w:val="24"/>
          <w:szCs w:val="24"/>
          <w:lang w:val="es-PE"/>
        </w:rPr>
        <w:t xml:space="preserve"> </w:t>
      </w:r>
      <w:r w:rsidRPr="54551B72" w:rsidR="6704576B">
        <w:rPr>
          <w:rFonts w:ascii="Times New Roman" w:hAnsi="Times New Roman" w:cs="Times New Roman"/>
          <w:sz w:val="24"/>
          <w:szCs w:val="24"/>
          <w:lang w:val="es-PE"/>
        </w:rPr>
        <w:t>...............</w:t>
      </w:r>
      <w:r w:rsidRPr="54551B72" w:rsidR="00754DAC">
        <w:rPr>
          <w:rFonts w:ascii="Times New Roman" w:hAnsi="Times New Roman" w:cs="Times New Roman"/>
          <w:sz w:val="24"/>
          <w:szCs w:val="24"/>
          <w:lang w:val="es-PE"/>
        </w:rPr>
        <w:t xml:space="preserve"> que declaró </w:t>
      </w:r>
      <w:r w:rsidRPr="54551B72" w:rsidR="00754DAC">
        <w:rPr>
          <w:rFonts w:ascii="Times New Roman" w:hAnsi="Times New Roman" w:cs="Times New Roman"/>
          <w:b w:val="1"/>
          <w:bCs w:val="1"/>
          <w:sz w:val="24"/>
          <w:szCs w:val="24"/>
          <w:lang w:val="es-PE"/>
        </w:rPr>
        <w:t xml:space="preserve">INFUNDADA </w:t>
      </w:r>
      <w:r w:rsidRPr="54551B72" w:rsidR="00754DAC">
        <w:rPr>
          <w:rFonts w:ascii="Times New Roman" w:hAnsi="Times New Roman" w:cs="Times New Roman"/>
          <w:sz w:val="24"/>
          <w:szCs w:val="24"/>
          <w:lang w:val="es-PE"/>
        </w:rPr>
        <w:t>la reclamación interpuesta por</w:t>
      </w:r>
      <w:r w:rsidRPr="54551B72" w:rsidR="00754DAC">
        <w:rPr>
          <w:rFonts w:ascii="Times New Roman" w:hAnsi="Times New Roman" w:cs="Times New Roman"/>
          <w:b w:val="1"/>
          <w:bCs w:val="1"/>
          <w:sz w:val="24"/>
          <w:szCs w:val="24"/>
          <w:lang w:val="es-PE"/>
        </w:rPr>
        <w:t xml:space="preserve"> </w:t>
      </w:r>
      <w:r w:rsidRPr="54551B72" w:rsidR="00143957">
        <w:rPr>
          <w:rFonts w:ascii="Times New Roman" w:hAnsi="Times New Roman" w:cs="Times New Roman"/>
          <w:sz w:val="24"/>
          <w:szCs w:val="24"/>
          <w:lang w:val="es-PE"/>
        </w:rPr>
        <w:t>……………………</w:t>
      </w:r>
      <w:r w:rsidRPr="54551B72" w:rsidR="00754DAC">
        <w:rPr>
          <w:rFonts w:ascii="Times New Roman" w:hAnsi="Times New Roman" w:cs="Times New Roman"/>
          <w:b w:val="1"/>
          <w:bCs w:val="1"/>
          <w:sz w:val="24"/>
          <w:szCs w:val="24"/>
          <w:lang w:val="es-PE"/>
        </w:rPr>
        <w:t xml:space="preserve">, </w:t>
      </w:r>
      <w:r w:rsidRPr="54551B72" w:rsidR="00754DAC">
        <w:rPr>
          <w:rFonts w:ascii="Times New Roman" w:hAnsi="Times New Roman" w:cs="Times New Roman"/>
          <w:sz w:val="24"/>
          <w:szCs w:val="24"/>
          <w:lang w:val="es-PE"/>
        </w:rPr>
        <w:t>contra</w:t>
      </w:r>
      <w:r w:rsidRPr="54551B72" w:rsidR="00754DAC">
        <w:rPr>
          <w:rFonts w:ascii="Times New Roman" w:hAnsi="Times New Roman" w:cs="Times New Roman"/>
          <w:b w:val="1"/>
          <w:bCs w:val="1"/>
          <w:sz w:val="24"/>
          <w:szCs w:val="24"/>
          <w:lang w:val="es-PE"/>
        </w:rPr>
        <w:t xml:space="preserve"> </w:t>
      </w:r>
      <w:r w:rsidRPr="54551B72" w:rsidR="00143957">
        <w:rPr>
          <w:rFonts w:ascii="Times New Roman" w:hAnsi="Times New Roman" w:cs="Times New Roman"/>
          <w:sz w:val="24"/>
          <w:szCs w:val="24"/>
          <w:lang w:val="es-PE"/>
        </w:rPr>
        <w:t>……………………</w:t>
      </w:r>
      <w:r w:rsidRPr="54551B72" w:rsidR="00754DAC">
        <w:rPr>
          <w:rFonts w:ascii="Times New Roman" w:hAnsi="Times New Roman" w:cs="Times New Roman"/>
          <w:b w:val="1"/>
          <w:bCs w:val="1"/>
          <w:sz w:val="24"/>
          <w:szCs w:val="24"/>
          <w:lang w:val="es-PE"/>
        </w:rPr>
        <w:t>, d</w:t>
      </w:r>
      <w:r w:rsidRPr="54551B72" w:rsidR="00754DAC">
        <w:rPr>
          <w:rFonts w:ascii="Times New Roman" w:hAnsi="Times New Roman" w:cs="Times New Roman"/>
          <w:sz w:val="24"/>
          <w:szCs w:val="24"/>
          <w:lang w:val="es-PE"/>
        </w:rPr>
        <w:t>ejando a salvo el derecho de la reclamante de acudir a otras instancias que considere pertinentes.</w:t>
      </w:r>
    </w:p>
    <w:p w:rsidRPr="00754DAC" w:rsidR="00231C58" w:rsidP="00527B27" w:rsidRDefault="00231C58" w14:paraId="2269147E"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754DAC" w:rsidR="00077B6F" w:rsidP="00C671F5" w:rsidRDefault="0091528B" w14:paraId="78A39B5B" w14:textId="48F6E030">
      <w:pPr>
        <w:suppressAutoHyphens/>
        <w:spacing w:after="0" w:line="240" w:lineRule="auto"/>
        <w:jc w:val="right"/>
        <w:outlineLvl w:val="0"/>
        <w:rPr>
          <w:rFonts w:ascii="Times New Roman" w:hAnsi="Times New Roman" w:eastAsia="Arial Unicode MS" w:cs="Times New Roman"/>
          <w:sz w:val="24"/>
          <w:szCs w:val="24"/>
          <w:lang w:val="es-PE" w:eastAsia="ar-SA"/>
        </w:rPr>
      </w:pPr>
      <w:r w:rsidRPr="00754DAC">
        <w:rPr>
          <w:rFonts w:ascii="Times New Roman" w:hAnsi="Times New Roman" w:eastAsia="Arial Unicode MS" w:cs="Times New Roman"/>
          <w:sz w:val="24"/>
          <w:szCs w:val="24"/>
          <w:lang w:val="es-PE" w:eastAsia="ar-SA"/>
        </w:rPr>
        <w:t xml:space="preserve">Lima, </w:t>
      </w:r>
      <w:r w:rsidRPr="00754DAC" w:rsidR="00B93C7A">
        <w:rPr>
          <w:rFonts w:ascii="Times New Roman" w:hAnsi="Times New Roman" w:eastAsia="Arial Unicode MS" w:cs="Times New Roman"/>
          <w:sz w:val="24"/>
          <w:szCs w:val="24"/>
          <w:lang w:val="es-PE" w:eastAsia="ar-SA"/>
        </w:rPr>
        <w:t>10</w:t>
      </w:r>
      <w:r w:rsidRPr="00754DAC" w:rsidR="00707C99">
        <w:rPr>
          <w:rFonts w:ascii="Times New Roman" w:hAnsi="Times New Roman" w:eastAsia="Arial Unicode MS" w:cs="Times New Roman"/>
          <w:sz w:val="24"/>
          <w:szCs w:val="24"/>
          <w:lang w:val="es-PE" w:eastAsia="ar-SA"/>
        </w:rPr>
        <w:t xml:space="preserve"> de </w:t>
      </w:r>
      <w:r w:rsidRPr="00754DAC" w:rsidR="00231C58">
        <w:rPr>
          <w:rFonts w:ascii="Times New Roman" w:hAnsi="Times New Roman" w:eastAsia="Arial Unicode MS" w:cs="Times New Roman"/>
          <w:sz w:val="24"/>
          <w:szCs w:val="24"/>
          <w:lang w:val="es-PE" w:eastAsia="ar-SA"/>
        </w:rPr>
        <w:t>enero</w:t>
      </w:r>
      <w:r w:rsidRPr="00754DAC" w:rsidR="00F06498">
        <w:rPr>
          <w:rFonts w:ascii="Times New Roman" w:hAnsi="Times New Roman" w:eastAsia="Arial Unicode MS" w:cs="Times New Roman"/>
          <w:sz w:val="24"/>
          <w:szCs w:val="24"/>
          <w:lang w:val="es-PE" w:eastAsia="ar-SA"/>
        </w:rPr>
        <w:t xml:space="preserve"> de 202</w:t>
      </w:r>
      <w:r w:rsidRPr="00754DAC" w:rsidR="00B93C7A">
        <w:rPr>
          <w:rFonts w:ascii="Times New Roman" w:hAnsi="Times New Roman" w:eastAsia="Arial Unicode MS" w:cs="Times New Roman"/>
          <w:sz w:val="24"/>
          <w:szCs w:val="24"/>
          <w:lang w:val="es-PE" w:eastAsia="ar-SA"/>
        </w:rPr>
        <w:t>2</w:t>
      </w:r>
      <w:r w:rsidRPr="00754DAC" w:rsidR="00707C99">
        <w:rPr>
          <w:rFonts w:ascii="Times New Roman" w:hAnsi="Times New Roman" w:eastAsia="Times New Roman" w:cs="Times New Roman"/>
          <w:sz w:val="24"/>
          <w:szCs w:val="24"/>
          <w:lang w:val="es-PE" w:eastAsia="ar-SA"/>
        </w:rPr>
        <w:t xml:space="preserve"> </w:t>
      </w:r>
    </w:p>
    <w:p w:rsidRPr="00754DAC"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754DAC"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54DAC"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754DAC">
        <w:rPr>
          <w:rFonts w:ascii="Times New Roman" w:hAnsi="Times New Roman" w:cs="Times New Roman"/>
          <w:b/>
          <w:bCs/>
          <w:i/>
          <w:iCs/>
          <w:sz w:val="24"/>
          <w:szCs w:val="24"/>
          <w:lang w:val="es-PE"/>
        </w:rPr>
        <w:lastRenderedPageBreak/>
        <w:t>La Secretaría Técnica certifica que la presente resolución cuenta con el voto de los vocales cuyos nombres figuran en el presente documento.</w:t>
      </w:r>
    </w:p>
    <w:p w:rsidRPr="00754DAC" w:rsidR="00C671F5" w:rsidP="00C671F5" w:rsidRDefault="00C671F5" w14:paraId="342CC185" w14:textId="77777777">
      <w:pPr>
        <w:spacing w:after="0" w:line="360" w:lineRule="auto"/>
        <w:jc w:val="both"/>
        <w:rPr>
          <w:rFonts w:ascii="Times New Roman" w:hAnsi="Times New Roman" w:cs="Times New Roman"/>
          <w:b/>
          <w:bCs/>
          <w:i/>
          <w:iCs/>
          <w:sz w:val="24"/>
          <w:szCs w:val="24"/>
          <w:lang w:val="es-PE"/>
        </w:rPr>
      </w:pPr>
    </w:p>
    <w:p w:rsidRPr="00754DAC"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754DAC"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754DAC">
        <w:rPr>
          <w:rFonts w:ascii="Times New Roman" w:hAnsi="Times New Roman" w:cs="Times New Roman"/>
          <w:b/>
          <w:bCs/>
          <w:sz w:val="24"/>
          <w:szCs w:val="24"/>
          <w:lang w:val="es-PE"/>
        </w:rPr>
        <w:t xml:space="preserve">María Eugenia Valdez Fernández Baca </w:t>
      </w:r>
      <w:r w:rsidRPr="00754DAC" w:rsidR="00C671F5">
        <w:rPr>
          <w:rFonts w:ascii="Times New Roman" w:hAnsi="Times New Roman" w:cs="Times New Roman"/>
          <w:b/>
          <w:bCs/>
          <w:sz w:val="24"/>
          <w:szCs w:val="24"/>
          <w:lang w:val="es-PE"/>
        </w:rPr>
        <w:t>– Presidente</w:t>
      </w:r>
    </w:p>
    <w:p w:rsidRPr="00754DAC" w:rsidR="00C671F5" w:rsidP="00C671F5" w:rsidRDefault="00231C58" w14:paraId="7CE41ADF" w14:textId="69B108BA">
      <w:pPr>
        <w:spacing w:after="0" w:line="360" w:lineRule="auto"/>
        <w:jc w:val="center"/>
        <w:rPr>
          <w:rFonts w:ascii="Times New Roman" w:hAnsi="Times New Roman" w:cs="Times New Roman"/>
          <w:b/>
          <w:bCs/>
          <w:sz w:val="24"/>
          <w:szCs w:val="24"/>
          <w:lang w:val="es-PE"/>
        </w:rPr>
      </w:pPr>
      <w:r w:rsidRPr="00754DAC">
        <w:rPr>
          <w:rFonts w:ascii="Times New Roman" w:hAnsi="Times New Roman" w:cs="Times New Roman"/>
          <w:b/>
          <w:bCs/>
          <w:sz w:val="24"/>
          <w:szCs w:val="24"/>
          <w:lang w:val="es-PE"/>
        </w:rPr>
        <w:t xml:space="preserve">Rolando Eyzaguirre Maccan </w:t>
      </w:r>
      <w:r w:rsidRPr="00754DAC" w:rsidR="00C671F5">
        <w:rPr>
          <w:rFonts w:ascii="Times New Roman" w:hAnsi="Times New Roman" w:cs="Times New Roman"/>
          <w:b/>
          <w:bCs/>
          <w:sz w:val="24"/>
          <w:szCs w:val="24"/>
          <w:lang w:val="es-PE"/>
        </w:rPr>
        <w:t>– Vocal</w:t>
      </w:r>
    </w:p>
    <w:p w:rsidRPr="00754DAC" w:rsidR="00C671F5" w:rsidP="00C671F5" w:rsidRDefault="00C671F5" w14:paraId="55E7D9D7" w14:textId="77777777">
      <w:pPr>
        <w:spacing w:after="0" w:line="360" w:lineRule="auto"/>
        <w:jc w:val="center"/>
        <w:rPr>
          <w:rFonts w:ascii="Times New Roman" w:hAnsi="Times New Roman" w:cs="Times New Roman"/>
          <w:b/>
          <w:bCs/>
          <w:sz w:val="24"/>
          <w:szCs w:val="24"/>
          <w:lang w:val="es-PE"/>
        </w:rPr>
      </w:pPr>
      <w:r w:rsidRPr="00754DAC">
        <w:rPr>
          <w:rFonts w:ascii="Times New Roman" w:hAnsi="Times New Roman" w:cs="Times New Roman"/>
          <w:b/>
          <w:bCs/>
          <w:sz w:val="24"/>
          <w:szCs w:val="24"/>
          <w:lang w:val="es-PE"/>
        </w:rPr>
        <w:t>Marco Antonio Ortega Piana – Vocal</w:t>
      </w:r>
    </w:p>
    <w:p w:rsidRPr="00754DAC"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754DAC">
        <w:rPr>
          <w:rFonts w:ascii="Times New Roman" w:hAnsi="Times New Roman" w:cs="Times New Roman"/>
          <w:b/>
          <w:bCs/>
          <w:sz w:val="24"/>
          <w:szCs w:val="24"/>
          <w:lang w:val="es-PE"/>
        </w:rPr>
        <w:t xml:space="preserve">Gonzalo Abad del Busto </w:t>
      </w:r>
      <w:r w:rsidRPr="00754DAC" w:rsidR="00231C58">
        <w:rPr>
          <w:rFonts w:ascii="Times New Roman" w:hAnsi="Times New Roman" w:cs="Times New Roman"/>
          <w:b/>
          <w:bCs/>
          <w:sz w:val="24"/>
          <w:szCs w:val="24"/>
          <w:lang w:val="es-PE"/>
        </w:rPr>
        <w:t xml:space="preserve">– </w:t>
      </w:r>
      <w:r w:rsidRPr="00754DAC">
        <w:rPr>
          <w:rFonts w:ascii="Times New Roman" w:hAnsi="Times New Roman" w:cs="Times New Roman"/>
          <w:b/>
          <w:bCs/>
          <w:sz w:val="24"/>
          <w:szCs w:val="24"/>
          <w:lang w:val="es-PE"/>
        </w:rPr>
        <w:t>Vocal</w:t>
      </w:r>
    </w:p>
    <w:p w:rsidRPr="00B93C7A"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C671F5"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C671F5"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1DF8" w:rsidP="00784355" w:rsidRDefault="000C1DF8" w14:paraId="6D48317C" w14:textId="77777777">
      <w:pPr>
        <w:spacing w:after="0" w:line="240" w:lineRule="auto"/>
      </w:pPr>
      <w:r>
        <w:separator/>
      </w:r>
    </w:p>
  </w:endnote>
  <w:endnote w:type="continuationSeparator" w:id="0">
    <w:p w:rsidR="000C1DF8" w:rsidP="00784355" w:rsidRDefault="000C1DF8" w14:paraId="4B026B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618902"/>
      <w:docPartObj>
        <w:docPartGallery w:val="Page Numbers (Bottom of Page)"/>
        <w:docPartUnique/>
      </w:docPartObj>
    </w:sdtPr>
    <w:sdtContent>
      <w:sdt>
        <w:sdtPr>
          <w:id w:val="-1769616900"/>
          <w:docPartObj>
            <w:docPartGallery w:val="Page Numbers (Top of Page)"/>
            <w:docPartUnique/>
          </w:docPartObj>
        </w:sdt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1DF8" w:rsidP="00784355" w:rsidRDefault="000C1DF8" w14:paraId="7838992E" w14:textId="77777777">
      <w:pPr>
        <w:spacing w:after="0" w:line="240" w:lineRule="auto"/>
      </w:pPr>
      <w:r>
        <w:separator/>
      </w:r>
    </w:p>
  </w:footnote>
  <w:footnote w:type="continuationSeparator" w:id="0">
    <w:p w:rsidR="000C1DF8" w:rsidP="00784355" w:rsidRDefault="000C1DF8" w14:paraId="3623204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600070894">
    <w:abstractNumId w:val="1"/>
  </w:num>
  <w:num w:numId="2" w16cid:durableId="1530681632">
    <w:abstractNumId w:val="5"/>
  </w:num>
  <w:num w:numId="3" w16cid:durableId="2031956470">
    <w:abstractNumId w:val="3"/>
  </w:num>
  <w:num w:numId="4" w16cid:durableId="1147084977">
    <w:abstractNumId w:val="2"/>
  </w:num>
  <w:num w:numId="5" w16cid:durableId="2093626792">
    <w:abstractNumId w:val="4"/>
  </w:num>
  <w:num w:numId="6" w16cid:durableId="1964068425">
    <w:abstractNumId w:val="0"/>
  </w:num>
  <w:num w:numId="7" w16cid:durableId="1742100524">
    <w:abstractNumId w:val="6"/>
  </w:num>
  <w:num w:numId="8" w16cid:durableId="891332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DF8"/>
    <w:rsid w:val="000F6340"/>
    <w:rsid w:val="0011308C"/>
    <w:rsid w:val="00125B9B"/>
    <w:rsid w:val="001320DF"/>
    <w:rsid w:val="00136E12"/>
    <w:rsid w:val="001373AF"/>
    <w:rsid w:val="001377EF"/>
    <w:rsid w:val="00143957"/>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5C86"/>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54551B72"/>
    <w:rsid w:val="67045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92DA3C2-047F-4093-AB6E-20A9E2BA5539}"/>
</file>

<file path=customXml/itemProps3.xml><?xml version="1.0" encoding="utf-8"?>
<ds:datastoreItem xmlns:ds="http://schemas.openxmlformats.org/officeDocument/2006/customXml" ds:itemID="{8EDF0453-7471-4196-BEBE-C0CEBE790E93}"/>
</file>

<file path=customXml/itemProps4.xml><?xml version="1.0" encoding="utf-8"?>
<ds:datastoreItem xmlns:ds="http://schemas.openxmlformats.org/officeDocument/2006/customXml" ds:itemID="{D83154CF-5C67-4928-A3A0-D8E6DB8794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11</cp:revision>
  <cp:lastPrinted>2022-01-12T16:33:00Z</cp:lastPrinted>
  <dcterms:created xsi:type="dcterms:W3CDTF">2020-12-18T20:17:00Z</dcterms:created>
  <dcterms:modified xsi:type="dcterms:W3CDTF">2025-11-26T20:47:06Z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