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D1FB3" w:rsidR="00707C99" w:rsidP="00272F4F" w:rsidRDefault="00201C0D" w14:paraId="19FE0E96" w14:textId="0A4D53B7">
      <w:pPr>
        <w:spacing w:after="0" w:line="240" w:lineRule="auto"/>
        <w:jc w:val="center"/>
        <w:rPr>
          <w:rFonts w:ascii="Times New Roman" w:hAnsi="Times New Roman" w:cs="Times New Roman"/>
          <w:b/>
          <w:sz w:val="24"/>
          <w:szCs w:val="24"/>
          <w:lang w:val="es-PE" w:eastAsia="ar-SA"/>
        </w:rPr>
      </w:pPr>
      <w:r w:rsidRPr="00CD1FB3">
        <w:rPr>
          <w:rFonts w:ascii="Times New Roman" w:hAnsi="Times New Roman" w:cs="Times New Roman"/>
          <w:b/>
          <w:sz w:val="24"/>
          <w:szCs w:val="24"/>
          <w:lang w:val="es-PE" w:eastAsia="ar-SA"/>
        </w:rPr>
        <w:t xml:space="preserve">RESOLUCIÓN DE RECURSO IMPUGNATIVO </w:t>
      </w:r>
      <w:proofErr w:type="spellStart"/>
      <w:r w:rsidRPr="00CD1FB3" w:rsidR="00707C99">
        <w:rPr>
          <w:rFonts w:ascii="Times New Roman" w:hAnsi="Times New Roman" w:cs="Times New Roman"/>
          <w:b/>
          <w:sz w:val="24"/>
          <w:szCs w:val="24"/>
          <w:lang w:val="es-PE" w:eastAsia="ar-SA"/>
        </w:rPr>
        <w:t>N°</w:t>
      </w:r>
      <w:proofErr w:type="spellEnd"/>
      <w:r w:rsidRPr="00CD1FB3" w:rsidR="00707C99">
        <w:rPr>
          <w:rFonts w:ascii="Times New Roman" w:hAnsi="Times New Roman" w:cs="Times New Roman"/>
          <w:b/>
          <w:sz w:val="24"/>
          <w:szCs w:val="24"/>
          <w:lang w:val="es-PE" w:eastAsia="ar-SA"/>
        </w:rPr>
        <w:t xml:space="preserve"> </w:t>
      </w:r>
      <w:r w:rsidRPr="00CD1FB3" w:rsidR="00C671F5">
        <w:rPr>
          <w:rFonts w:ascii="Times New Roman" w:hAnsi="Times New Roman" w:cs="Times New Roman"/>
          <w:b/>
          <w:sz w:val="24"/>
          <w:szCs w:val="24"/>
          <w:lang w:val="es-PE" w:eastAsia="ar-SA"/>
        </w:rPr>
        <w:t>0</w:t>
      </w:r>
      <w:r w:rsidRPr="00CD1FB3" w:rsidR="00231C58">
        <w:rPr>
          <w:rFonts w:ascii="Times New Roman" w:hAnsi="Times New Roman" w:cs="Times New Roman"/>
          <w:b/>
          <w:sz w:val="24"/>
          <w:szCs w:val="24"/>
          <w:lang w:val="es-PE" w:eastAsia="ar-SA"/>
        </w:rPr>
        <w:t>0</w:t>
      </w:r>
      <w:r w:rsidRPr="00CD1FB3" w:rsidR="00CD1FB3">
        <w:rPr>
          <w:rFonts w:ascii="Times New Roman" w:hAnsi="Times New Roman" w:cs="Times New Roman"/>
          <w:b/>
          <w:sz w:val="24"/>
          <w:szCs w:val="24"/>
          <w:lang w:val="es-PE" w:eastAsia="ar-SA"/>
        </w:rPr>
        <w:t>3</w:t>
      </w:r>
      <w:r w:rsidRPr="00CD1FB3" w:rsidR="00C671F5">
        <w:rPr>
          <w:rFonts w:ascii="Times New Roman" w:hAnsi="Times New Roman" w:cs="Times New Roman"/>
          <w:b/>
          <w:sz w:val="24"/>
          <w:szCs w:val="24"/>
          <w:lang w:val="es-PE" w:eastAsia="ar-SA"/>
        </w:rPr>
        <w:t>/2</w:t>
      </w:r>
      <w:r w:rsidRPr="00CD1FB3" w:rsidR="00B93C7A">
        <w:rPr>
          <w:rFonts w:ascii="Times New Roman" w:hAnsi="Times New Roman" w:cs="Times New Roman"/>
          <w:b/>
          <w:sz w:val="24"/>
          <w:szCs w:val="24"/>
          <w:lang w:val="es-PE" w:eastAsia="ar-SA"/>
        </w:rPr>
        <w:t>2</w:t>
      </w:r>
    </w:p>
    <w:p w:rsidRPr="00CD1FB3" w:rsidR="00CD1FB3" w:rsidP="00754DAC" w:rsidRDefault="00CD1FB3" w14:paraId="065C2231" w14:textId="77777777">
      <w:pPr>
        <w:spacing w:after="0" w:line="240" w:lineRule="auto"/>
        <w:jc w:val="both"/>
        <w:rPr>
          <w:rFonts w:ascii="Times New Roman" w:hAnsi="Times New Roman" w:cs="Times New Roman"/>
          <w:b/>
          <w:sz w:val="24"/>
          <w:szCs w:val="24"/>
          <w:lang w:val="es-PE"/>
        </w:rPr>
      </w:pPr>
    </w:p>
    <w:p w:rsidRPr="00CD1FB3" w:rsidR="00CD1FB3" w:rsidP="00CD1FB3" w:rsidRDefault="00CD1FB3" w14:paraId="070CD4BF" w14:textId="77777777">
      <w:pPr>
        <w:jc w:val="both"/>
        <w:outlineLvl w:val="0"/>
        <w:rPr>
          <w:rFonts w:ascii="Times New Roman" w:hAnsi="Times New Roman" w:cs="Times New Roman"/>
          <w:b/>
          <w:bCs/>
          <w:sz w:val="24"/>
          <w:szCs w:val="24"/>
          <w:lang w:val="es-MX"/>
        </w:rPr>
      </w:pPr>
      <w:r w:rsidRPr="00CD1FB3">
        <w:rPr>
          <w:rFonts w:ascii="Times New Roman" w:hAnsi="Times New Roman" w:cs="Times New Roman"/>
          <w:b/>
          <w:bCs/>
          <w:sz w:val="24"/>
          <w:szCs w:val="24"/>
          <w:lang w:val="es-MX"/>
        </w:rPr>
        <w:t>VISTOS:</w:t>
      </w:r>
    </w:p>
    <w:p w:rsidRPr="00CD1FB3" w:rsidR="00CD1FB3" w:rsidP="00CD1FB3" w:rsidRDefault="00CD1FB3" w14:paraId="4BB36E46" w14:textId="26E717F5">
      <w:pPr>
        <w:pStyle w:val="Default"/>
        <w:jc w:val="both"/>
        <w:rPr>
          <w:rFonts w:ascii="Times New Roman" w:hAnsi="Times New Roman" w:cs="Times New Roman"/>
          <w:b w:val="1"/>
          <w:bCs w:val="1"/>
        </w:rPr>
      </w:pPr>
      <w:r w:rsidRPr="131E1E14" w:rsidR="00CD1FB3">
        <w:rPr>
          <w:rFonts w:ascii="Times New Roman" w:hAnsi="Times New Roman" w:cs="Times New Roman"/>
        </w:rPr>
        <w:t xml:space="preserve">El recurso de impugnación presentado por </w:t>
      </w:r>
      <w:r w:rsidRPr="131E1E14" w:rsidR="7E9D2519">
        <w:rPr>
          <w:rFonts w:ascii="Times New Roman" w:hAnsi="Times New Roman" w:cs="Times New Roman"/>
          <w:b w:val="1"/>
          <w:bCs w:val="1"/>
        </w:rPr>
        <w:t>...........................................................</w:t>
      </w:r>
      <w:r w:rsidRPr="131E1E14" w:rsidR="00CD1FB3">
        <w:rPr>
          <w:rFonts w:ascii="Times New Roman" w:hAnsi="Times New Roman" w:cs="Times New Roman"/>
          <w:b w:val="1"/>
          <w:bCs w:val="1"/>
        </w:rPr>
        <w:t xml:space="preserve"> </w:t>
      </w:r>
      <w:r w:rsidRPr="131E1E14" w:rsidR="00CD1FB3">
        <w:rPr>
          <w:rFonts w:ascii="Times New Roman" w:hAnsi="Times New Roman" w:cs="Times New Roman"/>
        </w:rPr>
        <w:t xml:space="preserve">respecto de la Resolución Nro. 155/2021, expedida por la Defensoría del Asegurado y, conforme a la cual se declaró INFUNDADA la reclamación interpuesta contra </w:t>
      </w:r>
      <w:r w:rsidRPr="131E1E14" w:rsidR="31A2553A">
        <w:rPr>
          <w:rFonts w:ascii="Times New Roman" w:hAnsi="Times New Roman" w:cs="Times New Roman"/>
          <w:b w:val="1"/>
          <w:bCs w:val="1"/>
          <w:lang w:val="es-MX"/>
        </w:rPr>
        <w:t>.........................................</w:t>
      </w:r>
      <w:r w:rsidRPr="131E1E14" w:rsidR="00CD1FB3">
        <w:rPr>
          <w:rFonts w:ascii="Times New Roman" w:hAnsi="Times New Roman" w:cs="Times New Roman"/>
        </w:rPr>
        <w:t xml:space="preserve"> </w:t>
      </w:r>
      <w:r w:rsidRPr="131E1E14" w:rsidR="00CD1FB3">
        <w:rPr>
          <w:rFonts w:ascii="Times New Roman" w:hAnsi="Times New Roman" w:cs="Times New Roman"/>
        </w:rPr>
        <w:t>en relación al</w:t>
      </w:r>
      <w:r w:rsidRPr="131E1E14" w:rsidR="00CD1FB3">
        <w:rPr>
          <w:rFonts w:ascii="Times New Roman" w:hAnsi="Times New Roman" w:cs="Times New Roman"/>
          <w:b w:val="1"/>
          <w:bCs w:val="1"/>
          <w:lang w:val="es-MX"/>
        </w:rPr>
        <w:t xml:space="preserve"> </w:t>
      </w:r>
      <w:r w:rsidRPr="131E1E14" w:rsidR="00CD1FB3">
        <w:rPr>
          <w:rFonts w:ascii="Times New Roman" w:hAnsi="Times New Roman" w:cs="Times New Roman"/>
          <w:b w:val="1"/>
          <w:bCs w:val="1"/>
        </w:rPr>
        <w:t xml:space="preserve">SEGURO VEHICULAR FULL COBERTURA - PÓLIZA No </w:t>
      </w:r>
      <w:r w:rsidRPr="131E1E14" w:rsidR="333CD955">
        <w:rPr>
          <w:rFonts w:ascii="Times New Roman" w:hAnsi="Times New Roman" w:cs="Times New Roman"/>
          <w:b w:val="1"/>
          <w:bCs w:val="1"/>
        </w:rPr>
        <w:t>..........................</w:t>
      </w:r>
      <w:r w:rsidRPr="131E1E14" w:rsidR="00CD1FB3">
        <w:rPr>
          <w:rFonts w:ascii="Times New Roman" w:hAnsi="Times New Roman" w:cs="Times New Roman"/>
          <w:b w:val="1"/>
          <w:bCs w:val="1"/>
        </w:rPr>
        <w:t>;</w:t>
      </w:r>
    </w:p>
    <w:p w:rsidR="00CD1FB3" w:rsidP="00CD1FB3" w:rsidRDefault="00CD1FB3" w14:paraId="4BAD54F8" w14:textId="77777777">
      <w:pPr>
        <w:pStyle w:val="Textoindependiente"/>
      </w:pPr>
    </w:p>
    <w:p w:rsidRPr="00CD1FB3" w:rsidR="00CD1FB3" w:rsidP="00CD1FB3" w:rsidRDefault="00CD1FB3" w14:paraId="61AD5798" w14:textId="7BC8D739">
      <w:pPr>
        <w:pStyle w:val="Textoindependiente"/>
      </w:pPr>
      <w:r w:rsidR="00CD1FB3">
        <w:rPr/>
        <w:t xml:space="preserve">Que, el indicado recurso se sustenta resumidamente en lo siguiente: (1) el accidente vehicular ocurrido el 09 de marzo de 2021, no sólo ocasionó daños materiales a los vehículos, también la muerte del conductor de uno de ellos; (2) se encontraba en una provincia en la que no vive y se enfrentaba al hecho de poder ser acusado por la muerte de una persona, por lo que sólo priorizó la salud de las personas que le acompañaban en el vehículo y comunicó el hecho a su familia, quienes a la vez, priorizaron buscarle un Abogado con la finalidad de verificar su situación legal, siendo que el siniestro fue informado en cuanto éste último llegó a la Comisaría donde se encontraba en calidad de detenido; (3) dada la magnitud del siniestro y que se encontraba en calidad de detenido, el tiempo transcurrido desde que ocurrió el siniestro hasta que fue informado, resulta razonable; (4) en caso el incumplimiento de dar aviso inmediato del siniestro obedeciera a dolo del asegurado, este perderá el derecho a la indemnización; pero en caso el asegurado no cumpla con avisar oportunamente el siniestro, por culpa leve o culpa inexcusable, no se le reducirá la indemnización ni perderá el derecho a la indemnización, respectivamente, siempre que la falta de aviso no hubiese influido en la verificación o determinación del siniestro; (5) no existe evidencia alguna ni </w:t>
      </w:r>
      <w:r w:rsidR="0B6C14DB">
        <w:rPr/>
        <w:t>........................</w:t>
      </w:r>
      <w:r w:rsidR="00CD1FB3">
        <w:rPr/>
        <w:t xml:space="preserve"> ha demostrado que  haya actuado con dolo por la supuesta falta de no haber comunicado el siniestro en el más breve plazo posible; (6) al momento de que reporte el siniestro a </w:t>
      </w:r>
      <w:r w:rsidR="0B6C14DB">
        <w:rPr/>
        <w:t>........................</w:t>
      </w:r>
      <w:r w:rsidR="00CD1FB3">
        <w:rPr/>
        <w:t xml:space="preserve">, él y los vehículos siniestrados se encontraban en la Comisaría; (7) este hecho pudo ser constatado por </w:t>
      </w:r>
      <w:r w:rsidR="0B6C14DB">
        <w:rPr/>
        <w:t>........................</w:t>
      </w:r>
      <w:r w:rsidR="00CD1FB3">
        <w:rPr/>
        <w:t>, pero nunca se acercaron a la comisaria para verificar las circunstancias del siniestro ni el estado del vehículo.</w:t>
      </w:r>
    </w:p>
    <w:p w:rsidRPr="00CD1FB3" w:rsidR="00CD1FB3" w:rsidP="00CD1FB3" w:rsidRDefault="00CD1FB3" w14:paraId="52064187" w14:textId="77777777">
      <w:pPr>
        <w:pStyle w:val="Textoindependiente"/>
      </w:pPr>
    </w:p>
    <w:p w:rsidRPr="00CD1FB3" w:rsidR="00CD1FB3" w:rsidP="00CD1FB3" w:rsidRDefault="00CD1FB3" w14:paraId="550CB3AE" w14:textId="2A2DCF73">
      <w:pPr>
        <w:pStyle w:val="Textoindependiente"/>
        <w:rPr>
          <w:lang w:val="es-PE"/>
        </w:rPr>
      </w:pPr>
      <w:r w:rsidRPr="00CD1FB3" w:rsidR="00CD1FB3">
        <w:rPr/>
        <w:t xml:space="preserve">Que, la aseguradora absolvió el traslado del recurso impugnatorio indicando, en síntesis, lo siguiente: (1) </w:t>
      </w:r>
      <w:r w:rsidRPr="00CD1FB3" w:rsidR="00CD1FB3">
        <w:rPr>
          <w:spacing w:val="8"/>
          <w:lang w:val="es-PE" w:eastAsia="es-ES"/>
        </w:rPr>
        <w:t xml:space="preserve">en el recurso impugnatorio presentado por el reclamante, se indican una serie de alegaciones ya expuestas y valoradas en su oportunidad, y presuntos errores de hecho y de interpretación que  no contribuyen a desvirtuar lo señalado en la resolución apelada; (2) el reclamante no alega ningún hecho nuevo, lo cual -de por sí- conlleva a que se confirme la resolución impugnada; (3) </w:t>
      </w:r>
      <w:r w:rsidRPr="00CD1FB3" w:rsidR="00CD1FB3">
        <w:rPr>
          <w:lang w:val="es-PE"/>
        </w:rPr>
        <w:t xml:space="preserve">durante el proceso de investigación del siniestro denunciado, el asegurado presentó a la compañía una transacción extrajudicial suscrita con la conviviente del conductor de la moto, quien falleció como consecuencia del accidente sufrido con el vehículo asegurado; (4) se denegó </w:t>
      </w:r>
      <w:r w:rsidRPr="00CD1FB3" w:rsidR="00CD1FB3">
        <w:rPr>
          <w:rFonts w:eastAsia="SimSun"/>
          <w:lang w:val="es-ES" w:eastAsia="zh-CN"/>
        </w:rPr>
        <w:t>la cobertura del seguro puesto que se incumplió las siguientes cargas contractuales: (i) reporte extemporáneo y (</w:t>
      </w:r>
      <w:r w:rsidRPr="00CD1FB3" w:rsidR="00CD1FB3">
        <w:rPr>
          <w:rFonts w:eastAsia="SimSun"/>
          <w:lang w:val="es-ES" w:eastAsia="zh-CN"/>
        </w:rPr>
        <w:t>ii</w:t>
      </w:r>
      <w:r w:rsidRPr="00CD1FB3" w:rsidR="00CD1FB3">
        <w:rPr>
          <w:rFonts w:eastAsia="SimSun"/>
          <w:lang w:val="es-ES" w:eastAsia="zh-CN"/>
        </w:rPr>
        <w:t xml:space="preserve">) transacción del asegurado sin autorización previa de la compañía; (5) </w:t>
      </w:r>
      <w:r w:rsidRPr="00CD1FB3" w:rsidR="00CD1FB3">
        <w:rPr>
          <w:lang w:val="es-PE"/>
        </w:rPr>
        <w:t xml:space="preserve">la carga que tiene el asegurado de dar aviso del siniestro en el más breve plazo posible es vital para </w:t>
      </w:r>
      <w:r w:rsidRPr="00CD1FB3" w:rsidR="0B6C14DB">
        <w:rPr>
          <w:lang w:val="es-PE"/>
        </w:rPr>
        <w:t xml:space="preserve">........................</w:t>
      </w:r>
      <w:r w:rsidRPr="00CD1FB3" w:rsidR="00CD1FB3">
        <w:rPr>
          <w:lang w:val="es-PE"/>
        </w:rPr>
        <w:t xml:space="preserve"> para realizar una evaluación completa y correcta de los hechos acontecidos, habiéndose pactado que ante el incumplimiento de dicha disposición el asegurado pierde los derechos indemnizatorios de la póliza de seguro; (6) los artículos 68° y 71° de la Ley </w:t>
      </w:r>
      <w:r w:rsidRPr="00CD1FB3" w:rsidR="00CD1FB3">
        <w:rPr>
          <w:lang w:val="es-PE"/>
        </w:rPr>
        <w:t>N°</w:t>
      </w:r>
      <w:r w:rsidRPr="00CD1FB3" w:rsidR="00CD1FB3">
        <w:rPr>
          <w:lang w:val="es-PE"/>
        </w:rPr>
        <w:t xml:space="preserve"> 29946 - Ley del Contrato de Seguro y el Reglamento de Gestión y Pago de Siniestros, aprobado mediante Res. SBS </w:t>
      </w:r>
      <w:r w:rsidRPr="00CD1FB3" w:rsidR="00CD1FB3">
        <w:rPr>
          <w:lang w:val="es-PE"/>
        </w:rPr>
        <w:t>N°</w:t>
      </w:r>
      <w:r w:rsidRPr="00CD1FB3" w:rsidR="00CD1FB3">
        <w:rPr>
          <w:lang w:val="es-PE"/>
        </w:rPr>
        <w:t xml:space="preserve"> 3202-2013, norma legal que –con carácter imperativo el régimen legal vigente impone la pérdida del derecho a ser indemnizado cuando el incumplimiento de la carga de dar aviso oportuno se debe a dolo o culpa inexcusable, aplicándose este último supuesto cuando la falta de aviso influya </w:t>
      </w:r>
      <w:r w:rsidRPr="00CD1FB3" w:rsidR="00CD1FB3">
        <w:rPr>
          <w:lang w:val="es-PE"/>
        </w:rPr>
        <w:lastRenderedPageBreak/>
        <w:t>en la verificación o determinación del siniestro; (7) la transacción no fue comunicada, ni menos aún autorizada por la compañía, dicho accionar del asegurado conlleva también a la pérdida del derecho indemnizatorio, de conformidad a lo establecido en el numeral 7.8 del artículo 7° de las Cláusulas Generales de Contratación del seguro contratado.</w:t>
      </w:r>
    </w:p>
    <w:p w:rsidRPr="00CD1FB3" w:rsidR="00CD1FB3" w:rsidP="00CD1FB3" w:rsidRDefault="00CD1FB3" w14:paraId="6355F9AB" w14:textId="77777777">
      <w:pPr>
        <w:pStyle w:val="Textoindependiente"/>
      </w:pPr>
    </w:p>
    <w:p w:rsidRPr="00CD1FB3" w:rsidR="00CD1FB3" w:rsidP="00CD1FB3" w:rsidRDefault="00CD1FB3" w14:paraId="7457FEB1" w14:textId="77777777">
      <w:pPr>
        <w:pStyle w:val="Textoindependiente"/>
        <w:tabs>
          <w:tab w:val="left" w:pos="930"/>
        </w:tabs>
      </w:pPr>
      <w:r w:rsidRPr="00CD1FB3">
        <w:t>Que, atendiendo a lo expuesto, esta Defensoría resuelve finalmente lo siguiente:</w:t>
      </w:r>
    </w:p>
    <w:p w:rsidR="00CD1FB3" w:rsidP="00CD1FB3" w:rsidRDefault="00CD1FB3" w14:paraId="569E8311" w14:textId="77777777">
      <w:pPr>
        <w:jc w:val="both"/>
        <w:rPr>
          <w:rFonts w:ascii="Times New Roman" w:hAnsi="Times New Roman" w:cs="Times New Roman"/>
          <w:b/>
          <w:sz w:val="24"/>
          <w:szCs w:val="24"/>
          <w:u w:val="single"/>
          <w:lang w:val="es-PE"/>
        </w:rPr>
      </w:pPr>
    </w:p>
    <w:p w:rsidRPr="00CD1FB3" w:rsidR="00CD1FB3" w:rsidP="00CD1FB3" w:rsidRDefault="00CD1FB3" w14:paraId="2797A710" w14:textId="31B3B7CA">
      <w:pPr>
        <w:jc w:val="both"/>
        <w:rPr>
          <w:rFonts w:ascii="Times New Roman" w:hAnsi="Times New Roman" w:cs="Times New Roman"/>
          <w:sz w:val="24"/>
          <w:szCs w:val="24"/>
          <w:lang w:val="es-PE"/>
        </w:rPr>
      </w:pPr>
      <w:r w:rsidRPr="00CD1FB3">
        <w:rPr>
          <w:rFonts w:ascii="Times New Roman" w:hAnsi="Times New Roman" w:cs="Times New Roman"/>
          <w:b/>
          <w:sz w:val="24"/>
          <w:szCs w:val="24"/>
          <w:u w:val="single"/>
          <w:lang w:val="es-PE"/>
        </w:rPr>
        <w:t>PRIMERO</w:t>
      </w:r>
      <w:r w:rsidRPr="00CD1FB3">
        <w:rPr>
          <w:rFonts w:ascii="Times New Roman" w:hAnsi="Times New Roman" w:cs="Times New Roman"/>
          <w:b/>
          <w:sz w:val="24"/>
          <w:szCs w:val="24"/>
          <w:lang w:val="es-PE"/>
        </w:rPr>
        <w:t>:</w:t>
      </w:r>
      <w:r w:rsidRPr="00CD1FB3">
        <w:rPr>
          <w:rFonts w:ascii="Times New Roman" w:hAnsi="Times New Roman" w:cs="Times New Roman"/>
          <w:sz w:val="24"/>
          <w:szCs w:val="24"/>
          <w:lang w:val="es-PE"/>
        </w:rPr>
        <w:t xml:space="preserve"> El artículo 10 (Procedimiento) del Reglamento de la DEFASEG </w:t>
      </w:r>
      <w:r w:rsidRPr="00CD1FB3">
        <w:rPr>
          <w:rFonts w:ascii="Times New Roman" w:hAnsi="Times New Roman" w:eastAsia="Arial Unicode MS" w:cs="Times New Roman"/>
          <w:sz w:val="24"/>
          <w:szCs w:val="24"/>
          <w:lang w:val="es-PE"/>
        </w:rPr>
        <w:t>(http://www.defaseg.com.pe/reglamento)</w:t>
      </w:r>
      <w:r w:rsidRPr="00CD1FB3">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w:t>
      </w:r>
    </w:p>
    <w:p w:rsidRPr="00CD1FB3" w:rsidR="00CD1FB3" w:rsidP="00CD1FB3" w:rsidRDefault="00CD1FB3" w14:paraId="56F6EAE4" w14:textId="77777777">
      <w:pPr>
        <w:jc w:val="both"/>
        <w:rPr>
          <w:rFonts w:ascii="Times New Roman" w:hAnsi="Times New Roman" w:cs="Times New Roman"/>
          <w:bCs/>
          <w:sz w:val="24"/>
          <w:szCs w:val="24"/>
          <w:lang w:val="es-PE"/>
        </w:rPr>
      </w:pPr>
      <w:r w:rsidRPr="00CD1FB3">
        <w:rPr>
          <w:rFonts w:ascii="Times New Roman" w:hAnsi="Times New Roman" w:cs="Times New Roman"/>
          <w:sz w:val="24"/>
          <w:szCs w:val="24"/>
          <w:lang w:val="es-PE"/>
        </w:rPr>
        <w:t xml:space="preserve">Conforme a ello, en el caso concreto, la reclamante </w:t>
      </w:r>
      <w:r w:rsidRPr="00CD1FB3">
        <w:rPr>
          <w:rFonts w:ascii="Times New Roman" w:hAnsi="Times New Roman" w:cs="Times New Roman"/>
          <w:bCs/>
          <w:sz w:val="24"/>
          <w:szCs w:val="24"/>
          <w:lang w:val="es-PE"/>
        </w:rPr>
        <w:t xml:space="preserve">sustenta su impugnación al discrepar </w:t>
      </w:r>
      <w:proofErr w:type="gramStart"/>
      <w:r w:rsidRPr="00CD1FB3">
        <w:rPr>
          <w:rFonts w:ascii="Times New Roman" w:hAnsi="Times New Roman" w:cs="Times New Roman"/>
          <w:bCs/>
          <w:sz w:val="24"/>
          <w:szCs w:val="24"/>
          <w:lang w:val="es-PE"/>
        </w:rPr>
        <w:t>con</w:t>
      </w:r>
      <w:proofErr w:type="gramEnd"/>
      <w:r w:rsidRPr="00CD1FB3">
        <w:rPr>
          <w:rFonts w:ascii="Times New Roman" w:hAnsi="Times New Roman" w:cs="Times New Roman"/>
          <w:bCs/>
          <w:sz w:val="24"/>
          <w:szCs w:val="24"/>
          <w:lang w:val="es-PE"/>
        </w:rPr>
        <w:t xml:space="preserve"> el contenido de la resolución impugnada.</w:t>
      </w:r>
    </w:p>
    <w:p w:rsidRPr="00CD1FB3" w:rsidR="00CD1FB3" w:rsidP="00CD1FB3" w:rsidRDefault="00CD1FB3" w14:paraId="22B6EEA7" w14:textId="77777777">
      <w:pPr>
        <w:jc w:val="both"/>
        <w:rPr>
          <w:rFonts w:ascii="Times New Roman" w:hAnsi="Times New Roman" w:cs="Times New Roman"/>
          <w:sz w:val="24"/>
          <w:szCs w:val="24"/>
          <w:lang w:val="es-PE"/>
        </w:rPr>
      </w:pPr>
      <w:r w:rsidRPr="00CD1FB3">
        <w:rPr>
          <w:rFonts w:ascii="Times New Roman" w:hAnsi="Times New Roman" w:cs="Times New Roman"/>
          <w:b/>
          <w:bCs/>
          <w:sz w:val="24"/>
          <w:szCs w:val="24"/>
          <w:u w:val="single"/>
          <w:lang w:val="es-PE"/>
        </w:rPr>
        <w:t>SEGUNDO</w:t>
      </w:r>
      <w:r w:rsidRPr="00CD1FB3">
        <w:rPr>
          <w:rFonts w:ascii="Times New Roman" w:hAnsi="Times New Roman" w:cs="Times New Roman"/>
          <w:b/>
          <w:bCs/>
          <w:sz w:val="24"/>
          <w:szCs w:val="24"/>
          <w:lang w:val="es-PE"/>
        </w:rPr>
        <w:t>:</w:t>
      </w:r>
      <w:r w:rsidRPr="00CD1FB3">
        <w:rPr>
          <w:rFonts w:ascii="Times New Roman" w:hAnsi="Times New Roman" w:cs="Times New Roman"/>
          <w:bCs/>
          <w:sz w:val="24"/>
          <w:szCs w:val="24"/>
          <w:lang w:val="es-PE"/>
        </w:rPr>
        <w:t xml:space="preserve"> Conforme al sexto considerando de la resolución impugnada, la reclamación fue desestimada por cuanto se verificó que el asegurado no observó la carga de </w:t>
      </w:r>
      <w:r w:rsidRPr="00CD1FB3">
        <w:rPr>
          <w:rFonts w:ascii="Times New Roman" w:hAnsi="Times New Roman" w:cs="Times New Roman"/>
          <w:sz w:val="24"/>
          <w:szCs w:val="24"/>
          <w:lang w:val="es-PE"/>
        </w:rPr>
        <w:t>dar aviso inmediato o, en el más breve plazo posible, de la ocurrencia del siniestro, afectando el derecho de la aseguradora y, en razón de ello, mediando al menos culpa inexcusable (dejar de hacer aquello que debería hacerse esencialmente, atendiendo a las circunstancias), tanto la Ley del Contrato de Seguro como el contrato en el presente caso, sancionan la caducidad o perecimiento del derecho indemnizatorio del asegurado, quedando la aseguradora liberada de responsabilidad.</w:t>
      </w:r>
    </w:p>
    <w:p w:rsidRPr="00CD1FB3" w:rsidR="00CD1FB3" w:rsidP="00CD1FB3" w:rsidRDefault="00CD1FB3" w14:paraId="73B101FD" w14:textId="77777777">
      <w:pPr>
        <w:jc w:val="both"/>
        <w:rPr>
          <w:rFonts w:ascii="Times New Roman" w:hAnsi="Times New Roman" w:cs="Times New Roman"/>
          <w:bCs/>
          <w:sz w:val="24"/>
          <w:szCs w:val="24"/>
          <w:lang w:val="es-PE"/>
        </w:rPr>
      </w:pPr>
      <w:r w:rsidRPr="00CD1FB3">
        <w:rPr>
          <w:rFonts w:ascii="Times New Roman" w:hAnsi="Times New Roman" w:cs="Times New Roman"/>
          <w:bCs/>
          <w:sz w:val="24"/>
          <w:szCs w:val="24"/>
          <w:lang w:val="es-PE"/>
        </w:rPr>
        <w:t xml:space="preserve">Atendiendo a lo anterior, se concluye que no existe error ni nueva prueba que contradiga el sustento fáctico de la decisión adoptada por esta Defensoría. </w:t>
      </w:r>
    </w:p>
    <w:p w:rsidRPr="00CD1FB3" w:rsidR="00CD1FB3" w:rsidP="00CD1FB3" w:rsidRDefault="00CD1FB3" w14:paraId="4C9305D6" w14:textId="77777777">
      <w:pPr>
        <w:jc w:val="both"/>
        <w:rPr>
          <w:rFonts w:ascii="Times New Roman" w:hAnsi="Times New Roman" w:cs="Times New Roman"/>
          <w:bCs/>
          <w:sz w:val="24"/>
          <w:szCs w:val="24"/>
          <w:lang w:val="es-PE"/>
        </w:rPr>
      </w:pPr>
      <w:r w:rsidRPr="00CD1FB3">
        <w:rPr>
          <w:rFonts w:ascii="Times New Roman" w:hAnsi="Times New Roman" w:cs="Times New Roman"/>
          <w:bCs/>
          <w:sz w:val="24"/>
          <w:szCs w:val="24"/>
          <w:lang w:val="es-PE"/>
        </w:rPr>
        <w:t>En ese sentido, el colegiado reitera su convicción que, de los antecedentes fácticos del caso, se verifican pruebas en el sentido que existen razones fundadas para estimar que el rechazo de cobertura es legítimo.</w:t>
      </w:r>
    </w:p>
    <w:p w:rsidRPr="00CD1FB3" w:rsidR="00CD1FB3" w:rsidP="00CD1FB3" w:rsidRDefault="00CD1FB3" w14:paraId="0A00971B" w14:textId="77777777">
      <w:pPr>
        <w:jc w:val="both"/>
        <w:rPr>
          <w:rFonts w:ascii="Times New Roman" w:hAnsi="Times New Roman" w:cs="Times New Roman"/>
          <w:sz w:val="24"/>
          <w:szCs w:val="24"/>
          <w:lang w:val="es-PE"/>
        </w:rPr>
      </w:pPr>
      <w:r w:rsidRPr="00CD1FB3">
        <w:rPr>
          <w:rFonts w:ascii="Times New Roman" w:hAnsi="Times New Roman" w:cs="Times New Roman"/>
          <w:b/>
          <w:sz w:val="24"/>
          <w:szCs w:val="24"/>
          <w:u w:val="single"/>
          <w:lang w:val="es-PE"/>
        </w:rPr>
        <w:t>TERCERO</w:t>
      </w:r>
      <w:r w:rsidRPr="00CD1FB3">
        <w:rPr>
          <w:rFonts w:ascii="Times New Roman" w:hAnsi="Times New Roman" w:cs="Times New Roman"/>
          <w:b/>
          <w:sz w:val="24"/>
          <w:szCs w:val="24"/>
          <w:lang w:val="es-PE"/>
        </w:rPr>
        <w:t>:</w:t>
      </w:r>
      <w:r w:rsidRPr="00CD1FB3">
        <w:rPr>
          <w:rFonts w:ascii="Times New Roman" w:hAnsi="Times New Roman" w:cs="Times New Roman"/>
          <w:sz w:val="24"/>
          <w:szCs w:val="24"/>
          <w:lang w:val="es-PE"/>
        </w:rPr>
        <w:t xml:space="preserve"> En atención a las consideraciones precedentes, este colegiado aprecia finalmente que no se ha evidenciado nueva prueba ni error ni falta de motivación, por lo que no existe mérito suficiente ni razón objetiva para revocar la resolución recurrida.</w:t>
      </w:r>
    </w:p>
    <w:p w:rsidRPr="00CD1FB3" w:rsidR="00CD1FB3" w:rsidP="00CD1FB3" w:rsidRDefault="00CD1FB3" w14:paraId="61BA7A32" w14:textId="77777777">
      <w:pPr>
        <w:jc w:val="both"/>
        <w:rPr>
          <w:rFonts w:ascii="Times New Roman" w:hAnsi="Times New Roman" w:cs="Times New Roman"/>
          <w:b/>
          <w:sz w:val="24"/>
          <w:szCs w:val="24"/>
          <w:lang w:val="es-PE"/>
        </w:rPr>
      </w:pPr>
      <w:r w:rsidRPr="00CD1FB3">
        <w:rPr>
          <w:rFonts w:ascii="Times New Roman" w:hAnsi="Times New Roman" w:cs="Times New Roman"/>
          <w:b/>
          <w:sz w:val="24"/>
          <w:szCs w:val="24"/>
          <w:lang w:val="es-PE"/>
        </w:rPr>
        <w:t>RESUELVE:</w:t>
      </w:r>
    </w:p>
    <w:p w:rsidRPr="00CD1FB3" w:rsidR="00CD1FB3" w:rsidP="00CD1FB3" w:rsidRDefault="00CD1FB3" w14:paraId="66443FC8" w14:textId="77777777">
      <w:pPr>
        <w:jc w:val="both"/>
        <w:rPr>
          <w:rFonts w:ascii="Times New Roman" w:hAnsi="Times New Roman" w:cs="Times New Roman"/>
          <w:sz w:val="24"/>
          <w:szCs w:val="24"/>
          <w:lang w:val="es-PE"/>
        </w:rPr>
      </w:pPr>
      <w:r w:rsidRPr="00CD1FB3">
        <w:rPr>
          <w:rFonts w:ascii="Times New Roman" w:hAnsi="Times New Roman" w:eastAsia="Arial Unicode MS" w:cs="Times New Roman"/>
          <w:b/>
          <w:sz w:val="24"/>
          <w:szCs w:val="24"/>
          <w:lang w:val="es-PE"/>
        </w:rPr>
        <w:t>Declarar INFUNDADO el recurso de impugnación interpuesto y, por consiguiente, CONFIRMAR la Resolución Nro. 155/21</w:t>
      </w:r>
      <w:r w:rsidRPr="00CD1FB3">
        <w:rPr>
          <w:rFonts w:ascii="Times New Roman" w:hAnsi="Times New Roman" w:cs="Times New Roman"/>
          <w:sz w:val="24"/>
          <w:szCs w:val="24"/>
          <w:lang w:val="es-PE"/>
        </w:rPr>
        <w:t>.</w:t>
      </w:r>
    </w:p>
    <w:p w:rsidRPr="00CD1FB3" w:rsidR="00231C58" w:rsidP="00CD1FB3" w:rsidRDefault="00231C58" w14:paraId="2269147E"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CD1FB3" w:rsidR="00077B6F" w:rsidP="00C671F5" w:rsidRDefault="0091528B" w14:paraId="78A39B5B" w14:textId="315804D0">
      <w:pPr>
        <w:suppressAutoHyphens/>
        <w:spacing w:after="0" w:line="240" w:lineRule="auto"/>
        <w:jc w:val="right"/>
        <w:outlineLvl w:val="0"/>
        <w:rPr>
          <w:rFonts w:ascii="Times New Roman" w:hAnsi="Times New Roman" w:eastAsia="Arial Unicode MS" w:cs="Times New Roman"/>
          <w:sz w:val="24"/>
          <w:szCs w:val="24"/>
          <w:lang w:val="es-PE" w:eastAsia="ar-SA"/>
        </w:rPr>
      </w:pPr>
      <w:r w:rsidRPr="00CD1FB3">
        <w:rPr>
          <w:rFonts w:ascii="Times New Roman" w:hAnsi="Times New Roman" w:eastAsia="Arial Unicode MS" w:cs="Times New Roman"/>
          <w:sz w:val="24"/>
          <w:szCs w:val="24"/>
          <w:lang w:val="es-PE" w:eastAsia="ar-SA"/>
        </w:rPr>
        <w:t xml:space="preserve">Lima, </w:t>
      </w:r>
      <w:r w:rsidR="00CD1FB3">
        <w:rPr>
          <w:rFonts w:ascii="Times New Roman" w:hAnsi="Times New Roman" w:eastAsia="Arial Unicode MS" w:cs="Times New Roman"/>
          <w:sz w:val="24"/>
          <w:szCs w:val="24"/>
          <w:lang w:val="es-PE" w:eastAsia="ar-SA"/>
        </w:rPr>
        <w:t>27</w:t>
      </w:r>
      <w:r w:rsidRPr="00CD1FB3" w:rsidR="00707C99">
        <w:rPr>
          <w:rFonts w:ascii="Times New Roman" w:hAnsi="Times New Roman" w:eastAsia="Arial Unicode MS" w:cs="Times New Roman"/>
          <w:sz w:val="24"/>
          <w:szCs w:val="24"/>
          <w:lang w:val="es-PE" w:eastAsia="ar-SA"/>
        </w:rPr>
        <w:t xml:space="preserve"> de </w:t>
      </w:r>
      <w:r w:rsidRPr="00CD1FB3" w:rsidR="00231C58">
        <w:rPr>
          <w:rFonts w:ascii="Times New Roman" w:hAnsi="Times New Roman" w:eastAsia="Arial Unicode MS" w:cs="Times New Roman"/>
          <w:sz w:val="24"/>
          <w:szCs w:val="24"/>
          <w:lang w:val="es-PE" w:eastAsia="ar-SA"/>
        </w:rPr>
        <w:t>enero</w:t>
      </w:r>
      <w:r w:rsidRPr="00CD1FB3" w:rsidR="00F06498">
        <w:rPr>
          <w:rFonts w:ascii="Times New Roman" w:hAnsi="Times New Roman" w:eastAsia="Arial Unicode MS" w:cs="Times New Roman"/>
          <w:sz w:val="24"/>
          <w:szCs w:val="24"/>
          <w:lang w:val="es-PE" w:eastAsia="ar-SA"/>
        </w:rPr>
        <w:t xml:space="preserve"> de 202</w:t>
      </w:r>
      <w:r w:rsidRPr="00CD1FB3" w:rsidR="00B93C7A">
        <w:rPr>
          <w:rFonts w:ascii="Times New Roman" w:hAnsi="Times New Roman" w:eastAsia="Arial Unicode MS" w:cs="Times New Roman"/>
          <w:sz w:val="24"/>
          <w:szCs w:val="24"/>
          <w:lang w:val="es-PE" w:eastAsia="ar-SA"/>
        </w:rPr>
        <w:t>2</w:t>
      </w:r>
      <w:r w:rsidRPr="00CD1FB3" w:rsidR="00707C99">
        <w:rPr>
          <w:rFonts w:ascii="Times New Roman" w:hAnsi="Times New Roman" w:eastAsia="Times New Roman" w:cs="Times New Roman"/>
          <w:sz w:val="24"/>
          <w:szCs w:val="24"/>
          <w:lang w:val="es-PE" w:eastAsia="ar-SA"/>
        </w:rPr>
        <w:t xml:space="preserve"> </w:t>
      </w:r>
    </w:p>
    <w:p w:rsidRPr="00CD1FB3"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CD1FB3"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CD1FB3"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CD1FB3">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CD1FB3" w:rsidR="00C671F5" w:rsidP="00C671F5" w:rsidRDefault="00C671F5" w14:paraId="342CC185" w14:textId="77777777">
      <w:pPr>
        <w:spacing w:after="0" w:line="360" w:lineRule="auto"/>
        <w:jc w:val="both"/>
        <w:rPr>
          <w:rFonts w:ascii="Times New Roman" w:hAnsi="Times New Roman" w:cs="Times New Roman"/>
          <w:b/>
          <w:bCs/>
          <w:i/>
          <w:iCs/>
          <w:sz w:val="24"/>
          <w:szCs w:val="24"/>
          <w:lang w:val="es-PE"/>
        </w:rPr>
      </w:pPr>
    </w:p>
    <w:p w:rsidRPr="00CD1FB3"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CD1FB3" w:rsidR="00C671F5" w:rsidP="00C671F5" w:rsidRDefault="00231C58" w14:paraId="548B3E5B" w14:textId="47A8BA49">
      <w:pPr>
        <w:spacing w:after="0" w:line="360" w:lineRule="auto"/>
        <w:jc w:val="center"/>
        <w:rPr>
          <w:rFonts w:ascii="Times New Roman" w:hAnsi="Times New Roman" w:cs="Times New Roman"/>
          <w:b/>
          <w:bCs/>
          <w:sz w:val="24"/>
          <w:szCs w:val="24"/>
          <w:lang w:val="es-PE"/>
        </w:rPr>
      </w:pPr>
      <w:r w:rsidRPr="00CD1FB3">
        <w:rPr>
          <w:rFonts w:ascii="Times New Roman" w:hAnsi="Times New Roman" w:cs="Times New Roman"/>
          <w:b/>
          <w:bCs/>
          <w:sz w:val="24"/>
          <w:szCs w:val="24"/>
          <w:lang w:val="es-PE"/>
        </w:rPr>
        <w:t xml:space="preserve">María Eugenia Valdez Fernández Baca </w:t>
      </w:r>
      <w:r w:rsidRPr="00CD1FB3" w:rsidR="00C671F5">
        <w:rPr>
          <w:rFonts w:ascii="Times New Roman" w:hAnsi="Times New Roman" w:cs="Times New Roman"/>
          <w:b/>
          <w:bCs/>
          <w:sz w:val="24"/>
          <w:szCs w:val="24"/>
          <w:lang w:val="es-PE"/>
        </w:rPr>
        <w:t xml:space="preserve">– </w:t>
      </w:r>
      <w:proofErr w:type="gramStart"/>
      <w:r w:rsidRPr="00CD1FB3" w:rsidR="00C671F5">
        <w:rPr>
          <w:rFonts w:ascii="Times New Roman" w:hAnsi="Times New Roman" w:cs="Times New Roman"/>
          <w:b/>
          <w:bCs/>
          <w:sz w:val="24"/>
          <w:szCs w:val="24"/>
          <w:lang w:val="es-PE"/>
        </w:rPr>
        <w:t>Presidente</w:t>
      </w:r>
      <w:proofErr w:type="gramEnd"/>
    </w:p>
    <w:p w:rsidRPr="00CD1FB3" w:rsidR="00C671F5" w:rsidP="00C671F5" w:rsidRDefault="00231C58" w14:paraId="7CE41ADF" w14:textId="69B108BA">
      <w:pPr>
        <w:spacing w:after="0" w:line="360" w:lineRule="auto"/>
        <w:jc w:val="center"/>
        <w:rPr>
          <w:rFonts w:ascii="Times New Roman" w:hAnsi="Times New Roman" w:cs="Times New Roman"/>
          <w:b/>
          <w:bCs/>
          <w:sz w:val="24"/>
          <w:szCs w:val="24"/>
          <w:lang w:val="es-PE"/>
        </w:rPr>
      </w:pPr>
      <w:r w:rsidRPr="00CD1FB3">
        <w:rPr>
          <w:rFonts w:ascii="Times New Roman" w:hAnsi="Times New Roman" w:cs="Times New Roman"/>
          <w:b/>
          <w:bCs/>
          <w:sz w:val="24"/>
          <w:szCs w:val="24"/>
          <w:lang w:val="es-PE"/>
        </w:rPr>
        <w:lastRenderedPageBreak/>
        <w:t xml:space="preserve">Rolando Eyzaguirre </w:t>
      </w:r>
      <w:proofErr w:type="spellStart"/>
      <w:r w:rsidRPr="00CD1FB3">
        <w:rPr>
          <w:rFonts w:ascii="Times New Roman" w:hAnsi="Times New Roman" w:cs="Times New Roman"/>
          <w:b/>
          <w:bCs/>
          <w:sz w:val="24"/>
          <w:szCs w:val="24"/>
          <w:lang w:val="es-PE"/>
        </w:rPr>
        <w:t>Maccan</w:t>
      </w:r>
      <w:proofErr w:type="spellEnd"/>
      <w:r w:rsidRPr="00CD1FB3">
        <w:rPr>
          <w:rFonts w:ascii="Times New Roman" w:hAnsi="Times New Roman" w:cs="Times New Roman"/>
          <w:b/>
          <w:bCs/>
          <w:sz w:val="24"/>
          <w:szCs w:val="24"/>
          <w:lang w:val="es-PE"/>
        </w:rPr>
        <w:t xml:space="preserve"> </w:t>
      </w:r>
      <w:r w:rsidRPr="00CD1FB3" w:rsidR="00C671F5">
        <w:rPr>
          <w:rFonts w:ascii="Times New Roman" w:hAnsi="Times New Roman" w:cs="Times New Roman"/>
          <w:b/>
          <w:bCs/>
          <w:sz w:val="24"/>
          <w:szCs w:val="24"/>
          <w:lang w:val="es-PE"/>
        </w:rPr>
        <w:t>– Vocal</w:t>
      </w:r>
    </w:p>
    <w:p w:rsidRPr="00CD1FB3" w:rsidR="00C671F5" w:rsidP="00C671F5" w:rsidRDefault="00C671F5" w14:paraId="55E7D9D7" w14:textId="77777777">
      <w:pPr>
        <w:spacing w:after="0" w:line="360" w:lineRule="auto"/>
        <w:jc w:val="center"/>
        <w:rPr>
          <w:rFonts w:ascii="Times New Roman" w:hAnsi="Times New Roman" w:cs="Times New Roman"/>
          <w:b/>
          <w:bCs/>
          <w:sz w:val="24"/>
          <w:szCs w:val="24"/>
          <w:lang w:val="es-PE"/>
        </w:rPr>
      </w:pPr>
      <w:r w:rsidRPr="00CD1FB3">
        <w:rPr>
          <w:rFonts w:ascii="Times New Roman" w:hAnsi="Times New Roman" w:cs="Times New Roman"/>
          <w:b/>
          <w:bCs/>
          <w:sz w:val="24"/>
          <w:szCs w:val="24"/>
          <w:lang w:val="es-PE"/>
        </w:rPr>
        <w:t>Marco Antonio Ortega Piana – Vocal</w:t>
      </w:r>
    </w:p>
    <w:p w:rsidRPr="00CD1FB3" w:rsidR="00C671F5" w:rsidP="00C671F5" w:rsidRDefault="00C671F5" w14:paraId="3A9CFE9F" w14:textId="4DFF4426">
      <w:pPr>
        <w:spacing w:after="0" w:line="360" w:lineRule="auto"/>
        <w:jc w:val="center"/>
        <w:rPr>
          <w:rFonts w:ascii="Times New Roman" w:hAnsi="Times New Roman" w:cs="Times New Roman"/>
          <w:sz w:val="24"/>
          <w:szCs w:val="24"/>
          <w:lang w:val="es-PE"/>
        </w:rPr>
      </w:pPr>
      <w:r w:rsidRPr="00CD1FB3">
        <w:rPr>
          <w:rFonts w:ascii="Times New Roman" w:hAnsi="Times New Roman" w:cs="Times New Roman"/>
          <w:b/>
          <w:bCs/>
          <w:sz w:val="24"/>
          <w:szCs w:val="24"/>
          <w:lang w:val="es-PE"/>
        </w:rPr>
        <w:t xml:space="preserve">Gonzalo Abad del Busto </w:t>
      </w:r>
      <w:r w:rsidRPr="00CD1FB3" w:rsidR="00231C58">
        <w:rPr>
          <w:rFonts w:ascii="Times New Roman" w:hAnsi="Times New Roman" w:cs="Times New Roman"/>
          <w:b/>
          <w:bCs/>
          <w:sz w:val="24"/>
          <w:szCs w:val="24"/>
          <w:lang w:val="es-PE"/>
        </w:rPr>
        <w:t xml:space="preserve">– </w:t>
      </w:r>
      <w:r w:rsidRPr="00CD1FB3">
        <w:rPr>
          <w:rFonts w:ascii="Times New Roman" w:hAnsi="Times New Roman" w:cs="Times New Roman"/>
          <w:b/>
          <w:bCs/>
          <w:sz w:val="24"/>
          <w:szCs w:val="24"/>
          <w:lang w:val="es-PE"/>
        </w:rPr>
        <w:t>Vocal</w:t>
      </w:r>
    </w:p>
    <w:p w:rsidRPr="00B93C7A"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C671F5"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C671F5"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97639" w:rsidP="00784355" w:rsidRDefault="00997639" w14:paraId="082AD728" w14:textId="77777777">
      <w:pPr>
        <w:spacing w:after="0" w:line="240" w:lineRule="auto"/>
      </w:pPr>
      <w:r>
        <w:separator/>
      </w:r>
    </w:p>
  </w:endnote>
  <w:endnote w:type="continuationSeparator" w:id="0">
    <w:p w:rsidR="00997639" w:rsidP="00784355" w:rsidRDefault="00997639" w14:paraId="28C74CB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97639" w:rsidP="00784355" w:rsidRDefault="00997639" w14:paraId="4AB4D27D" w14:textId="77777777">
      <w:pPr>
        <w:spacing w:after="0" w:line="240" w:lineRule="auto"/>
      </w:pPr>
      <w:r>
        <w:separator/>
      </w:r>
    </w:p>
  </w:footnote>
  <w:footnote w:type="continuationSeparator" w:id="0">
    <w:p w:rsidR="00997639" w:rsidP="00784355" w:rsidRDefault="00997639" w14:paraId="7C6B180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2"/>
  </w:num>
  <w:num w:numId="5">
    <w:abstractNumId w:val="4"/>
  </w:num>
  <w:num w:numId="6">
    <w:abstractNumId w:val="0"/>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10987"/>
    <w:rsid w:val="00013057"/>
    <w:rsid w:val="000159CC"/>
    <w:rsid w:val="00015C22"/>
    <w:rsid w:val="000167E0"/>
    <w:rsid w:val="000235E9"/>
    <w:rsid w:val="0002637D"/>
    <w:rsid w:val="0002733C"/>
    <w:rsid w:val="00027978"/>
    <w:rsid w:val="0004480C"/>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F6340"/>
    <w:rsid w:val="0011308C"/>
    <w:rsid w:val="00125B9B"/>
    <w:rsid w:val="001320DF"/>
    <w:rsid w:val="00136E12"/>
    <w:rsid w:val="001373AF"/>
    <w:rsid w:val="001377EF"/>
    <w:rsid w:val="00150874"/>
    <w:rsid w:val="001508BC"/>
    <w:rsid w:val="001529FE"/>
    <w:rsid w:val="001703D8"/>
    <w:rsid w:val="00170E39"/>
    <w:rsid w:val="00174918"/>
    <w:rsid w:val="00174DA5"/>
    <w:rsid w:val="00181908"/>
    <w:rsid w:val="00181DCE"/>
    <w:rsid w:val="00187BFD"/>
    <w:rsid w:val="0019649B"/>
    <w:rsid w:val="001A008A"/>
    <w:rsid w:val="001A3395"/>
    <w:rsid w:val="001A44E1"/>
    <w:rsid w:val="001B1E59"/>
    <w:rsid w:val="001B58A3"/>
    <w:rsid w:val="001D0EED"/>
    <w:rsid w:val="001D59D9"/>
    <w:rsid w:val="001D6136"/>
    <w:rsid w:val="001E119C"/>
    <w:rsid w:val="001E4337"/>
    <w:rsid w:val="00201C0D"/>
    <w:rsid w:val="00204407"/>
    <w:rsid w:val="0020749F"/>
    <w:rsid w:val="002108AD"/>
    <w:rsid w:val="00211977"/>
    <w:rsid w:val="002130B0"/>
    <w:rsid w:val="0021627D"/>
    <w:rsid w:val="00225288"/>
    <w:rsid w:val="00227D02"/>
    <w:rsid w:val="00231C58"/>
    <w:rsid w:val="002331C3"/>
    <w:rsid w:val="00241719"/>
    <w:rsid w:val="00243F6B"/>
    <w:rsid w:val="0027261F"/>
    <w:rsid w:val="00272F4F"/>
    <w:rsid w:val="0027301E"/>
    <w:rsid w:val="00274985"/>
    <w:rsid w:val="002768C6"/>
    <w:rsid w:val="00276A92"/>
    <w:rsid w:val="00277667"/>
    <w:rsid w:val="00290CA4"/>
    <w:rsid w:val="002A31D3"/>
    <w:rsid w:val="002A7E2E"/>
    <w:rsid w:val="002B726E"/>
    <w:rsid w:val="002C2A0F"/>
    <w:rsid w:val="002D0DB0"/>
    <w:rsid w:val="002D3B01"/>
    <w:rsid w:val="002E1221"/>
    <w:rsid w:val="002E17F9"/>
    <w:rsid w:val="002F09CA"/>
    <w:rsid w:val="002F35F0"/>
    <w:rsid w:val="003045E3"/>
    <w:rsid w:val="0032132E"/>
    <w:rsid w:val="00340E4B"/>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403814"/>
    <w:rsid w:val="004049B9"/>
    <w:rsid w:val="00417E23"/>
    <w:rsid w:val="00425F75"/>
    <w:rsid w:val="00440BC2"/>
    <w:rsid w:val="00444232"/>
    <w:rsid w:val="00460C30"/>
    <w:rsid w:val="00465FB9"/>
    <w:rsid w:val="00466302"/>
    <w:rsid w:val="0047370C"/>
    <w:rsid w:val="0047522D"/>
    <w:rsid w:val="00476BA1"/>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7EE5"/>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D3E68"/>
    <w:rsid w:val="005E0E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54DAC"/>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0690"/>
    <w:rsid w:val="008916FF"/>
    <w:rsid w:val="00891DB3"/>
    <w:rsid w:val="00895A85"/>
    <w:rsid w:val="008A1D12"/>
    <w:rsid w:val="008A3A47"/>
    <w:rsid w:val="008D6DDF"/>
    <w:rsid w:val="008F1161"/>
    <w:rsid w:val="008F479E"/>
    <w:rsid w:val="009011F1"/>
    <w:rsid w:val="009127A6"/>
    <w:rsid w:val="0091528B"/>
    <w:rsid w:val="009157B1"/>
    <w:rsid w:val="00917CAF"/>
    <w:rsid w:val="009225DD"/>
    <w:rsid w:val="009272D7"/>
    <w:rsid w:val="00933532"/>
    <w:rsid w:val="00943343"/>
    <w:rsid w:val="00946694"/>
    <w:rsid w:val="00951B99"/>
    <w:rsid w:val="00955C03"/>
    <w:rsid w:val="00964237"/>
    <w:rsid w:val="00966813"/>
    <w:rsid w:val="00967B16"/>
    <w:rsid w:val="0097301B"/>
    <w:rsid w:val="00974D2D"/>
    <w:rsid w:val="009754DD"/>
    <w:rsid w:val="00997639"/>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77D2"/>
    <w:rsid w:val="00A16942"/>
    <w:rsid w:val="00A17A72"/>
    <w:rsid w:val="00A25F51"/>
    <w:rsid w:val="00A30393"/>
    <w:rsid w:val="00A32246"/>
    <w:rsid w:val="00A328C0"/>
    <w:rsid w:val="00A3714C"/>
    <w:rsid w:val="00A427D6"/>
    <w:rsid w:val="00A46E96"/>
    <w:rsid w:val="00A52030"/>
    <w:rsid w:val="00A62BEC"/>
    <w:rsid w:val="00A658C1"/>
    <w:rsid w:val="00A734AD"/>
    <w:rsid w:val="00A837A0"/>
    <w:rsid w:val="00A90926"/>
    <w:rsid w:val="00A97287"/>
    <w:rsid w:val="00AA2DED"/>
    <w:rsid w:val="00AB1C66"/>
    <w:rsid w:val="00AC5A9E"/>
    <w:rsid w:val="00AD1FEC"/>
    <w:rsid w:val="00AD2DF1"/>
    <w:rsid w:val="00AE4125"/>
    <w:rsid w:val="00AF5E87"/>
    <w:rsid w:val="00B00552"/>
    <w:rsid w:val="00B02BEE"/>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376B"/>
    <w:rsid w:val="00C9581A"/>
    <w:rsid w:val="00C960BE"/>
    <w:rsid w:val="00C9791B"/>
    <w:rsid w:val="00CA3682"/>
    <w:rsid w:val="00CB44BB"/>
    <w:rsid w:val="00CC4AEF"/>
    <w:rsid w:val="00CC6C0C"/>
    <w:rsid w:val="00CD1FB3"/>
    <w:rsid w:val="00CD4BE8"/>
    <w:rsid w:val="00CF55D6"/>
    <w:rsid w:val="00CF78D3"/>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E38F0"/>
    <w:rsid w:val="00FE43A9"/>
    <w:rsid w:val="00FF41F3"/>
    <w:rsid w:val="0B6C14DB"/>
    <w:rsid w:val="131E1E14"/>
    <w:rsid w:val="2E48B0B4"/>
    <w:rsid w:val="31A2553A"/>
    <w:rsid w:val="333CD955"/>
    <w:rsid w:val="4F9A3BBB"/>
    <w:rsid w:val="7E9D25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52339094-A33C-41D7-A3A4-93AC756EC004}"/>
</file>

<file path=customXml/itemProps3.xml><?xml version="1.0" encoding="utf-8"?>
<ds:datastoreItem xmlns:ds="http://schemas.openxmlformats.org/officeDocument/2006/customXml" ds:itemID="{BB129415-BAC0-44F0-8BAA-EFF79A401470}"/>
</file>

<file path=customXml/itemProps4.xml><?xml version="1.0" encoding="utf-8"?>
<ds:datastoreItem xmlns:ds="http://schemas.openxmlformats.org/officeDocument/2006/customXml" ds:itemID="{9F01EDBB-FE54-4138-94F5-508C25D9A6B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14</cp:revision>
  <cp:lastPrinted>2022-01-28T13:56:00Z</cp:lastPrinted>
  <dcterms:created xsi:type="dcterms:W3CDTF">2020-12-18T20:17:00Z</dcterms:created>
  <dcterms:modified xsi:type="dcterms:W3CDTF">2025-11-25T19:28:10Z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