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F7C83" w:rsidR="00707C99" w:rsidP="00272F4F" w:rsidRDefault="00201C0D" w14:paraId="19FE0E96" w14:textId="1CE281C4">
      <w:pPr>
        <w:spacing w:after="0" w:line="240" w:lineRule="auto"/>
        <w:jc w:val="center"/>
        <w:rPr>
          <w:rFonts w:ascii="Times New Roman" w:hAnsi="Times New Roman" w:cs="Times New Roman"/>
          <w:b/>
          <w:sz w:val="24"/>
          <w:szCs w:val="24"/>
          <w:lang w:val="es-PE" w:eastAsia="ar-SA"/>
        </w:rPr>
      </w:pPr>
      <w:r w:rsidRPr="008F7C83">
        <w:rPr>
          <w:rFonts w:ascii="Times New Roman" w:hAnsi="Times New Roman" w:cs="Times New Roman"/>
          <w:b/>
          <w:sz w:val="24"/>
          <w:szCs w:val="24"/>
          <w:lang w:val="es-PE" w:eastAsia="ar-SA"/>
        </w:rPr>
        <w:t xml:space="preserve">RESOLUCIÓN DE RECURSO IMPUGNATIVO </w:t>
      </w:r>
      <w:proofErr w:type="spellStart"/>
      <w:r w:rsidRPr="008F7C83" w:rsidR="00707C99">
        <w:rPr>
          <w:rFonts w:ascii="Times New Roman" w:hAnsi="Times New Roman" w:cs="Times New Roman"/>
          <w:b/>
          <w:sz w:val="24"/>
          <w:szCs w:val="24"/>
          <w:lang w:val="es-PE" w:eastAsia="ar-SA"/>
        </w:rPr>
        <w:t>N°</w:t>
      </w:r>
      <w:proofErr w:type="spellEnd"/>
      <w:r w:rsidRPr="008F7C83" w:rsidR="00707C99">
        <w:rPr>
          <w:rFonts w:ascii="Times New Roman" w:hAnsi="Times New Roman" w:cs="Times New Roman"/>
          <w:b/>
          <w:sz w:val="24"/>
          <w:szCs w:val="24"/>
          <w:lang w:val="es-PE" w:eastAsia="ar-SA"/>
        </w:rPr>
        <w:t xml:space="preserve"> </w:t>
      </w:r>
      <w:r w:rsidRPr="008F7C83" w:rsidR="00C671F5">
        <w:rPr>
          <w:rFonts w:ascii="Times New Roman" w:hAnsi="Times New Roman" w:cs="Times New Roman"/>
          <w:b/>
          <w:sz w:val="24"/>
          <w:szCs w:val="24"/>
          <w:lang w:val="es-PE" w:eastAsia="ar-SA"/>
        </w:rPr>
        <w:t>0</w:t>
      </w:r>
      <w:r w:rsidRPr="008F7C83" w:rsidR="00231C58">
        <w:rPr>
          <w:rFonts w:ascii="Times New Roman" w:hAnsi="Times New Roman" w:cs="Times New Roman"/>
          <w:b/>
          <w:sz w:val="24"/>
          <w:szCs w:val="24"/>
          <w:lang w:val="es-PE" w:eastAsia="ar-SA"/>
        </w:rPr>
        <w:t>0</w:t>
      </w:r>
      <w:r w:rsidRPr="008F7C83" w:rsidR="00966AEB">
        <w:rPr>
          <w:rFonts w:ascii="Times New Roman" w:hAnsi="Times New Roman" w:cs="Times New Roman"/>
          <w:b/>
          <w:sz w:val="24"/>
          <w:szCs w:val="24"/>
          <w:lang w:val="es-PE" w:eastAsia="ar-SA"/>
        </w:rPr>
        <w:t>5</w:t>
      </w:r>
      <w:r w:rsidRPr="008F7C83" w:rsidR="00C671F5">
        <w:rPr>
          <w:rFonts w:ascii="Times New Roman" w:hAnsi="Times New Roman" w:cs="Times New Roman"/>
          <w:b/>
          <w:sz w:val="24"/>
          <w:szCs w:val="24"/>
          <w:lang w:val="es-PE" w:eastAsia="ar-SA"/>
        </w:rPr>
        <w:t>/2</w:t>
      </w:r>
      <w:r w:rsidRPr="008F7C83" w:rsidR="00B93C7A">
        <w:rPr>
          <w:rFonts w:ascii="Times New Roman" w:hAnsi="Times New Roman" w:cs="Times New Roman"/>
          <w:b/>
          <w:sz w:val="24"/>
          <w:szCs w:val="24"/>
          <w:lang w:val="es-PE" w:eastAsia="ar-SA"/>
        </w:rPr>
        <w:t>2</w:t>
      </w:r>
    </w:p>
    <w:p w:rsidRPr="008F7C83"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8F7C83" w:rsidR="008F7C83" w:rsidP="008F7C83" w:rsidRDefault="008F7C83" w14:paraId="3B056071"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8F7C83">
        <w:rPr>
          <w:rFonts w:ascii="Times New Roman" w:hAnsi="Times New Roman" w:eastAsia="Times New Roman" w:cs="Times New Roman"/>
          <w:b/>
          <w:bCs/>
          <w:sz w:val="24"/>
          <w:szCs w:val="24"/>
          <w:lang w:val="es-MX" w:eastAsia="ar-SA"/>
        </w:rPr>
        <w:t>Vistos:</w:t>
      </w:r>
    </w:p>
    <w:p w:rsidRPr="008F7C83" w:rsidR="008F7C83" w:rsidP="008F7C83" w:rsidRDefault="008F7C83" w14:paraId="5851A8D0"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8F7C83">
        <w:rPr>
          <w:rFonts w:ascii="Times New Roman" w:hAnsi="Times New Roman" w:eastAsia="Times New Roman" w:cs="Times New Roman"/>
          <w:b/>
          <w:bCs/>
          <w:sz w:val="24"/>
          <w:szCs w:val="24"/>
          <w:lang w:val="es-MX" w:eastAsia="ar-SA"/>
        </w:rPr>
        <w:t xml:space="preserve">   </w:t>
      </w:r>
    </w:p>
    <w:p w:rsidRPr="008F7C83" w:rsidR="008F7C83" w:rsidP="008F7C83" w:rsidRDefault="008F7C83" w14:paraId="4FC624A1" w14:textId="1292B604">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16EA005D" w:rsidR="008F7C83">
        <w:rPr>
          <w:rFonts w:ascii="Times New Roman" w:hAnsi="Times New Roman" w:eastAsia="Times New Roman" w:cs="Times New Roman"/>
          <w:sz w:val="24"/>
          <w:szCs w:val="24"/>
          <w:lang w:val="es-ES" w:eastAsia="ar-SA"/>
        </w:rPr>
        <w:t>El recurso de impugnación presentado con fecha 27 de enero de 2022 por</w:t>
      </w:r>
      <w:r w:rsidRPr="16EA005D" w:rsidR="008F7C83">
        <w:rPr>
          <w:rFonts w:ascii="Times New Roman" w:hAnsi="Times New Roman" w:cs="Times New Roman"/>
          <w:sz w:val="24"/>
          <w:szCs w:val="24"/>
          <w:lang w:val="es-ES"/>
        </w:rPr>
        <w:t xml:space="preserve"> </w:t>
      </w:r>
      <w:r w:rsidRPr="16EA005D" w:rsidR="0B01EF2A">
        <w:rPr>
          <w:rFonts w:ascii="Times New Roman" w:hAnsi="Times New Roman" w:cs="Times New Roman"/>
          <w:sz w:val="24"/>
          <w:szCs w:val="24"/>
          <w:lang w:val="es-ES"/>
        </w:rPr>
        <w:t>.......................................................</w:t>
      </w:r>
      <w:r w:rsidRPr="16EA005D" w:rsidR="008F7C83">
        <w:rPr>
          <w:rFonts w:ascii="Times New Roman" w:hAnsi="Times New Roman" w:eastAsia="Times New Roman" w:cs="Times New Roman"/>
          <w:sz w:val="24"/>
          <w:szCs w:val="24"/>
          <w:lang w:val="es-ES" w:eastAsia="ar-SA"/>
        </w:rPr>
        <w:t xml:space="preserve"> respecto de la Resolución Nro. 007/22, de fecha 18 de enero de 2022, emitida por esta Defensoría del Asegurado (DEFASEG), que declaró INFUNDADA </w:t>
      </w:r>
      <w:r w:rsidRPr="16EA005D" w:rsidR="008F7C83">
        <w:rPr>
          <w:rFonts w:ascii="Times New Roman" w:hAnsi="Times New Roman" w:eastAsia="Arial Unicode MS" w:cs="Times New Roman"/>
          <w:sz w:val="24"/>
          <w:szCs w:val="24"/>
          <w:lang w:val="es-PE"/>
        </w:rPr>
        <w:t xml:space="preserve">la reclamación interpuesta contra </w:t>
      </w:r>
      <w:r w:rsidRPr="16EA005D" w:rsidR="2523DF6B">
        <w:rPr>
          <w:rFonts w:ascii="Times New Roman" w:hAnsi="Times New Roman" w:eastAsia="Arial Unicode MS" w:cs="Times New Roman"/>
          <w:sz w:val="24"/>
          <w:szCs w:val="24"/>
          <w:lang w:val="es-PE"/>
        </w:rPr>
        <w:t>.....................................</w:t>
      </w:r>
      <w:r w:rsidRPr="16EA005D" w:rsidR="008F7C83">
        <w:rPr>
          <w:rFonts w:ascii="Times New Roman" w:hAnsi="Times New Roman" w:eastAsia="Arial Unicode MS" w:cs="Times New Roman"/>
          <w:sz w:val="24"/>
          <w:szCs w:val="24"/>
          <w:lang w:val="es-PE"/>
        </w:rPr>
        <w:t xml:space="preserve"> respecto al otorgamiento de cobertura al siniestro vehicular ocurrido con fecha 10 de abril de 2021</w:t>
      </w:r>
      <w:r w:rsidRPr="16EA005D" w:rsidR="008F7C83">
        <w:rPr>
          <w:rFonts w:ascii="Times New Roman" w:hAnsi="Times New Roman" w:cs="Times New Roman"/>
          <w:sz w:val="24"/>
          <w:szCs w:val="24"/>
          <w:lang w:val="es-PE"/>
        </w:rPr>
        <w:t>;</w:t>
      </w:r>
    </w:p>
    <w:p w:rsidRPr="008F7C83" w:rsidR="008F7C83" w:rsidP="008F7C83" w:rsidRDefault="008F7C83" w14:paraId="7F7811FF"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ES" w:eastAsia="es-ES"/>
        </w:rPr>
      </w:pPr>
    </w:p>
    <w:p w:rsidRPr="008F7C83" w:rsidR="008F7C83" w:rsidP="16EA005D" w:rsidRDefault="008F7C83" w14:paraId="3C5757DA" w14:textId="6CB15F19">
      <w:pPr>
        <w:suppressAutoHyphens/>
        <w:spacing w:after="0" w:line="240" w:lineRule="auto"/>
        <w:jc w:val="both"/>
        <w:rPr>
          <w:rFonts w:ascii="Times New Roman" w:hAnsi="Times New Roman" w:eastAsia="Times New Roman" w:cs="Times New Roman"/>
          <w:sz w:val="24"/>
          <w:szCs w:val="24"/>
          <w:lang w:val="es-MX" w:eastAsia="ar-SA"/>
        </w:rPr>
      </w:pPr>
      <w:r w:rsidRPr="16EA005D" w:rsidR="008F7C83">
        <w:rPr>
          <w:rFonts w:ascii="Times New Roman" w:hAnsi="Times New Roman" w:eastAsia="Times New Roman" w:cs="Times New Roman"/>
          <w:sz w:val="24"/>
          <w:szCs w:val="24"/>
          <w:lang w:val="es-MX" w:eastAsia="ar-SA"/>
        </w:rPr>
        <w:t xml:space="preserve">Que, a través del señalado recurso, </w:t>
      </w:r>
      <w:r w:rsidRPr="16EA005D" w:rsidR="0B01EF2A">
        <w:rPr>
          <w:rFonts w:ascii="Times New Roman" w:hAnsi="Times New Roman" w:cs="Times New Roman"/>
          <w:sz w:val="24"/>
          <w:szCs w:val="24"/>
          <w:lang w:val="es-ES"/>
        </w:rPr>
        <w:t>.......................................................</w:t>
      </w:r>
      <w:r w:rsidRPr="16EA005D" w:rsidR="008F7C83">
        <w:rPr>
          <w:rFonts w:ascii="Times New Roman" w:hAnsi="Times New Roman" w:eastAsia="Times New Roman" w:cs="Times New Roman"/>
          <w:sz w:val="24"/>
          <w:szCs w:val="24"/>
          <w:lang w:val="es-MX" w:eastAsia="ar-SA"/>
        </w:rPr>
        <w:t xml:space="preserve"> cuestiona lo resuelto por este colegiado, sustentándose resumidamente en lo siguiente: a) Se reitera lo ya expresado en el sentido que no es suficiente incurrir en una causal de exclusión de cobertura, sino que el daño debe ser consecuencia directa e inmediata de aquélla, debiendo mediar una acción imprudente o negligente del asegurado que aumente el riesgo resultado, según se desprende del artículo 5 de la póliza; en consecuencia, se solicita que el colegiado precise la norma que sustenta su afirmación contenida en el numeral 6.3 de la resolución recurrida, lo cual vulnera la tercera, sétima, décima y undécima regla interpretativa enunciadas en el artículo IV de la Ley del Contrato de Seguros, b) En todo caso, dicho artículo de la póliza es una abusiva del seguro, conforme a lo establecido en la Superintendencia de Banca y Seguros, debiéndose realizar un test para determinar si realmente hubo imprudencia o negligencia, c) Tratándose del numeral 6.4 de la resolución recurrida, en que se concluye que avería es lo mismo que un mal estado de funcionamiento, no se ha considerado la prueba ofrecida, el informe técnico forense de parte, y la doctrina de tránsito invocada, habiéndose recurrido a una interpretación en función al significado de los términos derivado del DRAE, violándose lo establecido artículo 91 de la Ley del Contrato de Seguro que exige de dolo o culpa grave para perder cobertura, d) Se solicita la aplicación del artículo 71 de la Ley del Contrato de Seguro, conforme al cual subsiste la cobertura cuando el asegurado prueba su falta de culpa, o que el incumplimiento obedece a una situación de caso fortuito, fuerza mayor o imposibilidad de hecho, e) Las exclusiones contenidas en los literales J y M no son derivadas por negligencia, sino por hechos que corresponden a una maniobra defensiva, siendo que las de los literales A e I tampoco aplican por lo expuesto, f) Respecto al numeral 6.5 de la resolución recurrida, estima que se realiza una interpretación de los alcances de la exclusión que no corresponde a los criterios de interpretación establecidos en la Ley del Contrato de Seguro, beneficiando a la aseguradora y perjudicando al asegurado, y g) En consecuencia, por el mérito de los argumentos invocados y de los medios probatorios ya presentados, que no han sido analizados debidamente al expedirse la resolución recurrida, se solicita que se revoque la resolución recurrida y se disponga el otorgamiento de cobertura;</w:t>
      </w:r>
    </w:p>
    <w:p w:rsidRPr="008F7C83" w:rsidR="008F7C83" w:rsidP="008F7C83" w:rsidRDefault="008F7C83" w14:paraId="7DD2158A"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8F7C83" w:rsidR="008F7C83" w:rsidP="16EA005D" w:rsidRDefault="008F7C83" w14:paraId="7F915D0B" w14:textId="39E9D5E5">
      <w:pPr>
        <w:suppressAutoHyphens/>
        <w:spacing w:after="0" w:line="240" w:lineRule="auto"/>
        <w:jc w:val="both"/>
        <w:rPr>
          <w:rFonts w:ascii="Times New Roman" w:hAnsi="Times New Roman" w:eastAsia="Times New Roman" w:cs="Times New Roman"/>
          <w:sz w:val="24"/>
          <w:szCs w:val="24"/>
          <w:lang w:val="es-MX" w:eastAsia="ar-SA"/>
        </w:rPr>
      </w:pPr>
      <w:r w:rsidRPr="16EA005D" w:rsidR="008F7C83">
        <w:rPr>
          <w:rFonts w:ascii="Times New Roman" w:hAnsi="Times New Roman" w:eastAsia="Times New Roman" w:cs="Times New Roman"/>
          <w:sz w:val="24"/>
          <w:szCs w:val="24"/>
          <w:lang w:val="es-MX" w:eastAsia="ar-SA"/>
        </w:rPr>
        <w:t xml:space="preserve">Que, habiéndosele corrido traslado de la señalada impugnación, </w:t>
      </w:r>
      <w:r w:rsidRPr="16EA005D" w:rsidR="2523DF6B">
        <w:rPr>
          <w:rFonts w:ascii="Times New Roman" w:hAnsi="Times New Roman" w:eastAsia="Times New Roman" w:cs="Times New Roman"/>
          <w:sz w:val="24"/>
          <w:szCs w:val="24"/>
          <w:lang w:val="es-MX" w:eastAsia="ar-SA"/>
        </w:rPr>
        <w:t>.....................................</w:t>
      </w:r>
      <w:r w:rsidRPr="16EA005D" w:rsidR="008F7C83">
        <w:rPr>
          <w:rFonts w:ascii="Times New Roman" w:hAnsi="Times New Roman" w:eastAsia="Times New Roman" w:cs="Times New Roman"/>
          <w:sz w:val="24"/>
          <w:szCs w:val="24"/>
          <w:lang w:val="es-MX" w:eastAsia="ar-SA"/>
        </w:rPr>
        <w:t xml:space="preserve"> no ha absuelto el trámite correspondiente;</w:t>
      </w:r>
    </w:p>
    <w:p w:rsidRPr="008F7C83" w:rsidR="008F7C83" w:rsidP="008F7C83" w:rsidRDefault="008F7C83" w14:paraId="06AB706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8F7C83" w:rsidR="008F7C83" w:rsidP="008F7C83" w:rsidRDefault="008F7C83" w14:paraId="7A03C734" w14:textId="77777777">
      <w:pPr>
        <w:suppressAutoHyphens/>
        <w:spacing w:after="0" w:line="240" w:lineRule="auto"/>
        <w:jc w:val="both"/>
        <w:rPr>
          <w:rFonts w:ascii="Times New Roman" w:hAnsi="Times New Roman" w:cs="Times New Roman"/>
          <w:bCs/>
          <w:sz w:val="24"/>
          <w:szCs w:val="24"/>
          <w:lang w:val="es-ES"/>
        </w:rPr>
      </w:pPr>
      <w:r w:rsidRPr="008F7C83">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8F7C83" w:rsidR="008F7C83" w:rsidP="008F7C83" w:rsidRDefault="008F7C83" w14:paraId="7DFE010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8F7C83" w:rsidR="008F7C83" w:rsidP="008F7C83" w:rsidRDefault="008F7C83" w14:paraId="147AACE2"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8F7C83">
        <w:rPr>
          <w:rFonts w:ascii="Times New Roman" w:hAnsi="Times New Roman" w:eastAsia="Times New Roman" w:cs="Times New Roman"/>
          <w:b/>
          <w:bCs/>
          <w:sz w:val="24"/>
          <w:szCs w:val="24"/>
          <w:lang w:val="es-MX" w:eastAsia="ar-SA"/>
        </w:rPr>
        <w:t>Considerando:</w:t>
      </w:r>
    </w:p>
    <w:p w:rsidRPr="008F7C83" w:rsidR="008F7C83" w:rsidP="008F7C83" w:rsidRDefault="008F7C83" w14:paraId="41472242" w14:textId="77777777">
      <w:pPr>
        <w:suppressAutoHyphens/>
        <w:spacing w:after="0" w:line="240" w:lineRule="auto"/>
        <w:jc w:val="both"/>
        <w:rPr>
          <w:rFonts w:ascii="Times New Roman" w:hAnsi="Times New Roman" w:eastAsia="Times New Roman" w:cs="Times New Roman"/>
          <w:sz w:val="24"/>
          <w:szCs w:val="24"/>
          <w:lang w:val="es-ES" w:eastAsia="ar-SA"/>
        </w:rPr>
      </w:pPr>
    </w:p>
    <w:p w:rsidRPr="008F7C83" w:rsidR="008F7C83" w:rsidP="008F7C83" w:rsidRDefault="008F7C83" w14:paraId="60FA14BE" w14:textId="77777777">
      <w:pPr>
        <w:spacing w:after="0" w:line="240" w:lineRule="auto"/>
        <w:jc w:val="both"/>
        <w:rPr>
          <w:rFonts w:ascii="Times New Roman" w:hAnsi="Times New Roman" w:cs="Times New Roman"/>
          <w:sz w:val="24"/>
          <w:szCs w:val="24"/>
          <w:lang w:val="es-PE"/>
        </w:rPr>
      </w:pPr>
      <w:r w:rsidRPr="008F7C83">
        <w:rPr>
          <w:rFonts w:ascii="Times New Roman" w:hAnsi="Times New Roman" w:cs="Times New Roman"/>
          <w:b/>
          <w:sz w:val="24"/>
          <w:szCs w:val="24"/>
          <w:u w:val="single"/>
          <w:lang w:val="es-PE"/>
        </w:rPr>
        <w:t>Primero</w:t>
      </w:r>
      <w:r w:rsidRPr="008F7C83">
        <w:rPr>
          <w:rFonts w:ascii="Times New Roman" w:hAnsi="Times New Roman" w:cs="Times New Roman"/>
          <w:b/>
          <w:sz w:val="24"/>
          <w:szCs w:val="24"/>
          <w:lang w:val="es-PE"/>
        </w:rPr>
        <w:t>:</w:t>
      </w:r>
      <w:r w:rsidRPr="008F7C83">
        <w:rPr>
          <w:rFonts w:ascii="Times New Roman" w:hAnsi="Times New Roman" w:cs="Times New Roman"/>
          <w:sz w:val="24"/>
          <w:szCs w:val="24"/>
          <w:lang w:val="es-PE"/>
        </w:rPr>
        <w:t xml:space="preserve"> El Reglamento de la DEFASEG </w:t>
      </w:r>
      <w:r w:rsidRPr="008F7C83">
        <w:rPr>
          <w:rFonts w:ascii="Times New Roman" w:hAnsi="Times New Roman" w:eastAsia="Arial Unicode MS" w:cs="Times New Roman"/>
          <w:sz w:val="24"/>
          <w:szCs w:val="24"/>
          <w:lang w:val="es-PE"/>
        </w:rPr>
        <w:t xml:space="preserve">(http://www.defaseg.com.pe/reglamento), en su artículo 10, </w:t>
      </w:r>
      <w:r w:rsidRPr="008F7C83">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8F7C83">
        <w:rPr>
          <w:rFonts w:ascii="Times New Roman" w:hAnsi="Times New Roman" w:cs="Times New Roman"/>
          <w:sz w:val="24"/>
          <w:szCs w:val="24"/>
          <w:lang w:val="es-ES"/>
        </w:rPr>
        <w:t>usuario de seguro recurre en forma voluntaria a la Defensoría, siendo que la presentación de una reclamación n</w:t>
      </w:r>
      <w:r w:rsidRPr="008F7C83">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8F7C83">
        <w:rPr>
          <w:rFonts w:ascii="Times New Roman" w:hAnsi="Times New Roman" w:cs="Times New Roman"/>
          <w:sz w:val="24"/>
          <w:szCs w:val="24"/>
          <w:lang w:val="es-PE"/>
        </w:rPr>
        <w:t>De acuerdo a</w:t>
      </w:r>
      <w:proofErr w:type="gramEnd"/>
      <w:r w:rsidRPr="008F7C83">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8F7C83" w:rsidR="008F7C83" w:rsidP="008F7C83" w:rsidRDefault="008F7C83" w14:paraId="74FAA3E6" w14:textId="77777777">
      <w:pPr>
        <w:spacing w:after="0" w:line="240" w:lineRule="auto"/>
        <w:jc w:val="both"/>
        <w:rPr>
          <w:rFonts w:ascii="Times New Roman" w:hAnsi="Times New Roman" w:cs="Times New Roman"/>
          <w:sz w:val="24"/>
          <w:szCs w:val="24"/>
          <w:lang w:val="es-PE"/>
        </w:rPr>
      </w:pPr>
    </w:p>
    <w:p w:rsidRPr="008F7C83" w:rsidR="008F7C83" w:rsidP="008F7C83" w:rsidRDefault="008F7C83" w14:paraId="4E6E9774" w14:textId="77777777">
      <w:pPr>
        <w:tabs>
          <w:tab w:val="left" w:pos="0"/>
          <w:tab w:val="left" w:pos="2160"/>
        </w:tabs>
        <w:spacing w:after="0" w:line="240" w:lineRule="auto"/>
        <w:jc w:val="both"/>
        <w:rPr>
          <w:rFonts w:ascii="Times New Roman" w:hAnsi="Times New Roman" w:cs="Times New Roman"/>
          <w:sz w:val="24"/>
          <w:szCs w:val="24"/>
          <w:lang w:val="es-ES"/>
        </w:rPr>
      </w:pPr>
      <w:r w:rsidRPr="008F7C83">
        <w:rPr>
          <w:rFonts w:ascii="Times New Roman" w:hAnsi="Times New Roman" w:cs="Times New Roman"/>
          <w:b/>
          <w:sz w:val="24"/>
          <w:szCs w:val="24"/>
          <w:u w:val="single"/>
          <w:lang w:val="es-PE"/>
        </w:rPr>
        <w:t>Segundo</w:t>
      </w:r>
      <w:r w:rsidRPr="008F7C83">
        <w:rPr>
          <w:rFonts w:ascii="Times New Roman" w:hAnsi="Times New Roman" w:cs="Times New Roman"/>
          <w:b/>
          <w:sz w:val="24"/>
          <w:szCs w:val="24"/>
          <w:lang w:val="es-PE"/>
        </w:rPr>
        <w:t>:</w:t>
      </w:r>
      <w:r w:rsidRPr="008F7C83">
        <w:rPr>
          <w:rFonts w:ascii="Times New Roman" w:hAnsi="Times New Roman" w:cs="Times New Roman"/>
          <w:sz w:val="24"/>
          <w:szCs w:val="24"/>
          <w:lang w:val="es-PE"/>
        </w:rPr>
        <w:t xml:space="preserve"> Atendiendo a los fundamentos de la impugnación interpuesta, se advierte que no se</w:t>
      </w:r>
      <w:r w:rsidRPr="008F7C83">
        <w:rPr>
          <w:rFonts w:ascii="Times New Roman" w:hAnsi="Times New Roman" w:cs="Times New Roman"/>
          <w:bCs/>
          <w:sz w:val="24"/>
          <w:szCs w:val="24"/>
          <w:lang w:val="es-PE"/>
        </w:rPr>
        <w:t xml:space="preserve"> expone ni acredita nuevo argumento que desautorice lo resuelto, de manera que el </w:t>
      </w:r>
      <w:r w:rsidRPr="008F7C83">
        <w:rPr>
          <w:rFonts w:ascii="Times New Roman" w:hAnsi="Times New Roman" w:cs="Times New Roman"/>
          <w:sz w:val="24"/>
          <w:szCs w:val="24"/>
          <w:lang w:val="es-ES"/>
        </w:rPr>
        <w:t>recurso impugnativo interpuesto puede ser categorizado, por su contenido mismo, como una solicitud de revisión general, sustentada exclusivamente en el criterio de la asegurada, sin aportar medio probatorio adicional que permita apreciar que este colegiado incurrió en un error o vicio al momento de resolver.  De la lectura del recurso impugnativo se aprecia dicha disconformidad, descalificándose lo resuelto por el solo hecho que no ha aceptado los argumentos de la reclamante, argumentos que evidencian una apreciable confusión entre el régimen contractual de exclusiones, la atribución de responsabilidad, y la calificación de la conducta ante la inobservancia de cargas y garantías, encontrándose cada uno de dichos supuestos bajo normas y pactos distintos.</w:t>
      </w:r>
    </w:p>
    <w:p w:rsidRPr="008F7C83" w:rsidR="008F7C83" w:rsidP="008F7C83" w:rsidRDefault="008F7C83" w14:paraId="03B5225F" w14:textId="77777777">
      <w:pPr>
        <w:tabs>
          <w:tab w:val="left" w:pos="0"/>
          <w:tab w:val="left" w:pos="2160"/>
        </w:tabs>
        <w:spacing w:after="0" w:line="240" w:lineRule="auto"/>
        <w:jc w:val="both"/>
        <w:rPr>
          <w:rFonts w:ascii="Times New Roman" w:hAnsi="Times New Roman" w:cs="Times New Roman"/>
          <w:sz w:val="24"/>
          <w:szCs w:val="24"/>
          <w:lang w:val="es-ES"/>
        </w:rPr>
      </w:pPr>
    </w:p>
    <w:p w:rsidRPr="008F7C83" w:rsidR="008F7C83" w:rsidP="008F7C83" w:rsidRDefault="008F7C83" w14:paraId="56F45932" w14:textId="77777777">
      <w:pPr>
        <w:tabs>
          <w:tab w:val="left" w:pos="0"/>
          <w:tab w:val="left" w:pos="2160"/>
        </w:tabs>
        <w:spacing w:after="0" w:line="240" w:lineRule="auto"/>
        <w:jc w:val="both"/>
        <w:rPr>
          <w:rFonts w:ascii="Times New Roman" w:hAnsi="Times New Roman" w:cs="Times New Roman"/>
          <w:sz w:val="24"/>
          <w:szCs w:val="24"/>
          <w:lang w:val="es-ES"/>
        </w:rPr>
      </w:pPr>
      <w:r w:rsidRPr="008F7C83">
        <w:rPr>
          <w:rFonts w:ascii="Times New Roman" w:hAnsi="Times New Roman" w:cs="Times New Roman"/>
          <w:b/>
          <w:bCs/>
          <w:sz w:val="24"/>
          <w:szCs w:val="24"/>
          <w:u w:val="single"/>
          <w:lang w:val="es-ES"/>
        </w:rPr>
        <w:t>Tercero</w:t>
      </w:r>
      <w:r w:rsidRPr="008F7C83">
        <w:rPr>
          <w:rFonts w:ascii="Times New Roman" w:hAnsi="Times New Roman" w:cs="Times New Roman"/>
          <w:b/>
          <w:bCs/>
          <w:sz w:val="24"/>
          <w:szCs w:val="24"/>
          <w:lang w:val="es-ES"/>
        </w:rPr>
        <w:t xml:space="preserve">: </w:t>
      </w:r>
      <w:r w:rsidRPr="008F7C83">
        <w:rPr>
          <w:rFonts w:ascii="Times New Roman" w:hAnsi="Times New Roman" w:cs="Times New Roman"/>
          <w:sz w:val="24"/>
          <w:szCs w:val="24"/>
          <w:lang w:val="es-ES"/>
        </w:rPr>
        <w:t>Sin perjuicio de lo señalado precedentemente, atendiendo al contenido de la impugnación interpuesta, este colegiado deja constancia de lo siguiente:</w:t>
      </w:r>
    </w:p>
    <w:p w:rsidRPr="008F7C83" w:rsidR="008F7C83" w:rsidP="008F7C83" w:rsidRDefault="008F7C83" w14:paraId="770EC653" w14:textId="77777777">
      <w:pPr>
        <w:tabs>
          <w:tab w:val="left" w:pos="0"/>
          <w:tab w:val="left" w:pos="2160"/>
        </w:tabs>
        <w:spacing w:after="0" w:line="240" w:lineRule="auto"/>
        <w:jc w:val="both"/>
        <w:rPr>
          <w:rFonts w:ascii="Times New Roman" w:hAnsi="Times New Roman" w:cs="Times New Roman"/>
          <w:sz w:val="24"/>
          <w:szCs w:val="24"/>
          <w:lang w:val="es-ES"/>
        </w:rPr>
      </w:pPr>
    </w:p>
    <w:p w:rsidRPr="008F7C83" w:rsidR="008F7C83" w:rsidP="008F7C83" w:rsidRDefault="008F7C83" w14:paraId="0CDB6554"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ES"/>
        </w:rPr>
      </w:pPr>
      <w:r w:rsidRPr="008F7C83">
        <w:rPr>
          <w:rFonts w:ascii="Times New Roman" w:hAnsi="Times New Roman" w:cs="Times New Roman"/>
          <w:sz w:val="24"/>
          <w:szCs w:val="24"/>
          <w:lang w:val="es-ES"/>
        </w:rPr>
        <w:t>3.1.</w:t>
      </w:r>
      <w:r w:rsidRPr="008F7C83">
        <w:rPr>
          <w:rFonts w:ascii="Times New Roman" w:hAnsi="Times New Roman" w:cs="Times New Roman"/>
          <w:sz w:val="24"/>
          <w:szCs w:val="24"/>
          <w:lang w:val="es-ES"/>
        </w:rPr>
        <w:tab/>
      </w:r>
      <w:r w:rsidRPr="008F7C83">
        <w:rPr>
          <w:rFonts w:ascii="Times New Roman" w:hAnsi="Times New Roman" w:cs="Times New Roman"/>
          <w:sz w:val="24"/>
          <w:szCs w:val="24"/>
          <w:lang w:val="es-ES"/>
        </w:rPr>
        <w:t>Las exclusiones de cobertura son una delimitación negativa del riesgo, corresponden a sucesos o circunstancias relacionados, directa o indirectamente, a su ocurrencia material o producción misma, a diferencia de las cargas, sean legales o contractuales, que se asocian a conductas a ser seguidas, en este caso por la asegurada, cuya inobservancia deriva en la caducidad de su derecho, siempre y cuando así haya sido advertida expresamente, y en la medida que dicha inobservancia provenga por dolo o culpa inexcusable.  En materia de seguros, las exclusiones son objetivas, son hechos, que deben estar identificados de manera clara y precisa, dado que se aplican literalmente.</w:t>
      </w:r>
    </w:p>
    <w:p w:rsidRPr="008F7C83" w:rsidR="008F7C83" w:rsidP="008F7C83" w:rsidRDefault="008F7C83" w14:paraId="57CAEEB4"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ES"/>
        </w:rPr>
      </w:pPr>
    </w:p>
    <w:p w:rsidRPr="008F7C83" w:rsidR="008F7C83" w:rsidP="008F7C83" w:rsidRDefault="008F7C83" w14:paraId="1F344928"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ES"/>
        </w:rPr>
      </w:pPr>
      <w:r w:rsidRPr="008F7C83">
        <w:rPr>
          <w:rFonts w:ascii="Times New Roman" w:hAnsi="Times New Roman" w:cs="Times New Roman"/>
          <w:sz w:val="24"/>
          <w:szCs w:val="24"/>
          <w:lang w:val="es-ES"/>
        </w:rPr>
        <w:t>3.2.</w:t>
      </w:r>
      <w:r w:rsidRPr="008F7C83">
        <w:rPr>
          <w:rFonts w:ascii="Times New Roman" w:hAnsi="Times New Roman" w:cs="Times New Roman"/>
          <w:sz w:val="24"/>
          <w:szCs w:val="24"/>
          <w:lang w:val="es-ES"/>
        </w:rPr>
        <w:tab/>
      </w:r>
      <w:r w:rsidRPr="008F7C83">
        <w:rPr>
          <w:rFonts w:ascii="Times New Roman" w:hAnsi="Times New Roman" w:cs="Times New Roman"/>
          <w:sz w:val="24"/>
          <w:szCs w:val="24"/>
          <w:lang w:val="es-ES"/>
        </w:rPr>
        <w:t>El artículo 71 de la Ley del Contrato de Seguro es ajeno al caso, es inaplicable, porque se refiere a la carga legal post siniestro de dar aviso oportuno de su ocurrencia a la aseguradora, conforme se aprecia de la lectura sistemática de los artículos 70 y 71 de la señalada ley.  Conforme se ha explicado precedentemente, lo relativo a la observancia o a la inobservancia de las cargas es una materia de calificación subjetiva, debiéndose analizar si hubo causa imputable o ausencia de culpa, tema ajeno a las exclusiones.</w:t>
      </w:r>
    </w:p>
    <w:p w:rsidRPr="008F7C83" w:rsidR="008F7C83" w:rsidP="008F7C83" w:rsidRDefault="008F7C83" w14:paraId="33E74E3C"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ES"/>
        </w:rPr>
      </w:pPr>
    </w:p>
    <w:p w:rsidRPr="008F7C83" w:rsidR="008F7C83" w:rsidP="008F7C83" w:rsidRDefault="008F7C83" w14:paraId="4BB1314F"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ES"/>
        </w:rPr>
      </w:pPr>
      <w:r w:rsidRPr="008F7C83">
        <w:rPr>
          <w:rFonts w:ascii="Times New Roman" w:hAnsi="Times New Roman" w:cs="Times New Roman"/>
          <w:sz w:val="24"/>
          <w:szCs w:val="24"/>
          <w:lang w:val="es-ES"/>
        </w:rPr>
        <w:t>3.3.</w:t>
      </w:r>
      <w:r w:rsidRPr="008F7C83">
        <w:rPr>
          <w:rFonts w:ascii="Times New Roman" w:hAnsi="Times New Roman" w:cs="Times New Roman"/>
          <w:sz w:val="24"/>
          <w:szCs w:val="24"/>
          <w:lang w:val="es-ES"/>
        </w:rPr>
        <w:tab/>
      </w:r>
      <w:r w:rsidRPr="008F7C83">
        <w:rPr>
          <w:rFonts w:ascii="Times New Roman" w:hAnsi="Times New Roman" w:cs="Times New Roman"/>
          <w:sz w:val="24"/>
          <w:szCs w:val="24"/>
          <w:lang w:val="es-ES"/>
        </w:rPr>
        <w:t xml:space="preserve">Se estima que el fundamento jurídico de una reclamación o de una impugnación no radica en citar o referir al mayor número de normas, sino en invocar las que sean pertinentes, debidamente contextualizadas, evitando generar expectativas que carecen de legitimidad.  Conforme a ello, la cuestión radica si la interpretación que este colegiado adoptó sobre lo qué es una avería corresponde o no a una evidencia de mal funcionamiento del sistema de frenos.  La interpretación de este colegiado ha sido </w:t>
      </w:r>
      <w:r w:rsidRPr="008F7C83">
        <w:rPr>
          <w:rFonts w:ascii="Times New Roman" w:hAnsi="Times New Roman" w:cs="Times New Roman"/>
          <w:sz w:val="24"/>
          <w:szCs w:val="24"/>
          <w:lang w:val="es-ES"/>
        </w:rPr>
        <w:t>ampliamente justificada en la resolución recurrida, por lo que carece de sustento objetivo descalificarla por el solo hecho que no corresponde a la que se postula la reclamante.  Por la circunstancia que la reclamante presente un medio de prueba, una pericia que propone una determinada interpretación, ello no significa que este colegiado debe estimarla y acogerla necesariamente, porque la calificación de los contenidos probatorios está sujeta al criterio de este colegiado, a la sana crítica y a la convicción que genera.  Siendo que este colegiado resuelve conforme a derecho, tiene muy presente que, en situaciones límite de interpretación, cuando existe argumentos consistentes por igual tanto de una parte como de otra, en caso de duda insalvable de cuál adoptar, correspondería inclinarse por la parte asegurada.  Esa situación no se aprecia en el presente caso, porque la reclamante parte de la lamentable confusión conceptual de representarse que la debida aplicación de una exclusión demanda que la asegurada incurra en causa imputable, concretamente en dolo o culpa grave o inexcusable (habiendo orientado su defensa a demostrar que no hubo tal dolo o culpa grave), lo cual no es así, o postulado erróneamente que debe mediar causalidad directa e inmediata entre el evento previsto como exclusión y el siniestro, haciendo caso omiso a lo que se pactó expresamente en la póliza, conforme a lo cual se ha previsto causalidad directa o indirecta, no necesariamente concluyente, pacto que no corresponde a pacto alguno susceptible de ser calificado como arbitrario o abusivo, al calificarse sus alcances con lo sancionado en el artículo 39 de la Ley del Contrato de Seguro y demás normativa aplicable.</w:t>
      </w:r>
    </w:p>
    <w:p w:rsidRPr="008F7C83" w:rsidR="008F7C83" w:rsidP="008F7C83" w:rsidRDefault="008F7C83" w14:paraId="67BD718C" w14:textId="77777777">
      <w:pPr>
        <w:tabs>
          <w:tab w:val="left" w:pos="0"/>
          <w:tab w:val="left" w:pos="2160"/>
        </w:tabs>
        <w:spacing w:after="0" w:line="240" w:lineRule="auto"/>
        <w:jc w:val="both"/>
        <w:rPr>
          <w:rFonts w:ascii="Times New Roman" w:hAnsi="Times New Roman" w:cs="Times New Roman"/>
          <w:sz w:val="24"/>
          <w:szCs w:val="24"/>
          <w:lang w:val="es-ES"/>
        </w:rPr>
      </w:pPr>
    </w:p>
    <w:p w:rsidRPr="008F7C83" w:rsidR="008F7C83" w:rsidP="008F7C83" w:rsidRDefault="008F7C83" w14:paraId="69B9FD7F" w14:textId="77777777">
      <w:pPr>
        <w:tabs>
          <w:tab w:val="left" w:pos="2160"/>
        </w:tabs>
        <w:spacing w:after="0" w:line="240" w:lineRule="auto"/>
        <w:jc w:val="both"/>
        <w:rPr>
          <w:rFonts w:ascii="Times New Roman" w:hAnsi="Times New Roman" w:cs="Times New Roman"/>
          <w:sz w:val="24"/>
          <w:szCs w:val="24"/>
          <w:lang w:val="es-ES"/>
        </w:rPr>
      </w:pPr>
      <w:r w:rsidRPr="008F7C83">
        <w:rPr>
          <w:rFonts w:ascii="Times New Roman" w:hAnsi="Times New Roman" w:cs="Times New Roman"/>
          <w:sz w:val="24"/>
          <w:szCs w:val="24"/>
          <w:lang w:val="es-ES"/>
        </w:rPr>
        <w:t>En atención a las consideraciones precedentes, ratificando íntegramente el análisis y conclusión contenidos en la resolución recurrida, este colegiado aprecia que no existe mérito, argumento ni prueba que justifique revocar la resolución recurrida; por lo tanto,</w:t>
      </w:r>
    </w:p>
    <w:p w:rsidRPr="008F7C83" w:rsidR="008F7C83" w:rsidP="008F7C83" w:rsidRDefault="008F7C83" w14:paraId="1F3ED1B9" w14:textId="77777777">
      <w:pPr>
        <w:spacing w:after="0" w:line="240" w:lineRule="auto"/>
        <w:jc w:val="both"/>
        <w:rPr>
          <w:rFonts w:ascii="Times New Roman" w:hAnsi="Times New Roman" w:eastAsia="Times New Roman" w:cs="Times New Roman"/>
          <w:bCs/>
          <w:sz w:val="24"/>
          <w:szCs w:val="24"/>
          <w:lang w:val="es-ES" w:eastAsia="ar-SA"/>
        </w:rPr>
      </w:pPr>
    </w:p>
    <w:p w:rsidRPr="008F7C83" w:rsidR="008F7C83" w:rsidP="008F7C83" w:rsidRDefault="008F7C83" w14:paraId="48005EDA" w14:textId="77777777">
      <w:pPr>
        <w:spacing w:after="0" w:line="240" w:lineRule="auto"/>
        <w:jc w:val="both"/>
        <w:rPr>
          <w:rFonts w:ascii="Times New Roman" w:hAnsi="Times New Roman" w:cs="Times New Roman"/>
          <w:b/>
          <w:sz w:val="24"/>
          <w:szCs w:val="24"/>
          <w:lang w:val="es-PE"/>
        </w:rPr>
      </w:pPr>
      <w:r w:rsidRPr="008F7C83">
        <w:rPr>
          <w:rFonts w:ascii="Times New Roman" w:hAnsi="Times New Roman" w:cs="Times New Roman"/>
          <w:b/>
          <w:sz w:val="24"/>
          <w:szCs w:val="24"/>
          <w:lang w:val="es-PE"/>
        </w:rPr>
        <w:t>Atendiendo a lo expresado, conforme a su reglamento, este colegiado resuelve:</w:t>
      </w:r>
    </w:p>
    <w:p w:rsidRPr="008F7C83" w:rsidR="008F7C83" w:rsidP="008F7C83" w:rsidRDefault="008F7C83" w14:paraId="5143B752" w14:textId="77777777">
      <w:pPr>
        <w:spacing w:after="0" w:line="240" w:lineRule="auto"/>
        <w:jc w:val="both"/>
        <w:rPr>
          <w:rFonts w:ascii="Times New Roman" w:hAnsi="Times New Roman" w:eastAsia="Arial Unicode MS" w:cs="Times New Roman"/>
          <w:b/>
          <w:sz w:val="24"/>
          <w:szCs w:val="24"/>
          <w:lang w:val="es-PE"/>
        </w:rPr>
      </w:pPr>
    </w:p>
    <w:p w:rsidRPr="008F7C83" w:rsidR="008F7C83" w:rsidP="008F7C83" w:rsidRDefault="008F7C83" w14:paraId="2DDCB4BC" w14:textId="60A3580B">
      <w:pPr>
        <w:spacing w:after="0" w:line="240" w:lineRule="auto"/>
        <w:jc w:val="both"/>
        <w:rPr>
          <w:rFonts w:ascii="Times New Roman" w:hAnsi="Times New Roman" w:eastAsia="Times New Roman" w:cs="Times New Roman"/>
          <w:sz w:val="24"/>
          <w:szCs w:val="24"/>
          <w:lang w:val="es-ES" w:eastAsia="ar-SA"/>
        </w:rPr>
      </w:pPr>
      <w:r w:rsidRPr="16EA005D" w:rsidR="008F7C83">
        <w:rPr>
          <w:rFonts w:ascii="Times New Roman" w:hAnsi="Times New Roman" w:eastAsia="Arial Unicode MS" w:cs="Times New Roman"/>
          <w:b w:val="1"/>
          <w:bCs w:val="1"/>
          <w:sz w:val="24"/>
          <w:szCs w:val="24"/>
          <w:lang w:val="es-PE"/>
        </w:rPr>
        <w:t xml:space="preserve">Declarar INFUNDADO el recurso impugnativo </w:t>
      </w:r>
      <w:r w:rsidRPr="16EA005D" w:rsidR="008F7C83">
        <w:rPr>
          <w:rFonts w:ascii="Times New Roman" w:hAnsi="Times New Roman" w:eastAsia="Arial Unicode MS" w:cs="Times New Roman"/>
          <w:sz w:val="24"/>
          <w:szCs w:val="24"/>
          <w:lang w:val="es-PE"/>
        </w:rPr>
        <w:t xml:space="preserve">interpuesto por </w:t>
      </w:r>
      <w:r w:rsidRPr="16EA005D" w:rsidR="0B01EF2A">
        <w:rPr>
          <w:rFonts w:ascii="Times New Roman" w:hAnsi="Times New Roman" w:cs="Times New Roman"/>
          <w:sz w:val="24"/>
          <w:szCs w:val="24"/>
          <w:lang w:val="es-ES"/>
        </w:rPr>
        <w:t>.......................................................</w:t>
      </w:r>
      <w:r w:rsidRPr="16EA005D" w:rsidR="008F7C83">
        <w:rPr>
          <w:rFonts w:ascii="Times New Roman" w:hAnsi="Times New Roman" w:eastAsia="Times New Roman" w:cs="Times New Roman"/>
          <w:sz w:val="24"/>
          <w:szCs w:val="24"/>
          <w:lang w:val="es-ES" w:eastAsia="ar-SA"/>
        </w:rPr>
        <w:t xml:space="preserve"> y, por consiguiente, ratificar la Resolución Nro. 007/22, de fecha 18 de enero de 2022.</w:t>
      </w:r>
    </w:p>
    <w:p w:rsidRPr="008F7C83" w:rsidR="00231C58" w:rsidP="00CD1FB3" w:rsidRDefault="00231C58" w14:paraId="2269147E" w14:textId="77777777">
      <w:pPr>
        <w:suppressAutoHyphens/>
        <w:spacing w:after="0" w:line="240" w:lineRule="auto"/>
        <w:outlineLvl w:val="0"/>
        <w:rPr>
          <w:rFonts w:ascii="Times New Roman" w:hAnsi="Times New Roman" w:eastAsia="Arial Unicode MS" w:cs="Times New Roman"/>
          <w:sz w:val="24"/>
          <w:szCs w:val="24"/>
          <w:lang w:val="es-ES" w:eastAsia="ar-SA"/>
        </w:rPr>
      </w:pPr>
    </w:p>
    <w:p w:rsidRPr="008F7C83" w:rsidR="00077B6F" w:rsidP="00C671F5" w:rsidRDefault="0091528B" w14:paraId="78A39B5B" w14:textId="2F92E942">
      <w:pPr>
        <w:suppressAutoHyphens/>
        <w:spacing w:after="0" w:line="240" w:lineRule="auto"/>
        <w:jc w:val="right"/>
        <w:outlineLvl w:val="0"/>
        <w:rPr>
          <w:rFonts w:ascii="Times New Roman" w:hAnsi="Times New Roman" w:eastAsia="Arial Unicode MS" w:cs="Times New Roman"/>
          <w:sz w:val="24"/>
          <w:szCs w:val="24"/>
          <w:lang w:val="es-PE" w:eastAsia="ar-SA"/>
        </w:rPr>
      </w:pPr>
      <w:r w:rsidRPr="008F7C83">
        <w:rPr>
          <w:rFonts w:ascii="Times New Roman" w:hAnsi="Times New Roman" w:eastAsia="Arial Unicode MS" w:cs="Times New Roman"/>
          <w:sz w:val="24"/>
          <w:szCs w:val="24"/>
          <w:lang w:val="es-PE" w:eastAsia="ar-SA"/>
        </w:rPr>
        <w:t xml:space="preserve">Lima, </w:t>
      </w:r>
      <w:r w:rsidRPr="008F7C83" w:rsidR="00966AEB">
        <w:rPr>
          <w:rFonts w:ascii="Times New Roman" w:hAnsi="Times New Roman" w:eastAsia="Arial Unicode MS" w:cs="Times New Roman"/>
          <w:sz w:val="24"/>
          <w:szCs w:val="24"/>
          <w:lang w:val="es-PE" w:eastAsia="ar-SA"/>
        </w:rPr>
        <w:t>02</w:t>
      </w:r>
      <w:r w:rsidRPr="008F7C83" w:rsidR="00707C99">
        <w:rPr>
          <w:rFonts w:ascii="Times New Roman" w:hAnsi="Times New Roman" w:eastAsia="Arial Unicode MS" w:cs="Times New Roman"/>
          <w:sz w:val="24"/>
          <w:szCs w:val="24"/>
          <w:lang w:val="es-PE" w:eastAsia="ar-SA"/>
        </w:rPr>
        <w:t xml:space="preserve"> de </w:t>
      </w:r>
      <w:r w:rsidRPr="008F7C83" w:rsidR="00966AEB">
        <w:rPr>
          <w:rFonts w:ascii="Times New Roman" w:hAnsi="Times New Roman" w:eastAsia="Arial Unicode MS" w:cs="Times New Roman"/>
          <w:sz w:val="24"/>
          <w:szCs w:val="24"/>
          <w:lang w:val="es-PE" w:eastAsia="ar-SA"/>
        </w:rPr>
        <w:t>febrero</w:t>
      </w:r>
      <w:r w:rsidRPr="008F7C83" w:rsidR="00F06498">
        <w:rPr>
          <w:rFonts w:ascii="Times New Roman" w:hAnsi="Times New Roman" w:eastAsia="Arial Unicode MS" w:cs="Times New Roman"/>
          <w:sz w:val="24"/>
          <w:szCs w:val="24"/>
          <w:lang w:val="es-PE" w:eastAsia="ar-SA"/>
        </w:rPr>
        <w:t xml:space="preserve"> de 202</w:t>
      </w:r>
      <w:r w:rsidRPr="008F7C83" w:rsidR="00B93C7A">
        <w:rPr>
          <w:rFonts w:ascii="Times New Roman" w:hAnsi="Times New Roman" w:eastAsia="Arial Unicode MS" w:cs="Times New Roman"/>
          <w:sz w:val="24"/>
          <w:szCs w:val="24"/>
          <w:lang w:val="es-PE" w:eastAsia="ar-SA"/>
        </w:rPr>
        <w:t>2</w:t>
      </w:r>
      <w:r w:rsidRPr="008F7C83" w:rsidR="00707C99">
        <w:rPr>
          <w:rFonts w:ascii="Times New Roman" w:hAnsi="Times New Roman" w:eastAsia="Times New Roman" w:cs="Times New Roman"/>
          <w:sz w:val="24"/>
          <w:szCs w:val="24"/>
          <w:lang w:val="es-PE" w:eastAsia="ar-SA"/>
        </w:rPr>
        <w:t xml:space="preserve"> </w:t>
      </w:r>
    </w:p>
    <w:p w:rsidRPr="00490F9F"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490F9F"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490F9F"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490F9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490F9F"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490F9F"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 xml:space="preserve">María Eugenia Valdez Fernández Baca </w:t>
      </w:r>
      <w:r w:rsidRPr="00490F9F" w:rsidR="00C671F5">
        <w:rPr>
          <w:rFonts w:ascii="Times New Roman" w:hAnsi="Times New Roman" w:cs="Times New Roman"/>
          <w:b/>
          <w:bCs/>
          <w:sz w:val="24"/>
          <w:szCs w:val="24"/>
          <w:lang w:val="es-PE"/>
        </w:rPr>
        <w:t xml:space="preserve">– </w:t>
      </w:r>
      <w:proofErr w:type="gramStart"/>
      <w:r w:rsidRPr="00490F9F" w:rsidR="00C671F5">
        <w:rPr>
          <w:rFonts w:ascii="Times New Roman" w:hAnsi="Times New Roman" w:cs="Times New Roman"/>
          <w:b/>
          <w:bCs/>
          <w:sz w:val="24"/>
          <w:szCs w:val="24"/>
          <w:lang w:val="es-PE"/>
        </w:rPr>
        <w:t>Presidente</w:t>
      </w:r>
      <w:proofErr w:type="gramEnd"/>
    </w:p>
    <w:p w:rsidRPr="00490F9F" w:rsidR="00C671F5" w:rsidP="00C671F5" w:rsidRDefault="00231C58" w14:paraId="7CE41ADF" w14:textId="69B108BA">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 xml:space="preserve">Rolando Eyzaguirre </w:t>
      </w:r>
      <w:proofErr w:type="spellStart"/>
      <w:r w:rsidRPr="00490F9F">
        <w:rPr>
          <w:rFonts w:ascii="Times New Roman" w:hAnsi="Times New Roman" w:cs="Times New Roman"/>
          <w:b/>
          <w:bCs/>
          <w:sz w:val="24"/>
          <w:szCs w:val="24"/>
          <w:lang w:val="es-PE"/>
        </w:rPr>
        <w:t>Maccan</w:t>
      </w:r>
      <w:proofErr w:type="spellEnd"/>
      <w:r w:rsidRPr="00490F9F">
        <w:rPr>
          <w:rFonts w:ascii="Times New Roman" w:hAnsi="Times New Roman" w:cs="Times New Roman"/>
          <w:b/>
          <w:bCs/>
          <w:sz w:val="24"/>
          <w:szCs w:val="24"/>
          <w:lang w:val="es-PE"/>
        </w:rPr>
        <w:t xml:space="preserve"> </w:t>
      </w:r>
      <w:r w:rsidRPr="00490F9F" w:rsidR="00C671F5">
        <w:rPr>
          <w:rFonts w:ascii="Times New Roman" w:hAnsi="Times New Roman" w:cs="Times New Roman"/>
          <w:b/>
          <w:bCs/>
          <w:sz w:val="24"/>
          <w:szCs w:val="24"/>
          <w:lang w:val="es-PE"/>
        </w:rPr>
        <w:t>– Vocal</w:t>
      </w:r>
    </w:p>
    <w:p w:rsidRPr="00490F9F" w:rsidR="00C671F5" w:rsidP="00C671F5" w:rsidRDefault="00C671F5" w14:paraId="55E7D9D7" w14:textId="77777777">
      <w:pPr>
        <w:spacing w:after="0" w:line="360" w:lineRule="auto"/>
        <w:jc w:val="center"/>
        <w:rPr>
          <w:rFonts w:ascii="Times New Roman" w:hAnsi="Times New Roman" w:cs="Times New Roman"/>
          <w:b/>
          <w:bCs/>
          <w:sz w:val="24"/>
          <w:szCs w:val="24"/>
          <w:lang w:val="es-PE"/>
        </w:rPr>
      </w:pPr>
      <w:r w:rsidRPr="00490F9F">
        <w:rPr>
          <w:rFonts w:ascii="Times New Roman" w:hAnsi="Times New Roman" w:cs="Times New Roman"/>
          <w:b/>
          <w:bCs/>
          <w:sz w:val="24"/>
          <w:szCs w:val="24"/>
          <w:lang w:val="es-PE"/>
        </w:rPr>
        <w:t>Marco Antonio Ortega Piana – Vocal</w:t>
      </w:r>
    </w:p>
    <w:p w:rsidRPr="00490F9F"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490F9F">
        <w:rPr>
          <w:rFonts w:ascii="Times New Roman" w:hAnsi="Times New Roman" w:cs="Times New Roman"/>
          <w:b/>
          <w:bCs/>
          <w:sz w:val="24"/>
          <w:szCs w:val="24"/>
          <w:lang w:val="es-PE"/>
        </w:rPr>
        <w:t xml:space="preserve">Gonzalo Abad del Busto </w:t>
      </w:r>
      <w:r w:rsidRPr="00490F9F" w:rsidR="00231C58">
        <w:rPr>
          <w:rFonts w:ascii="Times New Roman" w:hAnsi="Times New Roman" w:cs="Times New Roman"/>
          <w:b/>
          <w:bCs/>
          <w:sz w:val="24"/>
          <w:szCs w:val="24"/>
          <w:lang w:val="es-PE"/>
        </w:rPr>
        <w:t xml:space="preserve">– </w:t>
      </w:r>
      <w:r w:rsidRPr="00490F9F">
        <w:rPr>
          <w:rFonts w:ascii="Times New Roman" w:hAnsi="Times New Roman" w:cs="Times New Roman"/>
          <w:b/>
          <w:bCs/>
          <w:sz w:val="24"/>
          <w:szCs w:val="24"/>
          <w:lang w:val="es-PE"/>
        </w:rPr>
        <w:t>Vocal</w:t>
      </w:r>
    </w:p>
    <w:p w:rsidRPr="00490F9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90F9F"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490F9F"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4E53" w:rsidP="00784355" w:rsidRDefault="00A44E53" w14:paraId="7B4597D7" w14:textId="77777777">
      <w:pPr>
        <w:spacing w:after="0" w:line="240" w:lineRule="auto"/>
      </w:pPr>
      <w:r>
        <w:separator/>
      </w:r>
    </w:p>
  </w:endnote>
  <w:endnote w:type="continuationSeparator" w:id="0">
    <w:p w:rsidR="00A44E53" w:rsidP="00784355" w:rsidRDefault="00A44E53" w14:paraId="0328788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4E53" w:rsidP="00784355" w:rsidRDefault="00A44E53" w14:paraId="11FC722A" w14:textId="77777777">
      <w:pPr>
        <w:spacing w:after="0" w:line="240" w:lineRule="auto"/>
      </w:pPr>
      <w:r>
        <w:separator/>
      </w:r>
    </w:p>
  </w:footnote>
  <w:footnote w:type="continuationSeparator" w:id="0">
    <w:p w:rsidR="00A44E53" w:rsidP="00784355" w:rsidRDefault="00A44E53" w14:paraId="4E653A0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B01EF2A"/>
    <w:rsid w:val="16EA005D"/>
    <w:rsid w:val="2523DF6B"/>
    <w:rsid w:val="3421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A806694-209C-413B-B3F3-2C4E66ECBEE1}"/>
</file>

<file path=customXml/itemProps3.xml><?xml version="1.0" encoding="utf-8"?>
<ds:datastoreItem xmlns:ds="http://schemas.openxmlformats.org/officeDocument/2006/customXml" ds:itemID="{D1D7938A-8769-4A84-9855-DCC6D63C9794}"/>
</file>

<file path=customXml/itemProps4.xml><?xml version="1.0" encoding="utf-8"?>
<ds:datastoreItem xmlns:ds="http://schemas.openxmlformats.org/officeDocument/2006/customXml" ds:itemID="{4B15F387-CD40-4210-A898-3C6CC758C5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20</cp:revision>
  <cp:lastPrinted>2022-02-03T11:37:00Z</cp:lastPrinted>
  <dcterms:created xsi:type="dcterms:W3CDTF">2020-12-18T20:17:00Z</dcterms:created>
  <dcterms:modified xsi:type="dcterms:W3CDTF">2025-11-25T19:43:55Z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