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221" w:rsidR="00707C99" w:rsidP="00272F4F" w:rsidRDefault="00201C0D" w14:paraId="19FE0E96" w14:textId="4F0A7969">
      <w:pPr>
        <w:spacing w:after="0" w:line="240" w:lineRule="auto"/>
        <w:jc w:val="center"/>
        <w:rPr>
          <w:rFonts w:ascii="Times New Roman" w:hAnsi="Times New Roman" w:cs="Times New Roman"/>
          <w:b/>
          <w:sz w:val="24"/>
          <w:szCs w:val="24"/>
          <w:lang w:val="es-PE" w:eastAsia="ar-SA"/>
        </w:rPr>
      </w:pPr>
      <w:r w:rsidRPr="00303221">
        <w:rPr>
          <w:rFonts w:ascii="Times New Roman" w:hAnsi="Times New Roman" w:cs="Times New Roman"/>
          <w:b/>
          <w:sz w:val="24"/>
          <w:szCs w:val="24"/>
          <w:lang w:val="es-PE" w:eastAsia="ar-SA"/>
        </w:rPr>
        <w:t xml:space="preserve">RESOLUCIÓN DE RECURSO IMPUGNATIVO </w:t>
      </w:r>
      <w:r w:rsidRPr="00303221" w:rsidR="00707C99">
        <w:rPr>
          <w:rFonts w:ascii="Times New Roman" w:hAnsi="Times New Roman" w:cs="Times New Roman"/>
          <w:b/>
          <w:sz w:val="24"/>
          <w:szCs w:val="24"/>
          <w:lang w:val="es-PE" w:eastAsia="ar-SA"/>
        </w:rPr>
        <w:t xml:space="preserve">N° </w:t>
      </w:r>
      <w:r w:rsidRPr="00303221" w:rsidR="00C671F5">
        <w:rPr>
          <w:rFonts w:ascii="Times New Roman" w:hAnsi="Times New Roman" w:cs="Times New Roman"/>
          <w:b/>
          <w:sz w:val="24"/>
          <w:szCs w:val="24"/>
          <w:lang w:val="es-PE" w:eastAsia="ar-SA"/>
        </w:rPr>
        <w:t>0</w:t>
      </w:r>
      <w:r w:rsidRPr="00303221" w:rsidR="00231C58">
        <w:rPr>
          <w:rFonts w:ascii="Times New Roman" w:hAnsi="Times New Roman" w:cs="Times New Roman"/>
          <w:b/>
          <w:sz w:val="24"/>
          <w:szCs w:val="24"/>
          <w:lang w:val="es-PE" w:eastAsia="ar-SA"/>
        </w:rPr>
        <w:t>0</w:t>
      </w:r>
      <w:r w:rsidRPr="00303221" w:rsidR="001A4A70">
        <w:rPr>
          <w:rFonts w:ascii="Times New Roman" w:hAnsi="Times New Roman" w:cs="Times New Roman"/>
          <w:b/>
          <w:sz w:val="24"/>
          <w:szCs w:val="24"/>
          <w:lang w:val="es-PE" w:eastAsia="ar-SA"/>
        </w:rPr>
        <w:t>6</w:t>
      </w:r>
      <w:r w:rsidRPr="00303221" w:rsidR="00C671F5">
        <w:rPr>
          <w:rFonts w:ascii="Times New Roman" w:hAnsi="Times New Roman" w:cs="Times New Roman"/>
          <w:b/>
          <w:sz w:val="24"/>
          <w:szCs w:val="24"/>
          <w:lang w:val="es-PE" w:eastAsia="ar-SA"/>
        </w:rPr>
        <w:t>/2</w:t>
      </w:r>
      <w:r w:rsidRPr="00303221" w:rsidR="00B93C7A">
        <w:rPr>
          <w:rFonts w:ascii="Times New Roman" w:hAnsi="Times New Roman" w:cs="Times New Roman"/>
          <w:b/>
          <w:sz w:val="24"/>
          <w:szCs w:val="24"/>
          <w:lang w:val="es-PE" w:eastAsia="ar-SA"/>
        </w:rPr>
        <w:t>2</w:t>
      </w:r>
    </w:p>
    <w:p w:rsidRPr="00303221" w:rsidR="00303221" w:rsidP="00303221" w:rsidRDefault="00303221" w14:paraId="0833CB8A" w14:textId="77777777">
      <w:pPr>
        <w:suppressAutoHyphens/>
        <w:jc w:val="both"/>
        <w:outlineLvl w:val="0"/>
        <w:rPr>
          <w:rFonts w:ascii="Times New Roman" w:hAnsi="Times New Roman" w:eastAsia="Times New Roman" w:cs="Times New Roman"/>
          <w:b/>
          <w:bCs/>
          <w:sz w:val="24"/>
          <w:szCs w:val="24"/>
          <w:lang w:val="es-MX" w:eastAsia="ar-SA"/>
        </w:rPr>
      </w:pPr>
      <w:r w:rsidRPr="00303221">
        <w:rPr>
          <w:rFonts w:ascii="Times New Roman" w:hAnsi="Times New Roman" w:eastAsia="Times New Roman" w:cs="Times New Roman"/>
          <w:b/>
          <w:bCs/>
          <w:sz w:val="24"/>
          <w:szCs w:val="24"/>
          <w:lang w:val="es-MX" w:eastAsia="ar-SA"/>
        </w:rPr>
        <w:t>Vistos:</w:t>
      </w:r>
    </w:p>
    <w:p w:rsidRPr="00303221" w:rsidR="00303221" w:rsidP="00303221" w:rsidRDefault="00303221" w14:paraId="0D61D047" w14:textId="47518B88">
      <w:pPr>
        <w:suppressAutoHyphens/>
        <w:jc w:val="both"/>
        <w:rPr>
          <w:rFonts w:ascii="Times New Roman" w:hAnsi="Times New Roman" w:eastAsia="Times New Roman" w:cs="Times New Roman"/>
          <w:b w:val="1"/>
          <w:bCs w:val="1"/>
          <w:sz w:val="24"/>
          <w:szCs w:val="24"/>
          <w:lang w:val="es-MX" w:eastAsia="ar-SA"/>
        </w:rPr>
      </w:pPr>
      <w:r w:rsidRPr="12DAF3C0" w:rsidR="00303221">
        <w:rPr>
          <w:rFonts w:ascii="Times New Roman" w:hAnsi="Times New Roman" w:eastAsia="Times New Roman" w:cs="Times New Roman"/>
          <w:b w:val="1"/>
          <w:bCs w:val="1"/>
          <w:sz w:val="24"/>
          <w:szCs w:val="24"/>
          <w:lang w:val="es-MX" w:eastAsia="ar-SA"/>
        </w:rPr>
        <w:t xml:space="preserve">   </w:t>
      </w:r>
      <w:r w:rsidRPr="12DAF3C0" w:rsidR="00303221">
        <w:rPr>
          <w:rFonts w:ascii="Times New Roman" w:hAnsi="Times New Roman" w:eastAsia="Times New Roman" w:cs="Times New Roman"/>
          <w:sz w:val="24"/>
          <w:szCs w:val="24"/>
          <w:lang w:val="es-ES" w:eastAsia="ar-SA"/>
        </w:rPr>
        <w:t xml:space="preserve">El recurso de impugnación presentado con fecha 10 de enero de 2022 </w:t>
      </w:r>
      <w:r w:rsidRPr="12DAF3C0" w:rsidR="00303221">
        <w:rPr>
          <w:rFonts w:ascii="Times New Roman" w:hAnsi="Times New Roman" w:eastAsia="Times New Roman" w:cs="Times New Roman"/>
          <w:sz w:val="24"/>
          <w:szCs w:val="24"/>
          <w:lang w:val="es-ES" w:eastAsia="ar-SA"/>
        </w:rPr>
        <w:t xml:space="preserve">por  </w:t>
      </w:r>
      <w:r w:rsidRPr="12DAF3C0" w:rsidR="0FFC5EF6">
        <w:rPr>
          <w:rFonts w:ascii="Times New Roman" w:hAnsi="Times New Roman" w:eastAsia="Times New Roman" w:cs="Times New Roman"/>
          <w:sz w:val="24"/>
          <w:szCs w:val="24"/>
          <w:lang w:val="es-ES" w:eastAsia="ar-SA"/>
        </w:rPr>
        <w:t>................................................</w:t>
      </w:r>
      <w:r w:rsidRPr="12DAF3C0" w:rsidR="00303221">
        <w:rPr>
          <w:rFonts w:ascii="Times New Roman" w:hAnsi="Times New Roman" w:eastAsia="Times New Roman" w:cs="Times New Roman"/>
          <w:sz w:val="24"/>
          <w:szCs w:val="24"/>
          <w:lang w:val="es-ES" w:eastAsia="ar-SA"/>
        </w:rPr>
        <w:t xml:space="preserve"> respecto de la Resolución Nro. 179/2021, que declaró FUNDADA EN PARTE </w:t>
      </w:r>
      <w:r w:rsidRPr="12DAF3C0" w:rsidR="00303221">
        <w:rPr>
          <w:rFonts w:ascii="Times New Roman" w:hAnsi="Times New Roman" w:eastAsia="Arial Unicode MS" w:cs="Times New Roman"/>
          <w:sz w:val="24"/>
          <w:szCs w:val="24"/>
          <w:lang w:val="es-PE"/>
        </w:rPr>
        <w:t>la reclamación interpuesta</w:t>
      </w:r>
      <w:bookmarkStart w:name="OLE_LINK2" w:id="0"/>
      <w:r w:rsidRPr="12DAF3C0" w:rsidR="00303221">
        <w:rPr>
          <w:rFonts w:ascii="Times New Roman" w:hAnsi="Times New Roman" w:eastAsia="Arial Unicode MS" w:cs="Times New Roman"/>
          <w:sz w:val="24"/>
          <w:szCs w:val="24"/>
          <w:lang w:val="es-PE"/>
        </w:rPr>
        <w:t xml:space="preserve"> contra </w:t>
      </w:r>
      <w:r w:rsidRPr="12DAF3C0" w:rsidR="59425FF2">
        <w:rPr>
          <w:rFonts w:ascii="Times New Roman" w:hAnsi="Times New Roman" w:eastAsia="Arial Unicode MS" w:cs="Times New Roman"/>
          <w:sz w:val="24"/>
          <w:szCs w:val="24"/>
          <w:lang w:val="es-PE"/>
        </w:rPr>
        <w:t>...........................................</w:t>
      </w:r>
      <w:r w:rsidRPr="12DAF3C0" w:rsidR="00303221">
        <w:rPr>
          <w:rFonts w:ascii="Times New Roman" w:hAnsi="Times New Roman" w:eastAsia="Arial Unicode MS" w:cs="Times New Roman"/>
          <w:sz w:val="24"/>
          <w:szCs w:val="24"/>
          <w:lang w:val="es-PE"/>
        </w:rPr>
        <w:t xml:space="preserve"> respecto de la liquidación del beneficio correspondiente al SEGURO VIDA LEY - PÓLIZA No</w:t>
      </w:r>
      <w:r w:rsidRPr="12DAF3C0" w:rsidR="77A2F283">
        <w:rPr>
          <w:rFonts w:ascii="Times New Roman" w:hAnsi="Times New Roman" w:eastAsia="Arial Unicode MS" w:cs="Times New Roman"/>
          <w:sz w:val="24"/>
          <w:szCs w:val="24"/>
          <w:lang w:val="es-PE"/>
        </w:rPr>
        <w:t>.......................................</w:t>
      </w:r>
      <w:r w:rsidRPr="12DAF3C0" w:rsidR="00303221">
        <w:rPr>
          <w:rFonts w:ascii="Times New Roman" w:hAnsi="Times New Roman" w:eastAsia="Arial Unicode MS" w:cs="Times New Roman"/>
          <w:sz w:val="24"/>
          <w:szCs w:val="24"/>
          <w:lang w:val="es-PE"/>
        </w:rPr>
        <w:t xml:space="preserve"> derivado del fallecimiento del asegurado </w:t>
      </w:r>
      <w:r w:rsidRPr="12DAF3C0" w:rsidR="532EA3AB">
        <w:rPr>
          <w:rFonts w:ascii="Times New Roman" w:hAnsi="Times New Roman" w:eastAsia="Arial Unicode MS" w:cs="Times New Roman"/>
          <w:sz w:val="24"/>
          <w:szCs w:val="24"/>
          <w:lang w:val="es-PE"/>
        </w:rPr>
        <w:t>.......................................</w:t>
      </w:r>
      <w:r w:rsidRPr="12DAF3C0" w:rsidR="00303221">
        <w:rPr>
          <w:rFonts w:ascii="Times New Roman" w:hAnsi="Times New Roman" w:eastAsia="Arial Unicode MS" w:cs="Times New Roman"/>
          <w:sz w:val="24"/>
          <w:szCs w:val="24"/>
          <w:lang w:val="es-PE"/>
        </w:rPr>
        <w:t>.</w:t>
      </w:r>
    </w:p>
    <w:bookmarkEnd w:id="0"/>
    <w:p w:rsidRPr="00303221" w:rsidR="00303221" w:rsidP="12DAF3C0" w:rsidRDefault="00303221" w14:paraId="5364C1E4" w14:textId="5017881A">
      <w:pPr>
        <w:pStyle w:val="Default"/>
        <w:jc w:val="both"/>
        <w:rPr>
          <w:rFonts w:ascii="Times New Roman" w:hAnsi="Times New Roman" w:eastAsia="Calibri" w:cs="Times New Roman" w:eastAsiaTheme="minorAscii"/>
        </w:rPr>
      </w:pPr>
      <w:r w:rsidRPr="12DAF3C0" w:rsidR="00303221">
        <w:rPr>
          <w:rFonts w:ascii="Times New Roman" w:hAnsi="Times New Roman" w:cs="Times New Roman"/>
          <w:lang w:val="es-MX" w:eastAsia="ar-SA"/>
        </w:rPr>
        <w:t xml:space="preserve">Que, a través del señalado recurso, los recurrentes solicitan se declare su reclamo fundado en todos sus extremos, sustentándose resumidamente en lo siguiente: a) que </w:t>
      </w:r>
      <w:r w:rsidRPr="12DAF3C0" w:rsidR="00303221">
        <w:rPr>
          <w:rFonts w:ascii="Times New Roman" w:hAnsi="Times New Roman" w:cs="Times New Roman"/>
        </w:rPr>
        <w:t xml:space="preserve">las boletas de pago del asegurado </w:t>
      </w:r>
      <w:r w:rsidRPr="12DAF3C0" w:rsidR="532EA3AB">
        <w:rPr>
          <w:rFonts w:ascii="Times New Roman" w:hAnsi="Times New Roman" w:cs="Times New Roman"/>
        </w:rPr>
        <w:t>.......................................</w:t>
      </w:r>
      <w:r w:rsidRPr="12DAF3C0" w:rsidR="00303221">
        <w:rPr>
          <w:rFonts w:ascii="Times New Roman" w:hAnsi="Times New Roman" w:cs="Times New Roman"/>
          <w:b w:val="1"/>
          <w:bCs w:val="1"/>
        </w:rPr>
        <w:t xml:space="preserve">, </w:t>
      </w:r>
      <w:r w:rsidRPr="12DAF3C0" w:rsidR="00303221">
        <w:rPr>
          <w:rFonts w:ascii="Times New Roman" w:hAnsi="Times New Roman" w:cs="Times New Roman"/>
        </w:rPr>
        <w:t xml:space="preserve">de los meses de abril, mayo y una semana de junio antes del fallecimiento no han sido consideradas, pese a ser necesario para la liquidación del beneficio del seguro de vida ley; b) que la ley establece que se deben considerar las remuneraciones que figuran en los libros de planillas “y” boletas de pago; que en este caso la aseguradora solo ha considerado los libros de planillas pero debió considerar lo consignado en las boletas de pago, tal como ha hecho la Defensoría respecto del mes de marzo. </w:t>
      </w:r>
    </w:p>
    <w:p w:rsidR="00DD3760" w:rsidP="00303221" w:rsidRDefault="00DD3760" w14:paraId="18C95701" w14:textId="77777777">
      <w:pPr>
        <w:suppressAutoHyphens/>
        <w:jc w:val="both"/>
        <w:rPr>
          <w:rFonts w:ascii="Times New Roman" w:hAnsi="Times New Roman" w:eastAsia="Times New Roman" w:cs="Times New Roman"/>
          <w:bCs/>
          <w:sz w:val="24"/>
          <w:szCs w:val="24"/>
          <w:lang w:val="es-MX" w:eastAsia="ar-SA"/>
        </w:rPr>
      </w:pPr>
    </w:p>
    <w:p w:rsidRPr="00303221" w:rsidR="00303221" w:rsidP="00303221" w:rsidRDefault="00303221" w14:paraId="525CE3EE" w14:textId="5DA1871D">
      <w:pPr>
        <w:suppressAutoHyphens/>
        <w:jc w:val="both"/>
        <w:rPr>
          <w:rFonts w:ascii="Times New Roman" w:hAnsi="Times New Roman" w:eastAsia="Times New Roman" w:cs="Times New Roman"/>
          <w:bCs/>
          <w:sz w:val="24"/>
          <w:szCs w:val="24"/>
          <w:lang w:val="es-MX" w:eastAsia="ar-SA"/>
        </w:rPr>
      </w:pPr>
      <w:r w:rsidRPr="00303221">
        <w:rPr>
          <w:rFonts w:ascii="Times New Roman" w:hAnsi="Times New Roman" w:eastAsia="Times New Roman" w:cs="Times New Roman"/>
          <w:bCs/>
          <w:sz w:val="24"/>
          <w:szCs w:val="24"/>
          <w:lang w:val="es-MX" w:eastAsia="ar-SA"/>
        </w:rPr>
        <w:t>Que, habiéndosele corrido traslado de la señalada impugnación, la aseguradora no ha cumplido con absolverlo, por lo que el expediente se encuentra en condiciones para que este colegiado expida su pronunciamiento.</w:t>
      </w:r>
    </w:p>
    <w:p w:rsidRPr="00303221" w:rsidR="00303221" w:rsidP="00303221" w:rsidRDefault="00303221" w14:paraId="3C41434D" w14:textId="77777777">
      <w:pPr>
        <w:suppressAutoHyphens/>
        <w:jc w:val="both"/>
        <w:rPr>
          <w:rFonts w:ascii="Times New Roman" w:hAnsi="Times New Roman" w:eastAsia="Times New Roman" w:cs="Times New Roman"/>
          <w:bCs/>
          <w:sz w:val="24"/>
          <w:szCs w:val="24"/>
          <w:lang w:val="es-MX" w:eastAsia="ar-SA"/>
        </w:rPr>
      </w:pPr>
      <w:r w:rsidRPr="00303221">
        <w:rPr>
          <w:rFonts w:ascii="Times New Roman" w:hAnsi="Times New Roman" w:eastAsia="Times New Roman" w:cs="Times New Roman"/>
          <w:b/>
          <w:bCs/>
          <w:sz w:val="24"/>
          <w:szCs w:val="24"/>
          <w:lang w:val="es-MX" w:eastAsia="ar-SA"/>
        </w:rPr>
        <w:t>Considerando:</w:t>
      </w:r>
    </w:p>
    <w:p w:rsidRPr="00303221" w:rsidR="00303221" w:rsidP="00303221" w:rsidRDefault="00303221" w14:paraId="09AE4EEC" w14:textId="77777777">
      <w:pPr>
        <w:jc w:val="both"/>
        <w:rPr>
          <w:rFonts w:ascii="Times New Roman" w:hAnsi="Times New Roman" w:cs="Times New Roman"/>
          <w:sz w:val="24"/>
          <w:szCs w:val="24"/>
          <w:lang w:val="es-PE"/>
        </w:rPr>
      </w:pPr>
      <w:r w:rsidRPr="00303221">
        <w:rPr>
          <w:rFonts w:ascii="Times New Roman" w:hAnsi="Times New Roman" w:cs="Times New Roman"/>
          <w:b/>
          <w:sz w:val="24"/>
          <w:szCs w:val="24"/>
          <w:u w:val="single"/>
          <w:lang w:val="es-PE"/>
        </w:rPr>
        <w:t>Primero</w:t>
      </w:r>
      <w:r w:rsidRPr="00303221">
        <w:rPr>
          <w:rFonts w:ascii="Times New Roman" w:hAnsi="Times New Roman" w:cs="Times New Roman"/>
          <w:b/>
          <w:sz w:val="24"/>
          <w:szCs w:val="24"/>
          <w:lang w:val="es-PE"/>
        </w:rPr>
        <w:t>:</w:t>
      </w:r>
      <w:r w:rsidRPr="00303221">
        <w:rPr>
          <w:rFonts w:ascii="Times New Roman" w:hAnsi="Times New Roman" w:cs="Times New Roman"/>
          <w:sz w:val="24"/>
          <w:szCs w:val="24"/>
          <w:lang w:val="es-PE"/>
        </w:rPr>
        <w:t xml:space="preserve"> El Reglamento de la DEFASEG </w:t>
      </w:r>
      <w:r w:rsidRPr="00303221">
        <w:rPr>
          <w:rFonts w:ascii="Times New Roman" w:hAnsi="Times New Roman" w:eastAsia="Arial Unicode MS" w:cs="Times New Roman"/>
          <w:sz w:val="24"/>
          <w:szCs w:val="24"/>
          <w:lang w:val="es-PE"/>
        </w:rPr>
        <w:t xml:space="preserve">(http://www.defaseg.com.pe/reglamento), en su artículo 10, </w:t>
      </w:r>
      <w:r w:rsidRPr="00303221">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303221">
        <w:rPr>
          <w:rFonts w:ascii="Times New Roman" w:hAnsi="Times New Roman" w:cs="Times New Roman"/>
          <w:sz w:val="24"/>
          <w:szCs w:val="24"/>
          <w:lang w:val="es-ES"/>
        </w:rPr>
        <w:t>usuario de seguro recurre en forma voluntaria a la Defensoría, siendo que la presentación de una reclamación n</w:t>
      </w:r>
      <w:r w:rsidRPr="00303221">
        <w:rPr>
          <w:rFonts w:ascii="Times New Roman" w:hAnsi="Times New Roman" w:cs="Times New Roman"/>
          <w:sz w:val="24"/>
          <w:szCs w:val="24"/>
          <w:lang w:val="es-PE"/>
        </w:rPr>
        <w:t>o limita su derecho a recurrir posteriormente ante el órgano administrativo o jurisdiccional que considere pertinente.  De acuerdo a lo anterior, si el asegurado no se encuentra conforme con lo resuelto, esto último no limita la posibilidad de poder recurrir a las instancias correspondientes, a diferencia de la aseguradora que sí queda comprometida con lo resuelto por la DEFASEG.</w:t>
      </w:r>
    </w:p>
    <w:p w:rsidRPr="00303221" w:rsidR="00303221" w:rsidP="00303221" w:rsidRDefault="00303221" w14:paraId="1B459FFD" w14:textId="77777777">
      <w:pPr>
        <w:tabs>
          <w:tab w:val="left" w:pos="0"/>
          <w:tab w:val="left" w:pos="2160"/>
        </w:tabs>
        <w:jc w:val="both"/>
        <w:rPr>
          <w:rFonts w:ascii="Times New Roman" w:hAnsi="Times New Roman" w:cs="Times New Roman"/>
          <w:sz w:val="24"/>
          <w:szCs w:val="24"/>
          <w:lang w:val="es-ES"/>
        </w:rPr>
      </w:pPr>
      <w:r w:rsidRPr="00303221">
        <w:rPr>
          <w:rFonts w:ascii="Times New Roman" w:hAnsi="Times New Roman" w:cs="Times New Roman"/>
          <w:b/>
          <w:sz w:val="24"/>
          <w:szCs w:val="24"/>
          <w:u w:val="single"/>
          <w:lang w:val="es-PE"/>
        </w:rPr>
        <w:t>Segundo</w:t>
      </w:r>
      <w:r w:rsidRPr="00303221">
        <w:rPr>
          <w:rFonts w:ascii="Times New Roman" w:hAnsi="Times New Roman" w:cs="Times New Roman"/>
          <w:b/>
          <w:sz w:val="24"/>
          <w:szCs w:val="24"/>
          <w:lang w:val="es-PE"/>
        </w:rPr>
        <w:t>:</w:t>
      </w:r>
      <w:r w:rsidRPr="00303221">
        <w:rPr>
          <w:rFonts w:ascii="Times New Roman" w:hAnsi="Times New Roman" w:cs="Times New Roman"/>
          <w:sz w:val="24"/>
          <w:szCs w:val="24"/>
          <w:lang w:val="es-PE"/>
        </w:rPr>
        <w:t xml:space="preserve"> Atendiendo a los fundamentos de la impugnación interpuesta, se advierte que no se</w:t>
      </w:r>
      <w:r w:rsidRPr="00303221">
        <w:rPr>
          <w:rFonts w:ascii="Times New Roman" w:hAnsi="Times New Roman" w:cs="Times New Roman"/>
          <w:bCs/>
          <w:sz w:val="24"/>
          <w:szCs w:val="24"/>
          <w:lang w:val="es-PE"/>
        </w:rPr>
        <w:t xml:space="preserve"> expone ni acredita nuevo argumento que desautorice lo resuelto, de manera que el </w:t>
      </w:r>
      <w:r w:rsidRPr="00303221">
        <w:rPr>
          <w:rFonts w:ascii="Times New Roman" w:hAnsi="Times New Roman" w:cs="Times New Roman"/>
          <w:sz w:val="24"/>
          <w:szCs w:val="24"/>
          <w:lang w:val="es-ES"/>
        </w:rPr>
        <w:t>recurso impugnativo interpuesto puede ser categorizado, por su contenido mismo, como una solicitud de revisión general, sustentada exclusivamente en el criterio de los reclamantes, que esta Defensoría respeta pero no comparte, y sin aportar medio probatorio que permita apreciar que se incurrió en un error o vicio al momento de resolver.</w:t>
      </w:r>
    </w:p>
    <w:p w:rsidRPr="00303221" w:rsidR="00303221" w:rsidP="00303221" w:rsidRDefault="00303221" w14:paraId="71917F5B" w14:textId="77777777">
      <w:pPr>
        <w:tabs>
          <w:tab w:val="left" w:pos="0"/>
          <w:tab w:val="left" w:pos="2160"/>
        </w:tabs>
        <w:jc w:val="both"/>
        <w:rPr>
          <w:rFonts w:ascii="Times New Roman" w:hAnsi="Times New Roman" w:cs="Times New Roman"/>
          <w:sz w:val="24"/>
          <w:szCs w:val="24"/>
          <w:lang w:val="es-ES"/>
        </w:rPr>
      </w:pPr>
      <w:r w:rsidRPr="00303221">
        <w:rPr>
          <w:rFonts w:ascii="Times New Roman" w:hAnsi="Times New Roman" w:cs="Times New Roman"/>
          <w:sz w:val="24"/>
          <w:szCs w:val="24"/>
          <w:lang w:val="es-ES"/>
        </w:rPr>
        <w:t>En efecto, este colegiado se ha pronunciado en el sentido que la eventual omisión del empleador de declarar ante la aseguradora una remuneración asegurable distinta a la que se consigna en las boletas de pago, es responsabilidad del empleador y no puede trasladarse a la aseguradora, sustentado en la resolución impugnada las razones que la llevan a dicha conclusión. Sobre este aspecto a continuación transcribimos una parte de lo expuesto en la resolución impugnada:</w:t>
      </w:r>
    </w:p>
    <w:p w:rsidRPr="00303221" w:rsidR="00303221" w:rsidP="00303221" w:rsidRDefault="00303221" w14:paraId="75CFCA9B" w14:textId="77777777">
      <w:pPr>
        <w:tabs>
          <w:tab w:val="left" w:pos="0"/>
          <w:tab w:val="left" w:pos="2160"/>
        </w:tabs>
        <w:jc w:val="both"/>
        <w:rPr>
          <w:rFonts w:ascii="Times New Roman" w:hAnsi="Times New Roman" w:cs="Times New Roman"/>
          <w:sz w:val="24"/>
          <w:szCs w:val="24"/>
          <w:lang w:val="es-ES"/>
        </w:rPr>
      </w:pPr>
    </w:p>
    <w:p w:rsidRPr="00303221" w:rsidR="00303221" w:rsidP="00303221" w:rsidRDefault="00303221" w14:paraId="3F9C8296" w14:textId="77777777">
      <w:pPr>
        <w:ind w:left="720"/>
        <w:jc w:val="both"/>
        <w:rPr>
          <w:rFonts w:ascii="Times New Roman" w:hAnsi="Times New Roman" w:eastAsia="Arial Unicode MS" w:cs="Times New Roman"/>
          <w:i/>
          <w:iCs/>
          <w:sz w:val="24"/>
          <w:szCs w:val="24"/>
          <w:lang w:val="es-MX"/>
        </w:rPr>
      </w:pPr>
      <w:r w:rsidRPr="00303221">
        <w:rPr>
          <w:rFonts w:ascii="Times New Roman" w:hAnsi="Times New Roman" w:eastAsia="Arial Unicode MS" w:cs="Times New Roman"/>
          <w:i/>
          <w:iCs/>
          <w:sz w:val="24"/>
          <w:szCs w:val="24"/>
          <w:lang w:val="es-MX"/>
        </w:rPr>
        <w:t>“Por lo tanto, conforme al artículo 7 del Decreto Legislativo Nº 688, así como al artículo 10 de las condiciones generales de la Póliza, la aseguradora no tendría por qué asumir la diferencia originada por una declaración inexacta del empleador respecto de la remuneración asegurable, debiendo el empleador asumir el monto del beneficio que corresponde a la diferencia entre la remuneración asegurable declarada por él y la que debió declarar, si es que correspondiera.”</w:t>
      </w:r>
    </w:p>
    <w:p w:rsidRPr="00303221" w:rsidR="00303221" w:rsidP="00303221" w:rsidRDefault="00303221" w14:paraId="30ECE86F" w14:textId="37C50CD9">
      <w:pPr>
        <w:tabs>
          <w:tab w:val="left" w:pos="0"/>
          <w:tab w:val="left" w:pos="2160"/>
        </w:tabs>
        <w:jc w:val="both"/>
        <w:rPr>
          <w:rFonts w:ascii="Times New Roman" w:hAnsi="Times New Roman" w:cs="Times New Roman"/>
          <w:sz w:val="24"/>
          <w:szCs w:val="24"/>
          <w:lang w:val="es-ES"/>
        </w:rPr>
      </w:pPr>
      <w:r w:rsidRPr="00303221">
        <w:rPr>
          <w:rFonts w:ascii="Times New Roman" w:hAnsi="Times New Roman" w:cs="Times New Roman"/>
          <w:sz w:val="24"/>
          <w:szCs w:val="24"/>
          <w:lang w:val="es-ES"/>
        </w:rPr>
        <w:t>Asimismo, y en lo que respecta al mes de marzo, est</w:t>
      </w:r>
      <w:r w:rsidR="00256E93">
        <w:rPr>
          <w:rFonts w:ascii="Times New Roman" w:hAnsi="Times New Roman" w:cs="Times New Roman"/>
          <w:sz w:val="24"/>
          <w:szCs w:val="24"/>
          <w:lang w:val="es-ES"/>
        </w:rPr>
        <w:t>a</w:t>
      </w:r>
      <w:r w:rsidRPr="00303221">
        <w:rPr>
          <w:rFonts w:ascii="Times New Roman" w:hAnsi="Times New Roman" w:cs="Times New Roman"/>
          <w:sz w:val="24"/>
          <w:szCs w:val="24"/>
          <w:lang w:val="es-ES"/>
        </w:rPr>
        <w:t xml:space="preserve"> Defensoría ha recogido lo consignado en las boletas de pago de dicho mes, por cuanto la aseguradora no presentó las planillas del mes de marzo utilizadas para declarar la remuneración asegurable; a diferencia de lo que ocurrió en los otros meses, en lo que sí cumplió con presentarlas, tal y como ha sido expuesto en la resolución impugnada. </w:t>
      </w:r>
    </w:p>
    <w:p w:rsidRPr="00303221" w:rsidR="00303221" w:rsidP="00303221" w:rsidRDefault="00303221" w14:paraId="39F2052E" w14:textId="77777777">
      <w:pPr>
        <w:tabs>
          <w:tab w:val="left" w:pos="2160"/>
        </w:tabs>
        <w:jc w:val="both"/>
        <w:rPr>
          <w:rFonts w:ascii="Times New Roman" w:hAnsi="Times New Roman" w:cs="Times New Roman"/>
          <w:sz w:val="24"/>
          <w:szCs w:val="24"/>
          <w:lang w:val="es-ES"/>
        </w:rPr>
      </w:pPr>
      <w:r w:rsidRPr="00303221">
        <w:rPr>
          <w:rFonts w:ascii="Times New Roman" w:hAnsi="Times New Roman" w:cs="Times New Roman"/>
          <w:sz w:val="24"/>
          <w:szCs w:val="24"/>
          <w:lang w:val="es-ES"/>
        </w:rPr>
        <w:t>En atención a las consideraciones precedentes, ratificando el análisis y conclusión contenidos en la resolución recurrida, este colegiado aprecia que no existe mérito para revocar la resolución recurrida; por lo tanto,</w:t>
      </w:r>
    </w:p>
    <w:p w:rsidRPr="00303221" w:rsidR="00303221" w:rsidP="00303221" w:rsidRDefault="00303221" w14:paraId="43B24E81" w14:textId="77777777">
      <w:pPr>
        <w:jc w:val="both"/>
        <w:rPr>
          <w:rFonts w:ascii="Times New Roman" w:hAnsi="Times New Roman" w:cs="Times New Roman"/>
          <w:b/>
          <w:sz w:val="24"/>
          <w:szCs w:val="24"/>
          <w:lang w:val="es-PE"/>
        </w:rPr>
      </w:pPr>
      <w:r w:rsidRPr="00303221">
        <w:rPr>
          <w:rFonts w:ascii="Times New Roman" w:hAnsi="Times New Roman" w:cs="Times New Roman"/>
          <w:b/>
          <w:sz w:val="24"/>
          <w:szCs w:val="24"/>
          <w:lang w:val="es-PE"/>
        </w:rPr>
        <w:t>Atendiendo a lo expresado, conforme a su reglamento, este colegiado resuelve:</w:t>
      </w:r>
    </w:p>
    <w:p w:rsidRPr="00303221" w:rsidR="00303221" w:rsidP="00303221" w:rsidRDefault="00303221" w14:paraId="37A3D1B0" w14:textId="6D6C84C4">
      <w:pPr>
        <w:jc w:val="both"/>
        <w:rPr>
          <w:rFonts w:ascii="Times New Roman" w:hAnsi="Times New Roman" w:eastAsia="Arial Unicode MS" w:cs="Times New Roman"/>
          <w:sz w:val="24"/>
          <w:szCs w:val="24"/>
          <w:lang w:val="es-PE"/>
        </w:rPr>
      </w:pPr>
      <w:r w:rsidRPr="12DAF3C0" w:rsidR="00303221">
        <w:rPr>
          <w:rFonts w:ascii="Times New Roman" w:hAnsi="Times New Roman" w:eastAsia="Arial Unicode MS" w:cs="Times New Roman"/>
          <w:b w:val="1"/>
          <w:bCs w:val="1"/>
          <w:sz w:val="24"/>
          <w:szCs w:val="24"/>
          <w:lang w:val="es-PE"/>
        </w:rPr>
        <w:t xml:space="preserve">Declarar INFUNDADO el recurso impugnativo </w:t>
      </w:r>
      <w:r w:rsidRPr="12DAF3C0" w:rsidR="00303221">
        <w:rPr>
          <w:rFonts w:ascii="Times New Roman" w:hAnsi="Times New Roman" w:eastAsia="Arial Unicode MS" w:cs="Times New Roman"/>
          <w:sz w:val="24"/>
          <w:szCs w:val="24"/>
          <w:lang w:val="es-PE"/>
        </w:rPr>
        <w:t xml:space="preserve">interpuesto por </w:t>
      </w:r>
      <w:r w:rsidRPr="12DAF3C0" w:rsidR="20962635">
        <w:rPr>
          <w:rFonts w:ascii="Times New Roman" w:hAnsi="Times New Roman" w:eastAsia="Arial Unicode MS" w:cs="Times New Roman"/>
          <w:sz w:val="24"/>
          <w:szCs w:val="24"/>
          <w:lang w:val="es-PE"/>
        </w:rPr>
        <w:t>................................................</w:t>
      </w:r>
      <w:r w:rsidRPr="12DAF3C0" w:rsidR="00303221">
        <w:rPr>
          <w:rFonts w:ascii="Times New Roman" w:hAnsi="Times New Roman" w:eastAsia="Arial Unicode MS" w:cs="Times New Roman"/>
          <w:sz w:val="24"/>
          <w:szCs w:val="24"/>
          <w:lang w:val="es-PE"/>
        </w:rPr>
        <w:t xml:space="preserve"> </w:t>
      </w:r>
      <w:r w:rsidRPr="12DAF3C0" w:rsidR="00303221">
        <w:rPr>
          <w:rFonts w:ascii="Times New Roman" w:hAnsi="Times New Roman" w:cs="Times New Roman"/>
          <w:sz w:val="24"/>
          <w:szCs w:val="24"/>
          <w:lang w:val="es-ES"/>
        </w:rPr>
        <w:t>y, por consiguiente, ratificar</w:t>
      </w:r>
      <w:r w:rsidRPr="12DAF3C0" w:rsidR="00303221">
        <w:rPr>
          <w:rFonts w:ascii="Times New Roman" w:hAnsi="Times New Roman" w:eastAsia="Times New Roman" w:cs="Times New Roman"/>
          <w:sz w:val="24"/>
          <w:szCs w:val="24"/>
          <w:lang w:val="es-ES" w:eastAsia="ar-SA"/>
        </w:rPr>
        <w:t xml:space="preserve"> la Resolución Nro. 179/21, de fecha 14 de diciembre de 2021.</w:t>
      </w:r>
    </w:p>
    <w:p w:rsidRPr="00303221" w:rsidR="00303221" w:rsidP="00303221" w:rsidRDefault="00303221" w14:paraId="22B011F3" w14:textId="77777777">
      <w:pPr>
        <w:jc w:val="both"/>
        <w:rPr>
          <w:rFonts w:ascii="Times New Roman" w:hAnsi="Times New Roman" w:eastAsia="Times New Roman" w:cs="Times New Roman"/>
          <w:sz w:val="24"/>
          <w:szCs w:val="24"/>
          <w:lang w:val="es-PE" w:eastAsia="ar-SA"/>
        </w:rPr>
      </w:pPr>
    </w:p>
    <w:p w:rsidRPr="00303221" w:rsidR="00231C58" w:rsidP="00CD1FB3" w:rsidRDefault="00231C58" w14:paraId="2269147E"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303221" w:rsidR="00077B6F" w:rsidP="00C671F5" w:rsidRDefault="0091528B" w14:paraId="78A39B5B" w14:textId="44E48FD9">
      <w:pPr>
        <w:suppressAutoHyphens/>
        <w:spacing w:after="0" w:line="240" w:lineRule="auto"/>
        <w:jc w:val="right"/>
        <w:outlineLvl w:val="0"/>
        <w:rPr>
          <w:rFonts w:ascii="Times New Roman" w:hAnsi="Times New Roman" w:eastAsia="Arial Unicode MS" w:cs="Times New Roman"/>
          <w:sz w:val="24"/>
          <w:szCs w:val="24"/>
          <w:lang w:val="es-PE" w:eastAsia="ar-SA"/>
        </w:rPr>
      </w:pPr>
      <w:r w:rsidRPr="00303221">
        <w:rPr>
          <w:rFonts w:ascii="Times New Roman" w:hAnsi="Times New Roman" w:eastAsia="Arial Unicode MS" w:cs="Times New Roman"/>
          <w:sz w:val="24"/>
          <w:szCs w:val="24"/>
          <w:lang w:val="es-PE" w:eastAsia="ar-SA"/>
        </w:rPr>
        <w:t xml:space="preserve">Lima, </w:t>
      </w:r>
      <w:r w:rsidRPr="00303221" w:rsidR="00966AEB">
        <w:rPr>
          <w:rFonts w:ascii="Times New Roman" w:hAnsi="Times New Roman" w:eastAsia="Arial Unicode MS" w:cs="Times New Roman"/>
          <w:sz w:val="24"/>
          <w:szCs w:val="24"/>
          <w:lang w:val="es-PE" w:eastAsia="ar-SA"/>
        </w:rPr>
        <w:t>0</w:t>
      </w:r>
      <w:r w:rsidRPr="00303221" w:rsidR="001A4A70">
        <w:rPr>
          <w:rFonts w:ascii="Times New Roman" w:hAnsi="Times New Roman" w:eastAsia="Arial Unicode MS" w:cs="Times New Roman"/>
          <w:sz w:val="24"/>
          <w:szCs w:val="24"/>
          <w:lang w:val="es-PE" w:eastAsia="ar-SA"/>
        </w:rPr>
        <w:t>3</w:t>
      </w:r>
      <w:r w:rsidRPr="00303221" w:rsidR="00707C99">
        <w:rPr>
          <w:rFonts w:ascii="Times New Roman" w:hAnsi="Times New Roman" w:eastAsia="Arial Unicode MS" w:cs="Times New Roman"/>
          <w:sz w:val="24"/>
          <w:szCs w:val="24"/>
          <w:lang w:val="es-PE" w:eastAsia="ar-SA"/>
        </w:rPr>
        <w:t xml:space="preserve"> de </w:t>
      </w:r>
      <w:r w:rsidRPr="00303221" w:rsidR="00966AEB">
        <w:rPr>
          <w:rFonts w:ascii="Times New Roman" w:hAnsi="Times New Roman" w:eastAsia="Arial Unicode MS" w:cs="Times New Roman"/>
          <w:sz w:val="24"/>
          <w:szCs w:val="24"/>
          <w:lang w:val="es-PE" w:eastAsia="ar-SA"/>
        </w:rPr>
        <w:t>febrero</w:t>
      </w:r>
      <w:r w:rsidRPr="00303221" w:rsidR="00F06498">
        <w:rPr>
          <w:rFonts w:ascii="Times New Roman" w:hAnsi="Times New Roman" w:eastAsia="Arial Unicode MS" w:cs="Times New Roman"/>
          <w:sz w:val="24"/>
          <w:szCs w:val="24"/>
          <w:lang w:val="es-PE" w:eastAsia="ar-SA"/>
        </w:rPr>
        <w:t xml:space="preserve"> de 202</w:t>
      </w:r>
      <w:r w:rsidRPr="00303221" w:rsidR="00B93C7A">
        <w:rPr>
          <w:rFonts w:ascii="Times New Roman" w:hAnsi="Times New Roman" w:eastAsia="Arial Unicode MS" w:cs="Times New Roman"/>
          <w:sz w:val="24"/>
          <w:szCs w:val="24"/>
          <w:lang w:val="es-PE" w:eastAsia="ar-SA"/>
        </w:rPr>
        <w:t>2</w:t>
      </w:r>
      <w:r w:rsidRPr="00303221" w:rsidR="00707C99">
        <w:rPr>
          <w:rFonts w:ascii="Times New Roman" w:hAnsi="Times New Roman" w:eastAsia="Times New Roman" w:cs="Times New Roman"/>
          <w:sz w:val="24"/>
          <w:szCs w:val="24"/>
          <w:lang w:val="es-PE" w:eastAsia="ar-SA"/>
        </w:rPr>
        <w:t xml:space="preserve"> </w:t>
      </w:r>
    </w:p>
    <w:p w:rsidRPr="00303221"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303221"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303221"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30322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303221"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303221"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303221">
        <w:rPr>
          <w:rFonts w:ascii="Times New Roman" w:hAnsi="Times New Roman" w:cs="Times New Roman"/>
          <w:b/>
          <w:bCs/>
          <w:sz w:val="24"/>
          <w:szCs w:val="24"/>
          <w:lang w:val="es-PE"/>
        </w:rPr>
        <w:t xml:space="preserve">María Eugenia Valdez Fernández Baca </w:t>
      </w:r>
      <w:r w:rsidRPr="00303221" w:rsidR="00C671F5">
        <w:rPr>
          <w:rFonts w:ascii="Times New Roman" w:hAnsi="Times New Roman" w:cs="Times New Roman"/>
          <w:b/>
          <w:bCs/>
          <w:sz w:val="24"/>
          <w:szCs w:val="24"/>
          <w:lang w:val="es-PE"/>
        </w:rPr>
        <w:t>– Presidente</w:t>
      </w:r>
    </w:p>
    <w:p w:rsidRPr="00303221" w:rsidR="00C671F5" w:rsidP="00C671F5" w:rsidRDefault="00231C58" w14:paraId="7CE41ADF" w14:textId="69B108BA">
      <w:pPr>
        <w:spacing w:after="0" w:line="360" w:lineRule="auto"/>
        <w:jc w:val="center"/>
        <w:rPr>
          <w:rFonts w:ascii="Times New Roman" w:hAnsi="Times New Roman" w:cs="Times New Roman"/>
          <w:b/>
          <w:bCs/>
          <w:sz w:val="24"/>
          <w:szCs w:val="24"/>
          <w:lang w:val="es-PE"/>
        </w:rPr>
      </w:pPr>
      <w:r w:rsidRPr="00303221">
        <w:rPr>
          <w:rFonts w:ascii="Times New Roman" w:hAnsi="Times New Roman" w:cs="Times New Roman"/>
          <w:b/>
          <w:bCs/>
          <w:sz w:val="24"/>
          <w:szCs w:val="24"/>
          <w:lang w:val="es-PE"/>
        </w:rPr>
        <w:t xml:space="preserve">Rolando Eyzaguirre Maccan </w:t>
      </w:r>
      <w:r w:rsidRPr="00303221" w:rsidR="00C671F5">
        <w:rPr>
          <w:rFonts w:ascii="Times New Roman" w:hAnsi="Times New Roman" w:cs="Times New Roman"/>
          <w:b/>
          <w:bCs/>
          <w:sz w:val="24"/>
          <w:szCs w:val="24"/>
          <w:lang w:val="es-PE"/>
        </w:rPr>
        <w:t>– Vocal</w:t>
      </w:r>
    </w:p>
    <w:p w:rsidRPr="00490F9F" w:rsidR="00C671F5" w:rsidP="00C671F5" w:rsidRDefault="00C671F5" w14:paraId="55E7D9D7" w14:textId="77777777">
      <w:pPr>
        <w:spacing w:after="0" w:line="360" w:lineRule="auto"/>
        <w:jc w:val="center"/>
        <w:rPr>
          <w:rFonts w:ascii="Times New Roman" w:hAnsi="Times New Roman" w:cs="Times New Roman"/>
          <w:b/>
          <w:bCs/>
          <w:sz w:val="24"/>
          <w:szCs w:val="24"/>
          <w:lang w:val="es-PE"/>
        </w:rPr>
      </w:pPr>
      <w:r w:rsidRPr="00490F9F">
        <w:rPr>
          <w:rFonts w:ascii="Times New Roman" w:hAnsi="Times New Roman" w:cs="Times New Roman"/>
          <w:b/>
          <w:bCs/>
          <w:sz w:val="24"/>
          <w:szCs w:val="24"/>
          <w:lang w:val="es-PE"/>
        </w:rPr>
        <w:t>Marco Antonio Ortega Piana – Vocal</w:t>
      </w:r>
    </w:p>
    <w:p w:rsidRPr="00490F9F"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490F9F">
        <w:rPr>
          <w:rFonts w:ascii="Times New Roman" w:hAnsi="Times New Roman" w:cs="Times New Roman"/>
          <w:b/>
          <w:bCs/>
          <w:sz w:val="24"/>
          <w:szCs w:val="24"/>
          <w:lang w:val="es-PE"/>
        </w:rPr>
        <w:t xml:space="preserve">Gonzalo Abad del Busto </w:t>
      </w:r>
      <w:r w:rsidRPr="00490F9F" w:rsidR="00231C58">
        <w:rPr>
          <w:rFonts w:ascii="Times New Roman" w:hAnsi="Times New Roman" w:cs="Times New Roman"/>
          <w:b/>
          <w:bCs/>
          <w:sz w:val="24"/>
          <w:szCs w:val="24"/>
          <w:lang w:val="es-PE"/>
        </w:rPr>
        <w:t xml:space="preserve">– </w:t>
      </w:r>
      <w:r w:rsidRPr="00490F9F">
        <w:rPr>
          <w:rFonts w:ascii="Times New Roman" w:hAnsi="Times New Roman" w:cs="Times New Roman"/>
          <w:b/>
          <w:bCs/>
          <w:sz w:val="24"/>
          <w:szCs w:val="24"/>
          <w:lang w:val="es-PE"/>
        </w:rPr>
        <w:t>Vocal</w:t>
      </w:r>
    </w:p>
    <w:p w:rsidRPr="00490F9F"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490F9F"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490F9F"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3C65" w:rsidP="00784355" w:rsidRDefault="007C3C65" w14:paraId="12D8927A" w14:textId="77777777">
      <w:pPr>
        <w:spacing w:after="0" w:line="240" w:lineRule="auto"/>
      </w:pPr>
      <w:r>
        <w:separator/>
      </w:r>
    </w:p>
  </w:endnote>
  <w:endnote w:type="continuationSeparator" w:id="0">
    <w:p w:rsidR="007C3C65" w:rsidP="00784355" w:rsidRDefault="007C3C65" w14:paraId="2E4C403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3C65" w:rsidP="00784355" w:rsidRDefault="007C3C65" w14:paraId="22C2D973" w14:textId="77777777">
      <w:pPr>
        <w:spacing w:after="0" w:line="240" w:lineRule="auto"/>
      </w:pPr>
      <w:r>
        <w:separator/>
      </w:r>
    </w:p>
  </w:footnote>
  <w:footnote w:type="continuationSeparator" w:id="0">
    <w:p w:rsidR="007C3C65" w:rsidP="00784355" w:rsidRDefault="007C3C65" w14:paraId="76B5345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A4A70"/>
    <w:rsid w:val="001B1E59"/>
    <w:rsid w:val="001B58A3"/>
    <w:rsid w:val="001D0EED"/>
    <w:rsid w:val="001D59D9"/>
    <w:rsid w:val="001D6136"/>
    <w:rsid w:val="001E119C"/>
    <w:rsid w:val="001E4337"/>
    <w:rsid w:val="00201C0D"/>
    <w:rsid w:val="00204407"/>
    <w:rsid w:val="0020749F"/>
    <w:rsid w:val="002108AD"/>
    <w:rsid w:val="00211977"/>
    <w:rsid w:val="002130B0"/>
    <w:rsid w:val="0021627D"/>
    <w:rsid w:val="00225288"/>
    <w:rsid w:val="00227D02"/>
    <w:rsid w:val="00231C58"/>
    <w:rsid w:val="002331C3"/>
    <w:rsid w:val="00241719"/>
    <w:rsid w:val="00243F6B"/>
    <w:rsid w:val="00256E93"/>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3221"/>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3C65"/>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362B"/>
    <w:rsid w:val="00A077D2"/>
    <w:rsid w:val="00A16942"/>
    <w:rsid w:val="00A17A72"/>
    <w:rsid w:val="00A25F51"/>
    <w:rsid w:val="00A30393"/>
    <w:rsid w:val="00A32246"/>
    <w:rsid w:val="00A328C0"/>
    <w:rsid w:val="00A3714C"/>
    <w:rsid w:val="00A427D6"/>
    <w:rsid w:val="00A44E53"/>
    <w:rsid w:val="00A46E96"/>
    <w:rsid w:val="00A52030"/>
    <w:rsid w:val="00A62BEC"/>
    <w:rsid w:val="00A658C1"/>
    <w:rsid w:val="00A734AD"/>
    <w:rsid w:val="00A837A0"/>
    <w:rsid w:val="00A90926"/>
    <w:rsid w:val="00A97287"/>
    <w:rsid w:val="00AA2DED"/>
    <w:rsid w:val="00AA5C5C"/>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92C44"/>
    <w:rsid w:val="00DA0540"/>
    <w:rsid w:val="00DA2840"/>
    <w:rsid w:val="00DA4030"/>
    <w:rsid w:val="00DB15FD"/>
    <w:rsid w:val="00DB58EC"/>
    <w:rsid w:val="00DC399B"/>
    <w:rsid w:val="00DD3760"/>
    <w:rsid w:val="00DD5E2B"/>
    <w:rsid w:val="00DF3781"/>
    <w:rsid w:val="00DF6E69"/>
    <w:rsid w:val="00E107CA"/>
    <w:rsid w:val="00E1216B"/>
    <w:rsid w:val="00E1477F"/>
    <w:rsid w:val="00E16C63"/>
    <w:rsid w:val="00E25348"/>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0FFC5EF6"/>
    <w:rsid w:val="12DAF3C0"/>
    <w:rsid w:val="20962635"/>
    <w:rsid w:val="3F6C5391"/>
    <w:rsid w:val="43FC63B2"/>
    <w:rsid w:val="532EA3AB"/>
    <w:rsid w:val="59425FF2"/>
    <w:rsid w:val="6E890643"/>
    <w:rsid w:val="77A2F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3266263">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E70B355-187D-4605-BCA4-A62B101FC942}"/>
</file>

<file path=customXml/itemProps3.xml><?xml version="1.0" encoding="utf-8"?>
<ds:datastoreItem xmlns:ds="http://schemas.openxmlformats.org/officeDocument/2006/customXml" ds:itemID="{4C07933C-A9DD-4F76-8DBD-EA3E93D521B0}"/>
</file>

<file path=customXml/itemProps4.xml><?xml version="1.0" encoding="utf-8"?>
<ds:datastoreItem xmlns:ds="http://schemas.openxmlformats.org/officeDocument/2006/customXml" ds:itemID="{FB09532B-7833-406E-88D9-D3799B492C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25</cp:revision>
  <cp:lastPrinted>2022-02-03T20:52:00Z</cp:lastPrinted>
  <dcterms:created xsi:type="dcterms:W3CDTF">2020-12-18T20:17:00Z</dcterms:created>
  <dcterms:modified xsi:type="dcterms:W3CDTF">2025-11-25T19:55:03Z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