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0335D" w:rsidR="00707C99" w:rsidP="00272F4F" w:rsidRDefault="00201C0D" w14:paraId="19FE0E96" w14:textId="19F82530">
      <w:pPr>
        <w:spacing w:after="0" w:line="240" w:lineRule="auto"/>
        <w:jc w:val="center"/>
        <w:rPr>
          <w:rFonts w:ascii="Times New Roman" w:hAnsi="Times New Roman" w:cs="Times New Roman"/>
          <w:b/>
          <w:sz w:val="24"/>
          <w:szCs w:val="24"/>
          <w:lang w:val="es-PE" w:eastAsia="ar-SA"/>
        </w:rPr>
      </w:pPr>
      <w:r w:rsidRPr="0000335D">
        <w:rPr>
          <w:rFonts w:ascii="Times New Roman" w:hAnsi="Times New Roman" w:cs="Times New Roman"/>
          <w:b/>
          <w:sz w:val="24"/>
          <w:szCs w:val="24"/>
          <w:lang w:val="es-PE" w:eastAsia="ar-SA"/>
        </w:rPr>
        <w:t xml:space="preserve">RESOLUCIÓN DE RECURSO IMPUGNATIVO </w:t>
      </w:r>
      <w:proofErr w:type="spellStart"/>
      <w:r w:rsidRPr="0000335D" w:rsidR="00707C99">
        <w:rPr>
          <w:rFonts w:ascii="Times New Roman" w:hAnsi="Times New Roman" w:cs="Times New Roman"/>
          <w:b/>
          <w:sz w:val="24"/>
          <w:szCs w:val="24"/>
          <w:lang w:val="es-PE" w:eastAsia="ar-SA"/>
        </w:rPr>
        <w:t>N°</w:t>
      </w:r>
      <w:proofErr w:type="spellEnd"/>
      <w:r w:rsidRPr="0000335D" w:rsidR="00707C99">
        <w:rPr>
          <w:rFonts w:ascii="Times New Roman" w:hAnsi="Times New Roman" w:cs="Times New Roman"/>
          <w:b/>
          <w:sz w:val="24"/>
          <w:szCs w:val="24"/>
          <w:lang w:val="es-PE" w:eastAsia="ar-SA"/>
        </w:rPr>
        <w:t xml:space="preserve"> </w:t>
      </w:r>
      <w:r w:rsidRPr="0000335D" w:rsidR="00C671F5">
        <w:rPr>
          <w:rFonts w:ascii="Times New Roman" w:hAnsi="Times New Roman" w:cs="Times New Roman"/>
          <w:b/>
          <w:sz w:val="24"/>
          <w:szCs w:val="24"/>
          <w:lang w:val="es-PE" w:eastAsia="ar-SA"/>
        </w:rPr>
        <w:t>0</w:t>
      </w:r>
      <w:r w:rsidRPr="0000335D" w:rsidR="0000335D">
        <w:rPr>
          <w:rFonts w:ascii="Times New Roman" w:hAnsi="Times New Roman" w:cs="Times New Roman"/>
          <w:b/>
          <w:sz w:val="24"/>
          <w:szCs w:val="24"/>
          <w:lang w:val="es-PE" w:eastAsia="ar-SA"/>
        </w:rPr>
        <w:t>11</w:t>
      </w:r>
      <w:r w:rsidRPr="0000335D" w:rsidR="00C671F5">
        <w:rPr>
          <w:rFonts w:ascii="Times New Roman" w:hAnsi="Times New Roman" w:cs="Times New Roman"/>
          <w:b/>
          <w:sz w:val="24"/>
          <w:szCs w:val="24"/>
          <w:lang w:val="es-PE" w:eastAsia="ar-SA"/>
        </w:rPr>
        <w:t>/2</w:t>
      </w:r>
      <w:r w:rsidRPr="0000335D" w:rsidR="00B93C7A">
        <w:rPr>
          <w:rFonts w:ascii="Times New Roman" w:hAnsi="Times New Roman" w:cs="Times New Roman"/>
          <w:b/>
          <w:sz w:val="24"/>
          <w:szCs w:val="24"/>
          <w:lang w:val="es-PE" w:eastAsia="ar-SA"/>
        </w:rPr>
        <w:t>2</w:t>
      </w:r>
    </w:p>
    <w:p w:rsidRPr="0000335D" w:rsidR="00CD1FB3" w:rsidP="00754DAC" w:rsidRDefault="00CD1FB3" w14:paraId="065C2231" w14:textId="77777777">
      <w:pPr>
        <w:spacing w:after="0" w:line="240" w:lineRule="auto"/>
        <w:jc w:val="both"/>
        <w:rPr>
          <w:rFonts w:ascii="Times New Roman" w:hAnsi="Times New Roman" w:cs="Times New Roman"/>
          <w:b/>
          <w:sz w:val="24"/>
          <w:szCs w:val="24"/>
          <w:lang w:val="es-PE"/>
        </w:rPr>
      </w:pPr>
    </w:p>
    <w:p w:rsidRPr="0000335D" w:rsidR="0000335D" w:rsidP="0000335D" w:rsidRDefault="0000335D" w14:paraId="6F6DDFC0"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00335D">
        <w:rPr>
          <w:rFonts w:ascii="Times New Roman" w:hAnsi="Times New Roman" w:eastAsia="Times New Roman" w:cs="Times New Roman"/>
          <w:b/>
          <w:bCs/>
          <w:sz w:val="24"/>
          <w:szCs w:val="24"/>
          <w:lang w:val="es-MX" w:eastAsia="ar-SA"/>
        </w:rPr>
        <w:t>Vistos:</w:t>
      </w:r>
    </w:p>
    <w:p w:rsidRPr="0000335D" w:rsidR="0000335D" w:rsidP="0000335D" w:rsidRDefault="0000335D" w14:paraId="652DB34C"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00335D">
        <w:rPr>
          <w:rFonts w:ascii="Times New Roman" w:hAnsi="Times New Roman" w:eastAsia="Times New Roman" w:cs="Times New Roman"/>
          <w:b/>
          <w:bCs/>
          <w:sz w:val="24"/>
          <w:szCs w:val="24"/>
          <w:lang w:val="es-MX" w:eastAsia="ar-SA"/>
        </w:rPr>
        <w:t xml:space="preserve">   </w:t>
      </w:r>
    </w:p>
    <w:p w:rsidRPr="0000335D" w:rsidR="0000335D" w:rsidP="0000335D" w:rsidRDefault="0000335D" w14:paraId="25444FD7" w14:textId="1DCD1C5A">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r w:rsidRPr="227A2565" w:rsidR="0000335D">
        <w:rPr>
          <w:rFonts w:ascii="Times New Roman" w:hAnsi="Times New Roman" w:eastAsia="Times New Roman" w:cs="Times New Roman"/>
          <w:sz w:val="24"/>
          <w:szCs w:val="24"/>
          <w:lang w:val="es-ES" w:eastAsia="ar-SA"/>
        </w:rPr>
        <w:t>El recurso de impugnación presentado con fecha 10 de enero de 2022 por</w:t>
      </w:r>
      <w:r w:rsidRPr="227A2565" w:rsidR="0000335D">
        <w:rPr>
          <w:rFonts w:ascii="Times New Roman" w:hAnsi="Times New Roman" w:cs="Times New Roman"/>
          <w:sz w:val="24"/>
          <w:szCs w:val="24"/>
          <w:lang w:val="es-ES"/>
        </w:rPr>
        <w:t xml:space="preserve"> </w:t>
      </w:r>
      <w:r w:rsidRPr="227A2565" w:rsidR="054E9E9A">
        <w:rPr>
          <w:rFonts w:ascii="Times New Roman" w:hAnsi="Times New Roman" w:cs="Times New Roman"/>
          <w:sz w:val="24"/>
          <w:szCs w:val="24"/>
          <w:lang w:val="es-ES"/>
        </w:rPr>
        <w:t>......................................</w:t>
      </w:r>
      <w:r w:rsidRPr="227A2565" w:rsidR="0000335D">
        <w:rPr>
          <w:rFonts w:ascii="Times New Roman" w:hAnsi="Times New Roman" w:eastAsia="Times New Roman" w:cs="Times New Roman"/>
          <w:sz w:val="24"/>
          <w:szCs w:val="24"/>
          <w:lang w:val="es-ES" w:eastAsia="ar-SA"/>
        </w:rPr>
        <w:t xml:space="preserve"> respecto de la Resolución Nro. 182/21, de fecha 16 de diciembre de 2021, que declaró FUNDADA </w:t>
      </w:r>
      <w:r w:rsidRPr="227A2565" w:rsidR="0000335D">
        <w:rPr>
          <w:rFonts w:ascii="Times New Roman" w:hAnsi="Times New Roman" w:eastAsia="Arial Unicode MS" w:cs="Times New Roman"/>
          <w:sz w:val="24"/>
          <w:szCs w:val="24"/>
          <w:lang w:val="es-PE"/>
        </w:rPr>
        <w:t xml:space="preserve">la reclamación interpuesta por </w:t>
      </w:r>
      <w:bookmarkStart w:name="OLE_LINK2" w:id="0"/>
      <w:r w:rsidRPr="227A2565" w:rsidR="0000335D">
        <w:rPr>
          <w:rFonts w:ascii="Times New Roman" w:hAnsi="Times New Roman" w:eastAsia="Arial Unicode MS" w:cs="Times New Roman"/>
          <w:sz w:val="24"/>
          <w:szCs w:val="24"/>
          <w:lang w:val="es-PE"/>
        </w:rPr>
        <w:t xml:space="preserve">los señores </w:t>
      </w:r>
      <w:r w:rsidRPr="227A2565" w:rsidR="59E5C68A">
        <w:rPr>
          <w:rFonts w:ascii="Times New Roman" w:hAnsi="Times New Roman" w:cs="Times New Roman"/>
          <w:sz w:val="24"/>
          <w:szCs w:val="24"/>
          <w:lang w:val="es-ES"/>
        </w:rPr>
        <w:t>......................................</w:t>
      </w:r>
      <w:r w:rsidRPr="227A2565" w:rsidR="0000335D">
        <w:rPr>
          <w:rFonts w:ascii="Times New Roman" w:hAnsi="Times New Roman" w:cs="Times New Roman"/>
          <w:sz w:val="24"/>
          <w:szCs w:val="24"/>
          <w:lang w:val="es-ES"/>
        </w:rPr>
        <w:t xml:space="preserve">, </w:t>
      </w:r>
      <w:r w:rsidRPr="227A2565" w:rsidR="472A3A8D">
        <w:rPr>
          <w:rFonts w:ascii="Times New Roman" w:hAnsi="Times New Roman" w:cs="Times New Roman"/>
          <w:sz w:val="24"/>
          <w:szCs w:val="24"/>
          <w:lang w:val="es-ES"/>
        </w:rPr>
        <w:t>......................................</w:t>
      </w:r>
      <w:r w:rsidRPr="227A2565" w:rsidR="0000335D">
        <w:rPr>
          <w:rFonts w:ascii="Times New Roman" w:hAnsi="Times New Roman" w:cs="Times New Roman"/>
          <w:sz w:val="24"/>
          <w:szCs w:val="24"/>
          <w:lang w:val="es-ES"/>
        </w:rPr>
        <w:t xml:space="preserve"> y </w:t>
      </w:r>
      <w:r w:rsidRPr="227A2565" w:rsidR="0C630DBC">
        <w:rPr>
          <w:rFonts w:ascii="Times New Roman" w:hAnsi="Times New Roman" w:cs="Times New Roman"/>
          <w:sz w:val="24"/>
          <w:szCs w:val="24"/>
          <w:lang w:val="es-ES"/>
        </w:rPr>
        <w:t>......................................</w:t>
      </w:r>
      <w:r w:rsidRPr="227A2565" w:rsidR="0000335D">
        <w:rPr>
          <w:rFonts w:ascii="Times New Roman" w:hAnsi="Times New Roman" w:eastAsia="Times New Roman" w:cs="Times New Roman"/>
          <w:sz w:val="24"/>
          <w:szCs w:val="24"/>
          <w:lang w:val="es-ES" w:eastAsia="es-ES"/>
        </w:rPr>
        <w:t xml:space="preserve"> </w:t>
      </w:r>
      <w:r w:rsidRPr="227A2565" w:rsidR="0000335D">
        <w:rPr>
          <w:rFonts w:ascii="Times New Roman" w:hAnsi="Times New Roman" w:cs="Times New Roman"/>
          <w:sz w:val="24"/>
          <w:szCs w:val="24"/>
          <w:lang w:val="es-ES"/>
        </w:rPr>
        <w:t xml:space="preserve">contra </w:t>
      </w:r>
      <w:r w:rsidRPr="227A2565" w:rsidR="054E9E9A">
        <w:rPr>
          <w:rFonts w:ascii="Times New Roman" w:hAnsi="Times New Roman" w:cs="Times New Roman"/>
          <w:sz w:val="24"/>
          <w:szCs w:val="24"/>
          <w:lang w:val="es-PE"/>
        </w:rPr>
        <w:t>......................................</w:t>
      </w:r>
      <w:r w:rsidRPr="227A2565" w:rsidR="0000335D">
        <w:rPr>
          <w:rFonts w:ascii="Times New Roman" w:hAnsi="Times New Roman" w:cs="Times New Roman"/>
          <w:sz w:val="24"/>
          <w:szCs w:val="24"/>
          <w:lang w:val="es-PE"/>
        </w:rPr>
        <w:t xml:space="preserve">, ordenando que se </w:t>
      </w:r>
      <w:r w:rsidRPr="227A2565" w:rsidR="0000335D">
        <w:rPr>
          <w:rFonts w:ascii="Times New Roman" w:hAnsi="Times New Roman" w:eastAsia="Times New Roman" w:cs="Times New Roman"/>
          <w:sz w:val="24"/>
          <w:szCs w:val="24"/>
          <w:lang w:val="es-PE" w:eastAsia="es-ES"/>
        </w:rPr>
        <w:t>otorgue cobertura al siniestro reclamado, de fecha 15 de enero de 2017</w:t>
      </w:r>
      <w:r w:rsidRPr="227A2565" w:rsidR="0000335D">
        <w:rPr>
          <w:rFonts w:ascii="Times New Roman" w:hAnsi="Times New Roman" w:cs="Times New Roman"/>
          <w:sz w:val="24"/>
          <w:szCs w:val="24"/>
          <w:lang w:val="es-ES" w:eastAsia="es-ES"/>
        </w:rPr>
        <w:t>,</w:t>
      </w:r>
      <w:r w:rsidRPr="227A2565" w:rsidR="0000335D">
        <w:rPr>
          <w:rFonts w:ascii="Times New Roman" w:hAnsi="Times New Roman" w:eastAsia="Times New Roman" w:cs="Times New Roman"/>
          <w:sz w:val="24"/>
          <w:szCs w:val="24"/>
          <w:lang w:val="es-ES" w:eastAsia="es-ES"/>
        </w:rPr>
        <w:t xml:space="preserve"> conforme</w:t>
      </w:r>
      <w:r w:rsidRPr="227A2565" w:rsidR="0000335D">
        <w:rPr>
          <w:rFonts w:ascii="Times New Roman" w:hAnsi="Times New Roman" w:eastAsia="Times New Roman" w:cs="Times New Roman"/>
          <w:sz w:val="24"/>
          <w:szCs w:val="24"/>
          <w:lang w:val="es-PE" w:eastAsia="es-ES"/>
        </w:rPr>
        <w:t xml:space="preserve"> a los términos y condiciones del correspondiente </w:t>
      </w:r>
      <w:r w:rsidRPr="227A2565" w:rsidR="0000335D">
        <w:rPr>
          <w:rFonts w:ascii="Times New Roman" w:hAnsi="Times New Roman" w:cs="Times New Roman"/>
          <w:sz w:val="24"/>
          <w:szCs w:val="24"/>
          <w:lang w:val="es-ES"/>
        </w:rPr>
        <w:t>Seguro</w:t>
      </w:r>
      <w:r w:rsidRPr="227A2565" w:rsidR="0000335D">
        <w:rPr>
          <w:rFonts w:ascii="Times New Roman" w:hAnsi="Times New Roman" w:cs="Times New Roman"/>
          <w:sz w:val="24"/>
          <w:szCs w:val="24"/>
          <w:lang w:val="es-ES"/>
        </w:rPr>
        <w:t xml:space="preserve"> </w:t>
      </w:r>
      <w:r w:rsidRPr="227A2565" w:rsidR="0000335D">
        <w:rPr>
          <w:rFonts w:ascii="Times New Roman" w:hAnsi="Times New Roman" w:cs="Times New Roman"/>
          <w:sz w:val="24"/>
          <w:szCs w:val="24"/>
          <w:lang w:val="es-PE"/>
        </w:rPr>
        <w:t>de Protección de Tarjeta.</w:t>
      </w:r>
    </w:p>
    <w:p w:rsidRPr="0000335D" w:rsidR="0000335D" w:rsidP="0000335D" w:rsidRDefault="0000335D" w14:paraId="48B7ADCB"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p>
    <w:bookmarkEnd w:id="0"/>
    <w:p w:rsidRPr="0000335D" w:rsidR="0000335D" w:rsidP="227A2565" w:rsidRDefault="0000335D" w14:paraId="4993118C" w14:textId="0DC68A9E">
      <w:pPr>
        <w:suppressAutoHyphens/>
        <w:spacing w:after="0" w:line="240" w:lineRule="auto"/>
        <w:jc w:val="both"/>
        <w:rPr>
          <w:rFonts w:ascii="Times New Roman" w:hAnsi="Times New Roman" w:eastAsia="Times New Roman" w:cs="Times New Roman"/>
          <w:sz w:val="24"/>
          <w:szCs w:val="24"/>
          <w:lang w:val="es-MX" w:eastAsia="ar-SA"/>
        </w:rPr>
      </w:pPr>
      <w:r w:rsidRPr="227A2565" w:rsidR="0000335D">
        <w:rPr>
          <w:rFonts w:ascii="Times New Roman" w:hAnsi="Times New Roman" w:eastAsia="Times New Roman" w:cs="Times New Roman"/>
          <w:sz w:val="24"/>
          <w:szCs w:val="24"/>
          <w:lang w:val="es-MX" w:eastAsia="ar-SA"/>
        </w:rPr>
        <w:t xml:space="preserve">Que, a través del señalado recurso, </w:t>
      </w:r>
      <w:r w:rsidRPr="227A2565" w:rsidR="054E9E9A">
        <w:rPr>
          <w:rFonts w:ascii="Times New Roman" w:hAnsi="Times New Roman" w:eastAsia="Times New Roman" w:cs="Times New Roman"/>
          <w:sz w:val="24"/>
          <w:szCs w:val="24"/>
          <w:lang w:val="es-MX" w:eastAsia="ar-SA"/>
        </w:rPr>
        <w:t>......................................</w:t>
      </w:r>
      <w:r w:rsidRPr="227A2565" w:rsidR="0000335D">
        <w:rPr>
          <w:rFonts w:ascii="Times New Roman" w:hAnsi="Times New Roman" w:eastAsia="Times New Roman" w:cs="Times New Roman"/>
          <w:sz w:val="24"/>
          <w:szCs w:val="24"/>
          <w:lang w:val="es-MX" w:eastAsia="ar-SA"/>
        </w:rPr>
        <w:t xml:space="preserve"> sustenta su impugnación resumidamente en lo siguiente: a) La resolución recurrida destaca que </w:t>
      </w:r>
      <w:r w:rsidRPr="227A2565" w:rsidR="054E9E9A">
        <w:rPr>
          <w:rFonts w:ascii="Times New Roman" w:hAnsi="Times New Roman" w:eastAsia="Times New Roman" w:cs="Times New Roman"/>
          <w:sz w:val="24"/>
          <w:szCs w:val="24"/>
          <w:lang w:val="es-MX" w:eastAsia="ar-SA"/>
        </w:rPr>
        <w:t>......................................</w:t>
      </w:r>
      <w:r w:rsidRPr="227A2565" w:rsidR="0000335D">
        <w:rPr>
          <w:rFonts w:ascii="Times New Roman" w:hAnsi="Times New Roman" w:eastAsia="Times New Roman" w:cs="Times New Roman"/>
          <w:sz w:val="24"/>
          <w:szCs w:val="24"/>
          <w:lang w:val="es-MX" w:eastAsia="ar-SA"/>
        </w:rPr>
        <w:t xml:space="preserve"> únicamente invocó como causal de rechazo de cobertura la terminación de la póliza como consecuencia del fallecimiento del asegurado, argumento que fue planteado dentro del correspondiente plazo legal; además, que dicha condición contractual es inoponible al asegurado porque </w:t>
      </w:r>
      <w:r w:rsidRPr="227A2565" w:rsidR="054E9E9A">
        <w:rPr>
          <w:rFonts w:ascii="Times New Roman" w:hAnsi="Times New Roman" w:eastAsia="Times New Roman" w:cs="Times New Roman"/>
          <w:sz w:val="24"/>
          <w:szCs w:val="24"/>
          <w:lang w:val="es-MX" w:eastAsia="ar-SA"/>
        </w:rPr>
        <w:t>......................................</w:t>
      </w:r>
      <w:r w:rsidRPr="227A2565" w:rsidR="0000335D">
        <w:rPr>
          <w:rFonts w:ascii="Times New Roman" w:hAnsi="Times New Roman" w:eastAsia="Times New Roman" w:cs="Times New Roman"/>
          <w:sz w:val="24"/>
          <w:szCs w:val="24"/>
          <w:lang w:val="es-MX" w:eastAsia="ar-SA"/>
        </w:rPr>
        <w:t xml:space="preserve"> no ha demostrado que fue puesta en conocimiento del asegurado mediante la entrega de la correspondiente póliza, y que resulta extemporánea la invocación de la aseguradora que, conforme a la reglamentación correspondiente, las empresas bancarias asumen los riesgos de fraude y/o clonación de tarjetas, b) </w:t>
      </w:r>
      <w:r w:rsidRPr="227A2565" w:rsidR="054E9E9A">
        <w:rPr>
          <w:rFonts w:ascii="Times New Roman" w:hAnsi="Times New Roman" w:eastAsia="Times New Roman" w:cs="Times New Roman"/>
          <w:sz w:val="24"/>
          <w:szCs w:val="24"/>
          <w:lang w:val="es-MX" w:eastAsia="ar-SA"/>
        </w:rPr>
        <w:t>......................................</w:t>
      </w:r>
      <w:r w:rsidRPr="227A2565" w:rsidR="0000335D">
        <w:rPr>
          <w:rFonts w:ascii="Times New Roman" w:hAnsi="Times New Roman" w:eastAsia="Times New Roman" w:cs="Times New Roman"/>
          <w:sz w:val="24"/>
          <w:szCs w:val="24"/>
          <w:lang w:val="es-MX" w:eastAsia="ar-SA"/>
        </w:rPr>
        <w:t xml:space="preserve">  declara que, con fecha 13 de diciembre de 2016, recibió una notificación relativa al expediente Nro. </w:t>
      </w:r>
      <w:r w:rsidRPr="227A2565" w:rsidR="10C5395A">
        <w:rPr>
          <w:rFonts w:ascii="Times New Roman" w:hAnsi="Times New Roman" w:eastAsia="Times New Roman" w:cs="Times New Roman"/>
          <w:sz w:val="24"/>
          <w:szCs w:val="24"/>
          <w:lang w:val="es-MX" w:eastAsia="ar-SA"/>
        </w:rPr>
        <w:t>......................................</w:t>
      </w:r>
      <w:r w:rsidRPr="227A2565" w:rsidR="0000335D">
        <w:rPr>
          <w:rFonts w:ascii="Times New Roman" w:hAnsi="Times New Roman" w:eastAsia="Times New Roman" w:cs="Times New Roman"/>
          <w:sz w:val="24"/>
          <w:szCs w:val="24"/>
          <w:lang w:val="es-MX" w:eastAsia="ar-SA"/>
        </w:rPr>
        <w:t xml:space="preserve">-DENUNCIA, por la que se admite a trámite la denuncia de los reclamantes contra </w:t>
      </w:r>
      <w:r w:rsidRPr="227A2565" w:rsidR="054E9E9A">
        <w:rPr>
          <w:rFonts w:ascii="Times New Roman" w:hAnsi="Times New Roman" w:eastAsia="Times New Roman" w:cs="Times New Roman"/>
          <w:sz w:val="24"/>
          <w:szCs w:val="24"/>
          <w:lang w:val="es-MX" w:eastAsia="ar-SA"/>
        </w:rPr>
        <w:t>......................................</w:t>
      </w:r>
      <w:r w:rsidRPr="227A2565" w:rsidR="0000335D">
        <w:rPr>
          <w:rFonts w:ascii="Times New Roman" w:hAnsi="Times New Roman" w:eastAsia="Times New Roman" w:cs="Times New Roman"/>
          <w:sz w:val="24"/>
          <w:szCs w:val="24"/>
          <w:lang w:val="es-MX" w:eastAsia="ar-SA"/>
        </w:rPr>
        <w:t xml:space="preserve"> por los mismos hechos relativos a la reclamación conocida por la DEFASEG, y cuya pretensión es también la misma, hecho que no ha sido informado por los reclamantes y que determina que, conforme a su Reglamento, la DEFASEG carezca de competencia, razón por la cual la resolución recurrida está viciada de nulidad, siendo finalmente improcedente la reclamación, c) Siendo que la delimitación de los riesgos asegurables se enmarca en lo establecido en el correspondiente contrato y en la ley, debe aplicarse lo establecido en los artículos 23 y 24 de la Resolución SBS Nro. 6523-2013-SBS, Reglamento de Tarjetas de Crédito y de Débito, conforme a los cuales los riesgos de clonación y de suplantación del usuario en las oficinas los asume la empresa financiera, no pudiendo ser trasladado al cliente mediante sistema de seguros, lo cual implica que el cliente de la empresa financiera no puedo contratar las mismas, lo cual corresponde solo a las empresas financieras, d) Dicha disposición entró en vigencia el 1 de abril de 2014, esto es, con anterioridad a la fecha en que se contrató el seguro, 22 de mayo de 2014, e) Conforme a lo anterior, debe aplicarse la señalada normativa y no obligar a otorgar cobertura respecto a un riesgo </w:t>
      </w:r>
      <w:r w:rsidRPr="227A2565" w:rsidR="0000335D">
        <w:rPr>
          <w:rFonts w:ascii="Times New Roman" w:hAnsi="Times New Roman" w:eastAsia="Times New Roman" w:cs="Times New Roman"/>
          <w:sz w:val="24"/>
          <w:szCs w:val="24"/>
          <w:lang w:val="es-MX" w:eastAsia="ar-SA"/>
        </w:rPr>
        <w:t>inasegurable</w:t>
      </w:r>
      <w:r w:rsidRPr="227A2565" w:rsidR="0000335D">
        <w:rPr>
          <w:rFonts w:ascii="Times New Roman" w:hAnsi="Times New Roman" w:eastAsia="Times New Roman" w:cs="Times New Roman"/>
          <w:sz w:val="24"/>
          <w:szCs w:val="24"/>
          <w:lang w:val="es-MX" w:eastAsia="ar-SA"/>
        </w:rPr>
        <w:t xml:space="preserve">, por más que ello no se haya invocado con ocasión del rechazo, ya que se está ante un caso de clonación de tarjeta, según ha sido identificado y aceptado, f) Conforme a la propia jurisprudencia de la DEFASEG, en lo que se refiere a delimitación positiva del riesgo, no es necesario acreditar que se cumplió con la entrega de la póliza, siendo que la disposición sobre extinción de la cobertura por fallecimiento del asegurado (cláusula de terminación de cobertura) corresponde a un supuesto de delimitación positiva, de índole temporal, del riesgo, siendo incontrovertido que el asegurado falleció con fecha 19 de julio de 2015, y g) Por último, según la denuncia interpuesta ante el INDECOPI, no se estaría ante una clonación sino que habría sido la propia entidad bancaria la que entregó una copia de la tarjeta a un tercero desconocido, situación que también corresponde a un riesgo </w:t>
      </w:r>
      <w:r w:rsidRPr="227A2565" w:rsidR="0000335D">
        <w:rPr>
          <w:rFonts w:ascii="Times New Roman" w:hAnsi="Times New Roman" w:eastAsia="Times New Roman" w:cs="Times New Roman"/>
          <w:sz w:val="24"/>
          <w:szCs w:val="24"/>
          <w:lang w:val="es-MX" w:eastAsia="ar-SA"/>
        </w:rPr>
        <w:t>inasegurable</w:t>
      </w:r>
      <w:r w:rsidRPr="227A2565" w:rsidR="0000335D">
        <w:rPr>
          <w:rFonts w:ascii="Times New Roman" w:hAnsi="Times New Roman" w:eastAsia="Times New Roman" w:cs="Times New Roman"/>
          <w:sz w:val="24"/>
          <w:szCs w:val="24"/>
          <w:lang w:val="es-MX" w:eastAsia="ar-SA"/>
        </w:rPr>
        <w:t>, conforme al artículo 23, inciso 6, del reglamento aprobado mediante Resolución SBS Nro. 6523-2013-SBS;</w:t>
      </w:r>
    </w:p>
    <w:p w:rsidRPr="0000335D" w:rsidR="0000335D" w:rsidP="0000335D" w:rsidRDefault="0000335D" w14:paraId="2A1508AB"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00335D" w:rsidR="0000335D" w:rsidP="227A2565" w:rsidRDefault="0000335D" w14:paraId="03FA55AD" w14:textId="5BF943CB">
      <w:pPr>
        <w:suppressAutoHyphens/>
        <w:spacing w:after="0" w:line="240" w:lineRule="auto"/>
        <w:jc w:val="both"/>
        <w:rPr>
          <w:rFonts w:ascii="Times New Roman" w:hAnsi="Times New Roman" w:eastAsia="Times New Roman" w:cs="Times New Roman"/>
          <w:sz w:val="24"/>
          <w:szCs w:val="24"/>
          <w:lang w:val="es-MX" w:eastAsia="ar-SA"/>
        </w:rPr>
      </w:pPr>
      <w:r w:rsidRPr="227A2565" w:rsidR="0000335D">
        <w:rPr>
          <w:rFonts w:ascii="Times New Roman" w:hAnsi="Times New Roman" w:eastAsia="Times New Roman" w:cs="Times New Roman"/>
          <w:sz w:val="24"/>
          <w:szCs w:val="24"/>
          <w:lang w:val="es-MX" w:eastAsia="ar-SA"/>
        </w:rPr>
        <w:t xml:space="preserve">Que, habiéndosele corrido traslado de la señalada impugnación, mediante escrito presentado el 20 de enero de 2022 los reclamantes absolvieron el trámite, manifestando resumidamente lo siguiente: a) La denuncia ante INDECOPI referida por la aseguradora no fue interpuesta contra ella, sino contra el </w:t>
      </w:r>
      <w:r w:rsidRPr="227A2565" w:rsidR="61F4BD6C">
        <w:rPr>
          <w:rFonts w:ascii="Times New Roman" w:hAnsi="Times New Roman" w:eastAsia="Times New Roman" w:cs="Times New Roman"/>
          <w:sz w:val="24"/>
          <w:szCs w:val="24"/>
          <w:lang w:val="es-MX" w:eastAsia="ar-SA"/>
        </w:rPr>
        <w:t>......................................</w:t>
      </w:r>
      <w:r w:rsidRPr="227A2565" w:rsidR="0000335D">
        <w:rPr>
          <w:rFonts w:ascii="Times New Roman" w:hAnsi="Times New Roman" w:eastAsia="Times New Roman" w:cs="Times New Roman"/>
          <w:sz w:val="24"/>
          <w:szCs w:val="24"/>
          <w:lang w:val="es-MX" w:eastAsia="ar-SA"/>
        </w:rPr>
        <w:t>, por no haber adoptado las medidas de seguridad al fallecimiento del asegurado, bloqueando la tarjeta, denuncia que fue declarada improcedente, siendo que fue el propio INDECOPI el que de oficio incluyó a la aseguradora, y b) Fue el propio INDECOPI el que sugirió que para efectos de dicho reclamo se debería acudir a la DEFASEG, como en efecto se ha acudido;</w:t>
      </w:r>
    </w:p>
    <w:p w:rsidRPr="0000335D" w:rsidR="0000335D" w:rsidP="0000335D" w:rsidRDefault="0000335D" w14:paraId="35B58140"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00335D" w:rsidR="0000335D" w:rsidP="0000335D" w:rsidRDefault="0000335D" w14:paraId="0F2C3EF5" w14:textId="77777777">
      <w:pPr>
        <w:suppressAutoHyphens/>
        <w:spacing w:after="0" w:line="240" w:lineRule="auto"/>
        <w:jc w:val="both"/>
        <w:rPr>
          <w:rFonts w:ascii="Times New Roman" w:hAnsi="Times New Roman" w:cs="Times New Roman"/>
          <w:bCs/>
          <w:sz w:val="24"/>
          <w:szCs w:val="24"/>
          <w:lang w:val="es-ES"/>
        </w:rPr>
      </w:pPr>
      <w:r w:rsidRPr="0000335D">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Pr="0000335D" w:rsidR="0000335D" w:rsidP="0000335D" w:rsidRDefault="0000335D" w14:paraId="2F77F427"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00335D" w:rsidR="0000335D" w:rsidP="0000335D" w:rsidRDefault="0000335D" w14:paraId="27DE4A05"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00335D">
        <w:rPr>
          <w:rFonts w:ascii="Times New Roman" w:hAnsi="Times New Roman" w:eastAsia="Times New Roman" w:cs="Times New Roman"/>
          <w:b/>
          <w:bCs/>
          <w:sz w:val="24"/>
          <w:szCs w:val="24"/>
          <w:lang w:val="es-MX" w:eastAsia="ar-SA"/>
        </w:rPr>
        <w:t>Considerando:</w:t>
      </w:r>
    </w:p>
    <w:p w:rsidRPr="0000335D" w:rsidR="0000335D" w:rsidP="0000335D" w:rsidRDefault="0000335D" w14:paraId="15CA7118" w14:textId="77777777">
      <w:pPr>
        <w:suppressAutoHyphens/>
        <w:spacing w:after="0" w:line="240" w:lineRule="auto"/>
        <w:jc w:val="both"/>
        <w:rPr>
          <w:rFonts w:ascii="Times New Roman" w:hAnsi="Times New Roman" w:eastAsia="Times New Roman" w:cs="Times New Roman"/>
          <w:sz w:val="24"/>
          <w:szCs w:val="24"/>
          <w:lang w:val="es-ES" w:eastAsia="ar-SA"/>
        </w:rPr>
      </w:pPr>
    </w:p>
    <w:p w:rsidRPr="0000335D" w:rsidR="0000335D" w:rsidP="0000335D" w:rsidRDefault="0000335D" w14:paraId="12615FF1" w14:textId="77777777">
      <w:pPr>
        <w:spacing w:after="0" w:line="240" w:lineRule="auto"/>
        <w:jc w:val="both"/>
        <w:rPr>
          <w:rFonts w:ascii="Times New Roman" w:hAnsi="Times New Roman" w:cs="Times New Roman"/>
          <w:sz w:val="24"/>
          <w:szCs w:val="24"/>
          <w:lang w:val="es-PE"/>
        </w:rPr>
      </w:pPr>
      <w:r w:rsidRPr="0000335D">
        <w:rPr>
          <w:rFonts w:ascii="Times New Roman" w:hAnsi="Times New Roman" w:cs="Times New Roman"/>
          <w:b/>
          <w:sz w:val="24"/>
          <w:szCs w:val="24"/>
          <w:u w:val="single"/>
          <w:lang w:val="es-PE"/>
        </w:rPr>
        <w:t>Primero</w:t>
      </w:r>
      <w:r w:rsidRPr="0000335D">
        <w:rPr>
          <w:rFonts w:ascii="Times New Roman" w:hAnsi="Times New Roman" w:cs="Times New Roman"/>
          <w:b/>
          <w:sz w:val="24"/>
          <w:szCs w:val="24"/>
          <w:lang w:val="es-PE"/>
        </w:rPr>
        <w:t>:</w:t>
      </w:r>
      <w:r w:rsidRPr="0000335D">
        <w:rPr>
          <w:rFonts w:ascii="Times New Roman" w:hAnsi="Times New Roman" w:cs="Times New Roman"/>
          <w:sz w:val="24"/>
          <w:szCs w:val="24"/>
          <w:lang w:val="es-PE"/>
        </w:rPr>
        <w:t xml:space="preserve"> El Reglamento de la DEFASEG </w:t>
      </w:r>
      <w:r w:rsidRPr="0000335D">
        <w:rPr>
          <w:rFonts w:ascii="Times New Roman" w:hAnsi="Times New Roman" w:eastAsia="Arial Unicode MS" w:cs="Times New Roman"/>
          <w:sz w:val="24"/>
          <w:szCs w:val="24"/>
          <w:lang w:val="es-PE"/>
        </w:rPr>
        <w:t xml:space="preserve">(http://www.defaseg.com.pe/reglamento), en su artículo 10, </w:t>
      </w:r>
      <w:r w:rsidRPr="0000335D">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00335D">
        <w:rPr>
          <w:rFonts w:ascii="Times New Roman" w:hAnsi="Times New Roman" w:cs="Times New Roman"/>
          <w:sz w:val="24"/>
          <w:szCs w:val="24"/>
          <w:lang w:val="es-ES"/>
        </w:rPr>
        <w:t>usuario de seguro recurre en forma voluntaria a la Defensoría, siendo que la presentación de una reclamación n</w:t>
      </w:r>
      <w:r w:rsidRPr="0000335D">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00335D">
        <w:rPr>
          <w:rFonts w:ascii="Times New Roman" w:hAnsi="Times New Roman" w:cs="Times New Roman"/>
          <w:sz w:val="24"/>
          <w:szCs w:val="24"/>
          <w:lang w:val="es-PE"/>
        </w:rPr>
        <w:t>De acuerdo a</w:t>
      </w:r>
      <w:proofErr w:type="gramEnd"/>
      <w:r w:rsidRPr="0000335D">
        <w:rPr>
          <w:rFonts w:ascii="Times New Roman" w:hAnsi="Times New Roman" w:cs="Times New Roman"/>
          <w:sz w:val="24"/>
          <w:szCs w:val="24"/>
          <w:lang w:val="es-PE"/>
        </w:rPr>
        <w:t xml:space="preserve"> lo anterior, si el asegurado no se encuentra conforme con lo resuelto, esto último no limita la posibilidad de poder recurrir a las instancias correspondientes, a diferencia de la aseguradora que sí queda comprometida con lo resuelto por la DEFASEG.</w:t>
      </w:r>
    </w:p>
    <w:p w:rsidRPr="0000335D" w:rsidR="0000335D" w:rsidP="0000335D" w:rsidRDefault="0000335D" w14:paraId="3CAA5932" w14:textId="77777777">
      <w:pPr>
        <w:spacing w:after="0" w:line="240" w:lineRule="auto"/>
        <w:jc w:val="both"/>
        <w:rPr>
          <w:rFonts w:ascii="Times New Roman" w:hAnsi="Times New Roman" w:cs="Times New Roman"/>
          <w:sz w:val="24"/>
          <w:szCs w:val="24"/>
          <w:lang w:val="es-PE"/>
        </w:rPr>
      </w:pPr>
    </w:p>
    <w:p w:rsidRPr="0000335D" w:rsidR="0000335D" w:rsidP="0000335D" w:rsidRDefault="0000335D" w14:paraId="6E2CB94A" w14:textId="351EF3CF">
      <w:pPr>
        <w:tabs>
          <w:tab w:val="left" w:pos="0"/>
          <w:tab w:val="left" w:pos="2160"/>
        </w:tabs>
        <w:spacing w:after="0" w:line="240" w:lineRule="auto"/>
        <w:jc w:val="both"/>
        <w:rPr>
          <w:rFonts w:ascii="Times New Roman" w:hAnsi="Times New Roman" w:cs="Times New Roman"/>
          <w:sz w:val="24"/>
          <w:szCs w:val="24"/>
          <w:lang w:val="es-PE"/>
        </w:rPr>
      </w:pPr>
      <w:r w:rsidRPr="227A2565" w:rsidR="0000335D">
        <w:rPr>
          <w:rFonts w:ascii="Times New Roman" w:hAnsi="Times New Roman" w:cs="Times New Roman"/>
          <w:b w:val="1"/>
          <w:bCs w:val="1"/>
          <w:sz w:val="24"/>
          <w:szCs w:val="24"/>
          <w:u w:val="single"/>
          <w:lang w:val="es-PE"/>
        </w:rPr>
        <w:t>Segundo</w:t>
      </w:r>
      <w:r w:rsidRPr="227A2565" w:rsidR="0000335D">
        <w:rPr>
          <w:rFonts w:ascii="Times New Roman" w:hAnsi="Times New Roman" w:cs="Times New Roman"/>
          <w:b w:val="1"/>
          <w:bCs w:val="1"/>
          <w:sz w:val="24"/>
          <w:szCs w:val="24"/>
          <w:lang w:val="es-PE"/>
        </w:rPr>
        <w:t>:</w:t>
      </w:r>
      <w:r w:rsidRPr="227A2565" w:rsidR="0000335D">
        <w:rPr>
          <w:rFonts w:ascii="Times New Roman" w:hAnsi="Times New Roman" w:cs="Times New Roman"/>
          <w:sz w:val="24"/>
          <w:szCs w:val="24"/>
          <w:lang w:val="es-PE"/>
        </w:rPr>
        <w:t xml:space="preserve"> Atendiendo a los fundamentos de la impugnación interpuesta, se advierte que </w:t>
      </w:r>
      <w:r w:rsidRPr="227A2565" w:rsidR="054E9E9A">
        <w:rPr>
          <w:rFonts w:ascii="Times New Roman" w:hAnsi="Times New Roman" w:cs="Times New Roman"/>
          <w:sz w:val="24"/>
          <w:szCs w:val="24"/>
          <w:lang w:val="es-PE"/>
        </w:rPr>
        <w:t>......................................</w:t>
      </w:r>
      <w:r w:rsidRPr="227A2565" w:rsidR="0000335D">
        <w:rPr>
          <w:rFonts w:ascii="Times New Roman" w:hAnsi="Times New Roman" w:cs="Times New Roman"/>
          <w:sz w:val="24"/>
          <w:szCs w:val="24"/>
          <w:lang w:val="es-PE"/>
        </w:rPr>
        <w:t xml:space="preserve"> invoca dos argumentos.  Uno de ellos, procedimental, en el sentido que la DEFASEG no era competente para expedir la resolución recurrida, porque la materia había sido llevada ante el INDECOPI mediante una denuncia en su contra.  El otro, es sustantivo, en el sentido que la cláusula que regula la muerte del asegurado como causal de terminación o extinción de la cobertura corresponde a una delimitación positiva de riesgo, de índole temporal, siendo que, </w:t>
      </w:r>
      <w:r w:rsidRPr="227A2565" w:rsidR="0000335D">
        <w:rPr>
          <w:rFonts w:ascii="Times New Roman" w:hAnsi="Times New Roman" w:cs="Times New Roman"/>
          <w:sz w:val="24"/>
          <w:szCs w:val="24"/>
          <w:lang w:val="es-PE"/>
        </w:rPr>
        <w:t>en razón de</w:t>
      </w:r>
      <w:r w:rsidRPr="227A2565" w:rsidR="0000335D">
        <w:rPr>
          <w:rFonts w:ascii="Times New Roman" w:hAnsi="Times New Roman" w:cs="Times New Roman"/>
          <w:sz w:val="24"/>
          <w:szCs w:val="24"/>
          <w:lang w:val="es-PE"/>
        </w:rPr>
        <w:t xml:space="preserve"> ello, no se requiere probar para invocarla que la póliza fue entregada, al no ser un tema de exclusiones, garantías, cargas, o situaciones semejantes.</w:t>
      </w:r>
    </w:p>
    <w:p w:rsidRPr="0000335D" w:rsidR="0000335D" w:rsidP="0000335D" w:rsidRDefault="0000335D" w14:paraId="44CD3BD3" w14:textId="77777777">
      <w:pPr>
        <w:tabs>
          <w:tab w:val="left" w:pos="0"/>
          <w:tab w:val="left" w:pos="2160"/>
        </w:tabs>
        <w:spacing w:after="0" w:line="240" w:lineRule="auto"/>
        <w:jc w:val="both"/>
        <w:rPr>
          <w:rFonts w:ascii="Times New Roman" w:hAnsi="Times New Roman" w:cs="Times New Roman"/>
          <w:sz w:val="24"/>
          <w:szCs w:val="24"/>
          <w:lang w:val="es-PE"/>
        </w:rPr>
      </w:pPr>
    </w:p>
    <w:p w:rsidRPr="0000335D" w:rsidR="0000335D" w:rsidP="0000335D" w:rsidRDefault="0000335D" w14:paraId="107CF5E1" w14:textId="4DF4A3D0">
      <w:pPr>
        <w:tabs>
          <w:tab w:val="left" w:pos="0"/>
          <w:tab w:val="left" w:pos="709"/>
          <w:tab w:val="left" w:pos="2160"/>
        </w:tabs>
        <w:spacing w:after="0" w:line="240" w:lineRule="auto"/>
        <w:ind w:left="705" w:hanging="705"/>
        <w:jc w:val="both"/>
        <w:rPr>
          <w:rFonts w:ascii="Times New Roman" w:hAnsi="Times New Roman" w:cs="Times New Roman"/>
          <w:sz w:val="24"/>
          <w:szCs w:val="24"/>
          <w:lang w:val="es-PE"/>
        </w:rPr>
      </w:pPr>
      <w:r w:rsidRPr="227A2565" w:rsidR="0000335D">
        <w:rPr>
          <w:rFonts w:ascii="Times New Roman" w:hAnsi="Times New Roman" w:cs="Times New Roman"/>
          <w:sz w:val="24"/>
          <w:szCs w:val="24"/>
          <w:lang w:val="es-PE"/>
        </w:rPr>
        <w:t>2.1.</w:t>
      </w:r>
      <w:r>
        <w:tab/>
      </w:r>
      <w:r w:rsidRPr="227A2565" w:rsidR="0000335D">
        <w:rPr>
          <w:rFonts w:ascii="Times New Roman" w:hAnsi="Times New Roman" w:cs="Times New Roman"/>
          <w:sz w:val="24"/>
          <w:szCs w:val="24"/>
          <w:lang w:val="es-PE"/>
        </w:rPr>
        <w:t xml:space="preserve">Con fecha 13 de diciembre de 2021, una semana después de la audiencia de vista, </w:t>
      </w:r>
      <w:r w:rsidRPr="227A2565" w:rsidR="054E9E9A">
        <w:rPr>
          <w:rFonts w:ascii="Times New Roman" w:hAnsi="Times New Roman" w:cs="Times New Roman"/>
          <w:sz w:val="24"/>
          <w:szCs w:val="24"/>
          <w:lang w:val="es-PE"/>
        </w:rPr>
        <w:t>......................................</w:t>
      </w:r>
      <w:r w:rsidRPr="227A2565" w:rsidR="0000335D">
        <w:rPr>
          <w:rFonts w:ascii="Times New Roman" w:hAnsi="Times New Roman" w:cs="Times New Roman"/>
          <w:sz w:val="24"/>
          <w:szCs w:val="24"/>
          <w:lang w:val="es-PE"/>
        </w:rPr>
        <w:t xml:space="preserve"> fue notificada de la denuncia interpuesta por los reclamantes ante el INDECOPI.  La resolución recurrida lleva fecha del 16 de diciembre de 2021, siendo que los reclamantes no informaron en momento alguno que habían decidido hacer valer su pretensión ante instancia diferente a esta Defensoría.</w:t>
      </w:r>
    </w:p>
    <w:p w:rsidRPr="0000335D" w:rsidR="0000335D" w:rsidP="0000335D" w:rsidRDefault="0000335D" w14:paraId="24F1859E" w14:textId="77777777">
      <w:pPr>
        <w:tabs>
          <w:tab w:val="left" w:pos="0"/>
          <w:tab w:val="left" w:pos="709"/>
          <w:tab w:val="left" w:pos="2160"/>
        </w:tabs>
        <w:spacing w:after="0" w:line="240" w:lineRule="auto"/>
        <w:ind w:left="705" w:hanging="705"/>
        <w:jc w:val="both"/>
        <w:rPr>
          <w:rFonts w:ascii="Times New Roman" w:hAnsi="Times New Roman" w:cs="Times New Roman"/>
          <w:sz w:val="24"/>
          <w:szCs w:val="24"/>
          <w:lang w:val="es-PE"/>
        </w:rPr>
      </w:pPr>
    </w:p>
    <w:p w:rsidRPr="0000335D" w:rsidR="0000335D" w:rsidP="0000335D" w:rsidRDefault="0000335D" w14:paraId="609FBFCF" w14:textId="076C94BC">
      <w:pPr>
        <w:tabs>
          <w:tab w:val="left" w:pos="0"/>
          <w:tab w:val="left" w:pos="709"/>
          <w:tab w:val="left" w:pos="2160"/>
        </w:tabs>
        <w:spacing w:after="0" w:line="240" w:lineRule="auto"/>
        <w:ind w:left="705" w:hanging="705"/>
        <w:jc w:val="both"/>
        <w:rPr>
          <w:rFonts w:ascii="Times New Roman" w:hAnsi="Times New Roman" w:cs="Times New Roman"/>
          <w:sz w:val="24"/>
          <w:szCs w:val="24"/>
          <w:lang w:val="es-PE"/>
        </w:rPr>
      </w:pPr>
      <w:r w:rsidRPr="227A2565" w:rsidR="0000335D">
        <w:rPr>
          <w:rFonts w:ascii="Times New Roman" w:hAnsi="Times New Roman" w:cs="Times New Roman"/>
          <w:sz w:val="24"/>
          <w:szCs w:val="24"/>
          <w:lang w:val="es-PE"/>
        </w:rPr>
        <w:t>2.2.</w:t>
      </w:r>
      <w:r>
        <w:tab/>
      </w:r>
      <w:r w:rsidRPr="227A2565" w:rsidR="0000335D">
        <w:rPr>
          <w:rFonts w:ascii="Times New Roman" w:hAnsi="Times New Roman" w:cs="Times New Roman"/>
          <w:sz w:val="24"/>
          <w:szCs w:val="24"/>
          <w:lang w:val="es-PE"/>
        </w:rPr>
        <w:t xml:space="preserve">Conforme a la documentación que obra como medio probatorio adjunto al recurso de impugnación, la denuncia ante el INDECOPI fue interpuesta no sólo contra el </w:t>
      </w:r>
      <w:r w:rsidRPr="227A2565" w:rsidR="61F4BD6C">
        <w:rPr>
          <w:rFonts w:ascii="Times New Roman" w:hAnsi="Times New Roman" w:cs="Times New Roman"/>
          <w:sz w:val="24"/>
          <w:szCs w:val="24"/>
          <w:lang w:val="es-PE"/>
        </w:rPr>
        <w:t>......................................</w:t>
      </w:r>
      <w:r w:rsidRPr="227A2565" w:rsidR="0000335D">
        <w:rPr>
          <w:rFonts w:ascii="Times New Roman" w:hAnsi="Times New Roman" w:cs="Times New Roman"/>
          <w:sz w:val="24"/>
          <w:szCs w:val="24"/>
          <w:lang w:val="es-PE"/>
        </w:rPr>
        <w:t xml:space="preserve"> (</w:t>
      </w:r>
      <w:r w:rsidRPr="227A2565" w:rsidR="0ED84358">
        <w:rPr>
          <w:rFonts w:ascii="Times New Roman" w:hAnsi="Times New Roman" w:cs="Times New Roman"/>
          <w:sz w:val="24"/>
          <w:szCs w:val="24"/>
          <w:lang w:val="es-PE"/>
        </w:rPr>
        <w:t>............</w:t>
      </w:r>
      <w:r w:rsidRPr="227A2565" w:rsidR="0000335D">
        <w:rPr>
          <w:rFonts w:ascii="Times New Roman" w:hAnsi="Times New Roman" w:cs="Times New Roman"/>
          <w:sz w:val="24"/>
          <w:szCs w:val="24"/>
          <w:lang w:val="es-PE"/>
        </w:rPr>
        <w:t xml:space="preserve">), sino también contra el Seguro PROTTAR 10721858 de </w:t>
      </w:r>
      <w:r w:rsidRPr="227A2565" w:rsidR="054E9E9A">
        <w:rPr>
          <w:rFonts w:ascii="Times New Roman" w:hAnsi="Times New Roman" w:cs="Times New Roman"/>
          <w:sz w:val="24"/>
          <w:szCs w:val="24"/>
          <w:lang w:val="es-PE"/>
        </w:rPr>
        <w:t>......................................</w:t>
      </w:r>
      <w:r w:rsidRPr="227A2565" w:rsidR="0000335D">
        <w:rPr>
          <w:rFonts w:ascii="Times New Roman" w:hAnsi="Times New Roman" w:cs="Times New Roman"/>
          <w:sz w:val="24"/>
          <w:szCs w:val="24"/>
          <w:lang w:val="es-PE"/>
        </w:rPr>
        <w:t xml:space="preserve">.  Más allá del estilo de redacción, es claro y manifiesto por el contenido, que la señalada denuncia fue contra el </w:t>
      </w:r>
      <w:r w:rsidRPr="227A2565" w:rsidR="0ED84358">
        <w:rPr>
          <w:rFonts w:ascii="Times New Roman" w:hAnsi="Times New Roman" w:cs="Times New Roman"/>
          <w:sz w:val="24"/>
          <w:szCs w:val="24"/>
          <w:lang w:val="es-PE"/>
        </w:rPr>
        <w:t>............</w:t>
      </w:r>
      <w:r w:rsidRPr="227A2565" w:rsidR="0000335D">
        <w:rPr>
          <w:rFonts w:ascii="Times New Roman" w:hAnsi="Times New Roman" w:cs="Times New Roman"/>
          <w:sz w:val="24"/>
          <w:szCs w:val="24"/>
          <w:lang w:val="es-PE"/>
        </w:rPr>
        <w:t xml:space="preserve"> y contra </w:t>
      </w:r>
      <w:r w:rsidRPr="227A2565" w:rsidR="054E9E9A">
        <w:rPr>
          <w:rFonts w:ascii="Times New Roman" w:hAnsi="Times New Roman" w:cs="Times New Roman"/>
          <w:sz w:val="24"/>
          <w:szCs w:val="24"/>
          <w:lang w:val="es-PE"/>
        </w:rPr>
        <w:t>......................................</w:t>
      </w:r>
      <w:r w:rsidRPr="227A2565" w:rsidR="0000335D">
        <w:rPr>
          <w:rFonts w:ascii="Times New Roman" w:hAnsi="Times New Roman" w:cs="Times New Roman"/>
          <w:sz w:val="24"/>
          <w:szCs w:val="24"/>
          <w:lang w:val="es-PE"/>
        </w:rPr>
        <w:t xml:space="preserve">, siendo la pretensión recuperar el dinero que habría sido sustraído indebidamente de la cuenta del causante de los reclamantes, exigiéndose la cobertura del seguro. Basta </w:t>
      </w:r>
      <w:r w:rsidRPr="227A2565" w:rsidR="0000335D">
        <w:rPr>
          <w:rFonts w:ascii="Times New Roman" w:hAnsi="Times New Roman" w:cs="Times New Roman"/>
          <w:sz w:val="24"/>
          <w:szCs w:val="24"/>
          <w:lang w:val="es-PE"/>
        </w:rPr>
        <w:t>comparar dicha denuncia con la reclamación interpuesta ante la DEFASEG para advertir la señalada identidad.</w:t>
      </w:r>
    </w:p>
    <w:p w:rsidRPr="0000335D" w:rsidR="0000335D" w:rsidP="0000335D" w:rsidRDefault="0000335D" w14:paraId="6B8E57FD" w14:textId="77777777">
      <w:pPr>
        <w:tabs>
          <w:tab w:val="left" w:pos="0"/>
          <w:tab w:val="left" w:pos="709"/>
          <w:tab w:val="left" w:pos="2160"/>
        </w:tabs>
        <w:spacing w:after="0" w:line="240" w:lineRule="auto"/>
        <w:ind w:left="705" w:hanging="705"/>
        <w:jc w:val="both"/>
        <w:rPr>
          <w:rFonts w:ascii="Times New Roman" w:hAnsi="Times New Roman" w:cs="Times New Roman"/>
          <w:sz w:val="24"/>
          <w:szCs w:val="24"/>
          <w:lang w:val="es-PE"/>
        </w:rPr>
      </w:pPr>
    </w:p>
    <w:p w:rsidRPr="0000335D" w:rsidR="0000335D" w:rsidP="0000335D" w:rsidRDefault="0000335D" w14:paraId="4ED28569" w14:textId="516E9504">
      <w:pPr>
        <w:tabs>
          <w:tab w:val="left" w:pos="0"/>
          <w:tab w:val="left" w:pos="709"/>
          <w:tab w:val="left" w:pos="2160"/>
        </w:tabs>
        <w:spacing w:after="0" w:line="240" w:lineRule="auto"/>
        <w:ind w:left="705" w:hanging="705"/>
        <w:jc w:val="both"/>
        <w:rPr>
          <w:rFonts w:ascii="Times New Roman" w:hAnsi="Times New Roman" w:cs="Times New Roman"/>
          <w:sz w:val="24"/>
          <w:szCs w:val="24"/>
          <w:lang w:val="es-PE"/>
        </w:rPr>
      </w:pPr>
      <w:r w:rsidRPr="227A2565" w:rsidR="0000335D">
        <w:rPr>
          <w:rFonts w:ascii="Times New Roman" w:hAnsi="Times New Roman" w:cs="Times New Roman"/>
          <w:sz w:val="24"/>
          <w:szCs w:val="24"/>
          <w:lang w:val="es-PE"/>
        </w:rPr>
        <w:t>2.3.</w:t>
      </w:r>
      <w:r>
        <w:tab/>
      </w:r>
      <w:r w:rsidRPr="227A2565" w:rsidR="0000335D">
        <w:rPr>
          <w:rFonts w:ascii="Times New Roman" w:hAnsi="Times New Roman" w:cs="Times New Roman"/>
          <w:sz w:val="24"/>
          <w:szCs w:val="24"/>
          <w:lang w:val="es-PE"/>
        </w:rPr>
        <w:t>De acuerdo al</w:t>
      </w:r>
      <w:r w:rsidRPr="227A2565" w:rsidR="0000335D">
        <w:rPr>
          <w:rFonts w:ascii="Times New Roman" w:hAnsi="Times New Roman" w:cs="Times New Roman"/>
          <w:sz w:val="24"/>
          <w:szCs w:val="24"/>
          <w:lang w:val="es-PE"/>
        </w:rPr>
        <w:t xml:space="preserve"> material probatorio proporcionado por la aseguradora, habiendo dos denuncias sobre los mismos hechos ante el INDECOPI, una contra el </w:t>
      </w:r>
      <w:r w:rsidRPr="227A2565" w:rsidR="0ED84358">
        <w:rPr>
          <w:rFonts w:ascii="Times New Roman" w:hAnsi="Times New Roman" w:cs="Times New Roman"/>
          <w:sz w:val="24"/>
          <w:szCs w:val="24"/>
          <w:lang w:val="es-PE"/>
        </w:rPr>
        <w:t>............</w:t>
      </w:r>
      <w:r w:rsidRPr="227A2565" w:rsidR="0000335D">
        <w:rPr>
          <w:rFonts w:ascii="Times New Roman" w:hAnsi="Times New Roman" w:cs="Times New Roman"/>
          <w:sz w:val="24"/>
          <w:szCs w:val="24"/>
          <w:lang w:val="es-PE"/>
        </w:rPr>
        <w:t xml:space="preserve">, y otra contra el </w:t>
      </w:r>
      <w:r w:rsidRPr="227A2565" w:rsidR="0ED84358">
        <w:rPr>
          <w:rFonts w:ascii="Times New Roman" w:hAnsi="Times New Roman" w:cs="Times New Roman"/>
          <w:sz w:val="24"/>
          <w:szCs w:val="24"/>
          <w:lang w:val="es-PE"/>
        </w:rPr>
        <w:t>............</w:t>
      </w:r>
      <w:r w:rsidRPr="227A2565" w:rsidR="0000335D">
        <w:rPr>
          <w:rFonts w:ascii="Times New Roman" w:hAnsi="Times New Roman" w:cs="Times New Roman"/>
          <w:sz w:val="24"/>
          <w:szCs w:val="24"/>
          <w:lang w:val="es-PE"/>
        </w:rPr>
        <w:t xml:space="preserve"> y </w:t>
      </w:r>
      <w:r w:rsidRPr="227A2565" w:rsidR="054E9E9A">
        <w:rPr>
          <w:rFonts w:ascii="Times New Roman" w:hAnsi="Times New Roman" w:cs="Times New Roman"/>
          <w:sz w:val="24"/>
          <w:szCs w:val="24"/>
          <w:lang w:val="es-PE"/>
        </w:rPr>
        <w:t>......................................</w:t>
      </w:r>
      <w:r w:rsidRPr="227A2565" w:rsidR="0000335D">
        <w:rPr>
          <w:rFonts w:ascii="Times New Roman" w:hAnsi="Times New Roman" w:cs="Times New Roman"/>
          <w:sz w:val="24"/>
          <w:szCs w:val="24"/>
          <w:lang w:val="es-PE"/>
        </w:rPr>
        <w:t>, la que fue declarada improcedente es la primera de ellas (este colegiado desconoce si los interesados interpusieron recurso de apelación), pero subsiste la segunda, conforme costa en la Resolución Nro. 3379-2021/CC1, de fecha 3 de diciembre de 2021, cuya parte resolutiva pertinente dispone lo siguiente:</w:t>
      </w:r>
    </w:p>
    <w:p w:rsidRPr="0000335D" w:rsidR="0000335D" w:rsidP="0000335D" w:rsidRDefault="0000335D" w14:paraId="7D54FAC3" w14:textId="77777777">
      <w:pPr>
        <w:tabs>
          <w:tab w:val="left" w:pos="0"/>
          <w:tab w:val="left" w:pos="709"/>
          <w:tab w:val="left" w:pos="2160"/>
        </w:tabs>
        <w:spacing w:after="0" w:line="240" w:lineRule="auto"/>
        <w:ind w:left="705" w:hanging="705"/>
        <w:jc w:val="both"/>
        <w:rPr>
          <w:rFonts w:ascii="Times New Roman" w:hAnsi="Times New Roman" w:cs="Times New Roman"/>
          <w:sz w:val="24"/>
          <w:szCs w:val="24"/>
          <w:lang w:val="es-PE"/>
        </w:rPr>
      </w:pPr>
    </w:p>
    <w:p w:rsidRPr="0000335D" w:rsidR="0000335D" w:rsidP="0000335D" w:rsidRDefault="0000335D" w14:paraId="40250114" w14:textId="38771D7F">
      <w:pPr>
        <w:tabs>
          <w:tab w:val="left" w:pos="0"/>
          <w:tab w:val="left" w:pos="709"/>
          <w:tab w:val="left" w:pos="2160"/>
        </w:tabs>
        <w:spacing w:after="0" w:line="240" w:lineRule="auto"/>
        <w:ind w:left="705" w:firstLine="4"/>
        <w:jc w:val="both"/>
      </w:pPr>
      <w:r w:rsidR="47689F43">
        <w:rPr/>
        <w:t>..........................................................................................................................................</w:t>
      </w:r>
    </w:p>
    <w:p w:rsidRPr="0000335D" w:rsidR="0000335D" w:rsidP="0000335D" w:rsidRDefault="0000335D" w14:paraId="66A72804" w14:textId="77777777">
      <w:pPr>
        <w:tabs>
          <w:tab w:val="left" w:pos="0"/>
          <w:tab w:val="left" w:pos="709"/>
          <w:tab w:val="left" w:pos="2160"/>
        </w:tabs>
        <w:spacing w:after="0" w:line="240" w:lineRule="auto"/>
        <w:ind w:left="705" w:hanging="705"/>
        <w:jc w:val="both"/>
        <w:rPr>
          <w:rFonts w:ascii="Times New Roman" w:hAnsi="Times New Roman" w:cs="Times New Roman"/>
          <w:sz w:val="24"/>
          <w:szCs w:val="24"/>
          <w:lang w:val="es-PE"/>
        </w:rPr>
      </w:pPr>
      <w:r w:rsidRPr="0000335D">
        <w:rPr>
          <w:rFonts w:ascii="Times New Roman" w:hAnsi="Times New Roman" w:cs="Times New Roman"/>
          <w:sz w:val="24"/>
          <w:szCs w:val="24"/>
          <w:lang w:val="es-PE"/>
        </w:rPr>
        <w:t xml:space="preserve"> </w:t>
      </w:r>
      <w:r w:rsidRPr="0000335D">
        <w:rPr>
          <w:rFonts w:ascii="Times New Roman" w:hAnsi="Times New Roman" w:cs="Times New Roman"/>
          <w:sz w:val="24"/>
          <w:szCs w:val="24"/>
          <w:lang w:val="es-PE"/>
        </w:rPr>
        <w:tab/>
      </w:r>
    </w:p>
    <w:p w:rsidRPr="0000335D" w:rsidR="0000335D" w:rsidP="0000335D" w:rsidRDefault="0000335D" w14:paraId="35B713CB" w14:textId="77777777">
      <w:pPr>
        <w:tabs>
          <w:tab w:val="left" w:pos="0"/>
          <w:tab w:val="left" w:pos="709"/>
          <w:tab w:val="left" w:pos="2160"/>
        </w:tabs>
        <w:spacing w:after="0" w:line="240" w:lineRule="auto"/>
        <w:jc w:val="both"/>
        <w:rPr>
          <w:rFonts w:ascii="Times New Roman" w:hAnsi="Times New Roman" w:cs="Times New Roman"/>
          <w:sz w:val="24"/>
          <w:szCs w:val="24"/>
          <w:lang w:val="es-PE"/>
        </w:rPr>
      </w:pPr>
      <w:r w:rsidRPr="0000335D">
        <w:rPr>
          <w:rFonts w:ascii="Times New Roman" w:hAnsi="Times New Roman" w:cs="Times New Roman"/>
          <w:sz w:val="24"/>
          <w:szCs w:val="24"/>
          <w:lang w:val="es-PE"/>
        </w:rPr>
        <w:t>2.4.</w:t>
      </w:r>
      <w:r w:rsidRPr="0000335D">
        <w:rPr>
          <w:rFonts w:ascii="Times New Roman" w:hAnsi="Times New Roman" w:cs="Times New Roman"/>
          <w:sz w:val="24"/>
          <w:szCs w:val="24"/>
          <w:lang w:val="es-PE"/>
        </w:rPr>
        <w:tab/>
      </w:r>
      <w:r w:rsidRPr="0000335D">
        <w:rPr>
          <w:rFonts w:ascii="Times New Roman" w:hAnsi="Times New Roman" w:cs="Times New Roman"/>
          <w:sz w:val="24"/>
          <w:szCs w:val="24"/>
          <w:lang w:val="es-PE"/>
        </w:rPr>
        <w:t>Por su parte, el numeral 11 del Reglamento de la DEFASEG establece lo siguiente.</w:t>
      </w:r>
    </w:p>
    <w:p w:rsidRPr="0000335D" w:rsidR="0000335D" w:rsidP="0000335D" w:rsidRDefault="0000335D" w14:paraId="4B7F33A1" w14:textId="77777777">
      <w:pPr>
        <w:spacing w:after="0" w:line="240" w:lineRule="auto"/>
        <w:jc w:val="both"/>
        <w:rPr>
          <w:rFonts w:ascii="Times New Roman" w:hAnsi="Times New Roman" w:cs="Times New Roman"/>
          <w:sz w:val="24"/>
          <w:szCs w:val="24"/>
          <w:lang w:val="es-PE"/>
        </w:rPr>
      </w:pPr>
    </w:p>
    <w:p w:rsidRPr="0000335D" w:rsidR="0000335D" w:rsidP="0000335D" w:rsidRDefault="0000335D" w14:paraId="69EC7C01" w14:textId="77777777">
      <w:pPr>
        <w:spacing w:after="0" w:line="240" w:lineRule="auto"/>
        <w:ind w:left="1276"/>
        <w:jc w:val="both"/>
        <w:rPr>
          <w:rFonts w:ascii="Times New Roman" w:hAnsi="Times New Roman" w:cs="Times New Roman"/>
          <w:b/>
          <w:i/>
          <w:iCs/>
          <w:sz w:val="24"/>
          <w:szCs w:val="24"/>
          <w:lang w:val="es-PE"/>
        </w:rPr>
      </w:pPr>
      <w:r w:rsidRPr="0000335D">
        <w:rPr>
          <w:rFonts w:ascii="Times New Roman" w:hAnsi="Times New Roman" w:cs="Times New Roman"/>
          <w:b/>
          <w:i/>
          <w:iCs/>
          <w:sz w:val="24"/>
          <w:szCs w:val="24"/>
          <w:lang w:val="es-PE"/>
        </w:rPr>
        <w:t xml:space="preserve">11. Sometimiento voluntario </w:t>
      </w:r>
    </w:p>
    <w:p w:rsidRPr="0000335D" w:rsidR="0000335D" w:rsidP="0000335D" w:rsidRDefault="0000335D" w14:paraId="305E2E5F" w14:textId="77777777">
      <w:pPr>
        <w:spacing w:after="0" w:line="240" w:lineRule="auto"/>
        <w:ind w:left="1276"/>
        <w:jc w:val="both"/>
        <w:rPr>
          <w:rFonts w:ascii="Times New Roman" w:hAnsi="Times New Roman" w:cs="Times New Roman"/>
          <w:i/>
          <w:iCs/>
          <w:sz w:val="24"/>
          <w:szCs w:val="24"/>
          <w:lang w:val="es-PE"/>
        </w:rPr>
      </w:pPr>
      <w:r w:rsidRPr="0000335D">
        <w:rPr>
          <w:rFonts w:ascii="Times New Roman" w:hAnsi="Times New Roman" w:cs="Times New Roman"/>
          <w:i/>
          <w:iCs/>
          <w:sz w:val="24"/>
          <w:szCs w:val="24"/>
          <w:lang w:val="es-PE"/>
        </w:rPr>
        <w:t>El usuario de seguro recurre en forma voluntaria a la Defensoría. La presentación de un reclamo en esta vía no limita su derecho a recurrir posteriormente ante el órgano administrativo o jurisdiccional que considere pertinente; sin embargo, si la materia controvertida está siendo conocida por otra instancia a iniciativa de cualquiera de las partes o de oficio, sea esta una instancia administrativa, judicial, conciliatoria, arbitral o del Ministerio Público antes de que la Defensoría emita su decisión, ésta se abstendrá de decidir y archivará definitivamente el caso, salvo que la parte que accionó en otra vía, acredite haberse desistido de su reclamo ante dichas instancias.</w:t>
      </w:r>
    </w:p>
    <w:p w:rsidRPr="0000335D" w:rsidR="0000335D" w:rsidP="0000335D" w:rsidRDefault="0000335D" w14:paraId="2825BD97" w14:textId="77777777">
      <w:pPr>
        <w:spacing w:after="0" w:line="240" w:lineRule="auto"/>
        <w:ind w:left="1276"/>
        <w:jc w:val="both"/>
        <w:rPr>
          <w:rFonts w:ascii="Times New Roman" w:hAnsi="Times New Roman" w:cs="Times New Roman"/>
          <w:i/>
          <w:iCs/>
          <w:color w:val="2E74B5" w:themeColor="accent1" w:themeShade="BF"/>
          <w:sz w:val="24"/>
          <w:szCs w:val="24"/>
          <w:lang w:val="es-PE"/>
        </w:rPr>
      </w:pPr>
    </w:p>
    <w:p w:rsidRPr="0000335D" w:rsidR="0000335D" w:rsidP="0000335D" w:rsidRDefault="0000335D" w14:paraId="4AE723D8" w14:textId="77777777">
      <w:pPr>
        <w:spacing w:after="0" w:line="240" w:lineRule="auto"/>
        <w:ind w:left="1276"/>
        <w:jc w:val="both"/>
        <w:rPr>
          <w:rFonts w:ascii="Times New Roman" w:hAnsi="Times New Roman" w:cs="Times New Roman"/>
          <w:i/>
          <w:iCs/>
          <w:sz w:val="24"/>
          <w:szCs w:val="24"/>
          <w:lang w:val="es-PE"/>
        </w:rPr>
      </w:pPr>
      <w:r w:rsidRPr="0000335D">
        <w:rPr>
          <w:rFonts w:ascii="Times New Roman" w:hAnsi="Times New Roman" w:cs="Times New Roman"/>
          <w:i/>
          <w:iCs/>
          <w:sz w:val="24"/>
          <w:szCs w:val="24"/>
          <w:lang w:val="es-PE"/>
        </w:rPr>
        <w:t xml:space="preserve">El reclamo tampoco procede cuando previamente haya sido resuelto en forma definitiva en una instancia administrativa, judicial, conciliatoria, arbitral o del Ministerio Público. </w:t>
      </w:r>
    </w:p>
    <w:p w:rsidRPr="0000335D" w:rsidR="0000335D" w:rsidP="0000335D" w:rsidRDefault="0000335D" w14:paraId="2056F514" w14:textId="77777777">
      <w:pPr>
        <w:spacing w:after="0" w:line="240" w:lineRule="auto"/>
        <w:ind w:left="1276"/>
        <w:jc w:val="both"/>
        <w:rPr>
          <w:rFonts w:ascii="Times New Roman" w:hAnsi="Times New Roman" w:cs="Times New Roman"/>
          <w:i/>
          <w:iCs/>
          <w:sz w:val="24"/>
          <w:szCs w:val="24"/>
          <w:lang w:val="es-PE"/>
        </w:rPr>
      </w:pPr>
    </w:p>
    <w:p w:rsidRPr="0000335D" w:rsidR="0000335D" w:rsidP="0000335D" w:rsidRDefault="0000335D" w14:paraId="4304D16A" w14:textId="77777777">
      <w:pPr>
        <w:spacing w:after="0" w:line="240" w:lineRule="auto"/>
        <w:ind w:left="1276"/>
        <w:jc w:val="both"/>
        <w:rPr>
          <w:rFonts w:ascii="Times New Roman" w:hAnsi="Times New Roman" w:cs="Times New Roman"/>
          <w:i/>
          <w:iCs/>
          <w:sz w:val="24"/>
          <w:szCs w:val="24"/>
          <w:lang w:val="es-PE"/>
        </w:rPr>
      </w:pPr>
      <w:r w:rsidRPr="0000335D">
        <w:rPr>
          <w:rFonts w:ascii="Times New Roman" w:hAnsi="Times New Roman" w:cs="Times New Roman"/>
          <w:i/>
          <w:iCs/>
          <w:sz w:val="24"/>
          <w:szCs w:val="24"/>
          <w:lang w:val="es-PE"/>
        </w:rPr>
        <w:t xml:space="preserve">Las empresas de seguros deberán indicar, en forma clara y visible, en las cartas de rechazo que están sujetas al ámbito de competencia de la Defensoría. </w:t>
      </w:r>
    </w:p>
    <w:p w:rsidRPr="0000335D" w:rsidR="0000335D" w:rsidP="0000335D" w:rsidRDefault="0000335D" w14:paraId="2AE29E7C" w14:textId="77777777">
      <w:pPr>
        <w:tabs>
          <w:tab w:val="left" w:pos="0"/>
          <w:tab w:val="left" w:pos="709"/>
          <w:tab w:val="left" w:pos="2160"/>
        </w:tabs>
        <w:spacing w:after="0" w:line="240" w:lineRule="auto"/>
        <w:jc w:val="both"/>
        <w:rPr>
          <w:rFonts w:ascii="Times New Roman" w:hAnsi="Times New Roman" w:cs="Times New Roman"/>
          <w:sz w:val="24"/>
          <w:szCs w:val="24"/>
          <w:lang w:val="es-ES"/>
        </w:rPr>
      </w:pPr>
    </w:p>
    <w:p w:rsidRPr="0000335D" w:rsidR="0000335D" w:rsidP="0000335D" w:rsidRDefault="0000335D" w14:paraId="52E6BFC1" w14:textId="77777777">
      <w:pPr>
        <w:tabs>
          <w:tab w:val="left" w:pos="709"/>
          <w:tab w:val="left" w:pos="2160"/>
        </w:tabs>
        <w:spacing w:after="0" w:line="240" w:lineRule="auto"/>
        <w:ind w:left="709" w:hanging="709"/>
        <w:jc w:val="both"/>
        <w:rPr>
          <w:rFonts w:ascii="Times New Roman" w:hAnsi="Times New Roman" w:cs="Times New Roman"/>
          <w:sz w:val="24"/>
          <w:szCs w:val="24"/>
          <w:lang w:val="es-ES"/>
        </w:rPr>
      </w:pPr>
      <w:r w:rsidRPr="0000335D">
        <w:rPr>
          <w:rFonts w:ascii="Times New Roman" w:hAnsi="Times New Roman" w:cs="Times New Roman"/>
          <w:sz w:val="24"/>
          <w:szCs w:val="24"/>
          <w:lang w:val="es-ES"/>
        </w:rPr>
        <w:t>2.5.</w:t>
      </w:r>
      <w:r w:rsidRPr="0000335D">
        <w:rPr>
          <w:rFonts w:ascii="Times New Roman" w:hAnsi="Times New Roman" w:cs="Times New Roman"/>
          <w:sz w:val="24"/>
          <w:szCs w:val="24"/>
          <w:lang w:val="es-ES"/>
        </w:rPr>
        <w:tab/>
      </w:r>
      <w:r w:rsidRPr="0000335D">
        <w:rPr>
          <w:rFonts w:ascii="Times New Roman" w:hAnsi="Times New Roman" w:cs="Times New Roman"/>
          <w:sz w:val="24"/>
          <w:szCs w:val="24"/>
          <w:lang w:val="es-ES"/>
        </w:rPr>
        <w:t>Conforme a ello, siendo que la materia de la reclamación fue sometida al conocimiento y resolución de otra instancia, ello la sustrajo de la competencia de esta Defensoría, de manera que este colegiado carecía de competencia para seguir conociendo y resolver sobre dicha reclamación.  En consecuencia, corresponde acceder al planteamiento de la aseguradora, declarando fundada su impugnación, nula la resolución recurrida e improcedente la reclamación.</w:t>
      </w:r>
    </w:p>
    <w:p w:rsidRPr="0000335D" w:rsidR="0000335D" w:rsidP="0000335D" w:rsidRDefault="0000335D" w14:paraId="79573E9A" w14:textId="77777777">
      <w:pPr>
        <w:tabs>
          <w:tab w:val="left" w:pos="709"/>
          <w:tab w:val="left" w:pos="2160"/>
        </w:tabs>
        <w:spacing w:after="0" w:line="240" w:lineRule="auto"/>
        <w:ind w:left="709" w:hanging="709"/>
        <w:jc w:val="both"/>
        <w:rPr>
          <w:rFonts w:ascii="Times New Roman" w:hAnsi="Times New Roman" w:cs="Times New Roman"/>
          <w:sz w:val="24"/>
          <w:szCs w:val="24"/>
          <w:lang w:val="es-ES"/>
        </w:rPr>
      </w:pPr>
    </w:p>
    <w:p w:rsidRPr="0000335D" w:rsidR="0000335D" w:rsidP="0000335D" w:rsidRDefault="0000335D" w14:paraId="2309A4F0" w14:textId="1495350F">
      <w:pPr>
        <w:tabs>
          <w:tab w:val="left" w:pos="709"/>
          <w:tab w:val="left" w:pos="2160"/>
        </w:tabs>
        <w:spacing w:after="0" w:line="240" w:lineRule="auto"/>
        <w:ind w:left="709" w:hanging="709"/>
        <w:jc w:val="both"/>
        <w:rPr>
          <w:rFonts w:ascii="Times New Roman" w:hAnsi="Times New Roman" w:cs="Times New Roman"/>
          <w:sz w:val="24"/>
          <w:szCs w:val="24"/>
          <w:lang w:val="es-ES"/>
        </w:rPr>
      </w:pPr>
      <w:r w:rsidRPr="227A2565" w:rsidR="0000335D">
        <w:rPr>
          <w:rFonts w:ascii="Times New Roman" w:hAnsi="Times New Roman" w:cs="Times New Roman"/>
          <w:sz w:val="24"/>
          <w:szCs w:val="24"/>
          <w:lang w:val="es-ES"/>
        </w:rPr>
        <w:t>2.6.</w:t>
      </w:r>
      <w:r>
        <w:tab/>
      </w:r>
      <w:r w:rsidRPr="227A2565" w:rsidR="0000335D">
        <w:rPr>
          <w:rFonts w:ascii="Times New Roman" w:hAnsi="Times New Roman" w:cs="Times New Roman"/>
          <w:sz w:val="24"/>
          <w:szCs w:val="24"/>
          <w:lang w:val="es-ES"/>
        </w:rPr>
        <w:t xml:space="preserve">Habiéndose admitido el primer argumento de defensa de </w:t>
      </w:r>
      <w:r w:rsidRPr="227A2565" w:rsidR="054E9E9A">
        <w:rPr>
          <w:rFonts w:ascii="Times New Roman" w:hAnsi="Times New Roman" w:cs="Times New Roman"/>
          <w:sz w:val="24"/>
          <w:szCs w:val="24"/>
          <w:lang w:val="es-ES"/>
        </w:rPr>
        <w:t>......................................</w:t>
      </w:r>
      <w:r w:rsidRPr="227A2565" w:rsidR="0000335D">
        <w:rPr>
          <w:rFonts w:ascii="Times New Roman" w:hAnsi="Times New Roman" w:cs="Times New Roman"/>
          <w:sz w:val="24"/>
          <w:szCs w:val="24"/>
          <w:lang w:val="es-ES"/>
        </w:rPr>
        <w:t xml:space="preserve">, sobre incompetencia, carece de objeto y procedencia que, entrando al tema de fondo, este </w:t>
      </w:r>
      <w:r w:rsidRPr="227A2565" w:rsidR="0000335D">
        <w:rPr>
          <w:rFonts w:ascii="Times New Roman" w:hAnsi="Times New Roman" w:cs="Times New Roman"/>
          <w:sz w:val="24"/>
          <w:szCs w:val="24"/>
          <w:lang w:val="es-ES"/>
        </w:rPr>
        <w:t xml:space="preserve">colegiado se pronuncie sobre la interpretación normativa que   </w:t>
      </w:r>
      <w:r w:rsidRPr="227A2565" w:rsidR="054E9E9A">
        <w:rPr>
          <w:rFonts w:ascii="Times New Roman" w:hAnsi="Times New Roman" w:cs="Times New Roman"/>
          <w:sz w:val="24"/>
          <w:szCs w:val="24"/>
          <w:lang w:val="es-ES"/>
        </w:rPr>
        <w:t>......................................</w:t>
      </w:r>
      <w:r w:rsidRPr="227A2565" w:rsidR="0000335D">
        <w:rPr>
          <w:rFonts w:ascii="Times New Roman" w:hAnsi="Times New Roman" w:cs="Times New Roman"/>
          <w:sz w:val="24"/>
          <w:szCs w:val="24"/>
          <w:lang w:val="es-ES"/>
        </w:rPr>
        <w:t xml:space="preserve"> para justificar, por razón no expresada en la comunicación de rechazo, su negativa de acceder al otorgamiento de cobertura, atendiendo a lo que estima como una delimitación positiva y temporal del riesgo.</w:t>
      </w:r>
    </w:p>
    <w:p w:rsidRPr="0000335D" w:rsidR="0000335D" w:rsidP="0000335D" w:rsidRDefault="0000335D" w14:paraId="440962EE" w14:textId="77777777">
      <w:pPr>
        <w:spacing w:after="0" w:line="240" w:lineRule="auto"/>
        <w:jc w:val="both"/>
        <w:rPr>
          <w:rFonts w:ascii="Times New Roman" w:hAnsi="Times New Roman" w:eastAsia="Times New Roman" w:cs="Times New Roman"/>
          <w:bCs/>
          <w:sz w:val="24"/>
          <w:szCs w:val="24"/>
          <w:lang w:val="es-ES" w:eastAsia="ar-SA"/>
        </w:rPr>
      </w:pPr>
    </w:p>
    <w:p w:rsidRPr="0000335D" w:rsidR="0000335D" w:rsidP="0000335D" w:rsidRDefault="0000335D" w14:paraId="372512D6" w14:textId="77777777">
      <w:pPr>
        <w:spacing w:after="0" w:line="240" w:lineRule="auto"/>
        <w:jc w:val="both"/>
        <w:rPr>
          <w:rFonts w:ascii="Times New Roman" w:hAnsi="Times New Roman" w:cs="Times New Roman"/>
          <w:b/>
          <w:sz w:val="24"/>
          <w:szCs w:val="24"/>
          <w:lang w:val="es-PE"/>
        </w:rPr>
      </w:pPr>
      <w:r w:rsidRPr="0000335D">
        <w:rPr>
          <w:rFonts w:ascii="Times New Roman" w:hAnsi="Times New Roman" w:cs="Times New Roman"/>
          <w:b/>
          <w:sz w:val="24"/>
          <w:szCs w:val="24"/>
          <w:lang w:val="es-PE"/>
        </w:rPr>
        <w:t>Atendiendo a lo expresado, conforme a su Reglamento, este colegiado resuelve:</w:t>
      </w:r>
    </w:p>
    <w:p w:rsidRPr="0000335D" w:rsidR="0000335D" w:rsidP="0000335D" w:rsidRDefault="0000335D" w14:paraId="2450756F" w14:textId="77777777">
      <w:pPr>
        <w:spacing w:after="0" w:line="240" w:lineRule="auto"/>
        <w:jc w:val="both"/>
        <w:rPr>
          <w:rFonts w:ascii="Times New Roman" w:hAnsi="Times New Roman" w:eastAsia="Arial Unicode MS" w:cs="Times New Roman"/>
          <w:b/>
          <w:sz w:val="24"/>
          <w:szCs w:val="24"/>
          <w:lang w:val="es-PE"/>
        </w:rPr>
      </w:pPr>
    </w:p>
    <w:p w:rsidRPr="0000335D" w:rsidR="0000335D" w:rsidP="0000335D" w:rsidRDefault="0000335D" w14:paraId="3DB5E70F" w14:textId="77B01747">
      <w:pPr>
        <w:spacing w:after="0" w:line="240" w:lineRule="auto"/>
        <w:jc w:val="both"/>
        <w:rPr>
          <w:rFonts w:ascii="Times New Roman" w:hAnsi="Times New Roman" w:eastAsia="Arial Unicode MS" w:cs="Times New Roman"/>
          <w:sz w:val="24"/>
          <w:szCs w:val="24"/>
          <w:lang w:val="es-PE"/>
        </w:rPr>
      </w:pPr>
      <w:r w:rsidRPr="227A2565" w:rsidR="0000335D">
        <w:rPr>
          <w:rFonts w:ascii="Times New Roman" w:hAnsi="Times New Roman" w:eastAsia="Arial Unicode MS" w:cs="Times New Roman"/>
          <w:b w:val="1"/>
          <w:bCs w:val="1"/>
          <w:sz w:val="24"/>
          <w:szCs w:val="24"/>
          <w:lang w:val="es-PE"/>
        </w:rPr>
        <w:t xml:space="preserve">Declarar FUNDADA la impugnación </w:t>
      </w:r>
      <w:r w:rsidRPr="227A2565" w:rsidR="0000335D">
        <w:rPr>
          <w:rFonts w:ascii="Times New Roman" w:hAnsi="Times New Roman" w:eastAsia="Arial Unicode MS" w:cs="Times New Roman"/>
          <w:sz w:val="24"/>
          <w:szCs w:val="24"/>
          <w:lang w:val="es-PE"/>
        </w:rPr>
        <w:t xml:space="preserve">interpuesta por </w:t>
      </w:r>
      <w:r w:rsidRPr="227A2565" w:rsidR="054E9E9A">
        <w:rPr>
          <w:rFonts w:ascii="Times New Roman" w:hAnsi="Times New Roman" w:eastAsia="Arial Unicode MS" w:cs="Times New Roman"/>
          <w:sz w:val="24"/>
          <w:szCs w:val="24"/>
          <w:lang w:val="es-PE"/>
        </w:rPr>
        <w:t>......................................</w:t>
      </w:r>
      <w:r w:rsidRPr="227A2565" w:rsidR="0000335D">
        <w:rPr>
          <w:rFonts w:ascii="Times New Roman" w:hAnsi="Times New Roman" w:eastAsia="Arial Unicode MS" w:cs="Times New Roman"/>
          <w:sz w:val="24"/>
          <w:szCs w:val="24"/>
          <w:lang w:val="es-PE"/>
        </w:rPr>
        <w:t>; en consecuencia,</w:t>
      </w:r>
      <w:r w:rsidRPr="227A2565" w:rsidR="0000335D">
        <w:rPr>
          <w:rFonts w:ascii="Times New Roman" w:hAnsi="Times New Roman" w:eastAsia="Arial Unicode MS" w:cs="Times New Roman"/>
          <w:b w:val="1"/>
          <w:bCs w:val="1"/>
          <w:sz w:val="24"/>
          <w:szCs w:val="24"/>
          <w:lang w:val="es-PE"/>
        </w:rPr>
        <w:t xml:space="preserve"> NULA</w:t>
      </w:r>
      <w:r w:rsidRPr="227A2565" w:rsidR="0000335D">
        <w:rPr>
          <w:rFonts w:ascii="Times New Roman" w:hAnsi="Times New Roman" w:eastAsia="Times New Roman" w:cs="Times New Roman"/>
          <w:b w:val="1"/>
          <w:bCs w:val="1"/>
          <w:sz w:val="24"/>
          <w:szCs w:val="24"/>
          <w:lang w:val="es-ES" w:eastAsia="ar-SA"/>
        </w:rPr>
        <w:t xml:space="preserve"> la Resolución Nro. 182/21,</w:t>
      </w:r>
      <w:r w:rsidRPr="227A2565" w:rsidR="0000335D">
        <w:rPr>
          <w:rFonts w:ascii="Times New Roman" w:hAnsi="Times New Roman" w:eastAsia="Times New Roman" w:cs="Times New Roman"/>
          <w:sz w:val="24"/>
          <w:szCs w:val="24"/>
          <w:lang w:val="es-ES" w:eastAsia="ar-SA"/>
        </w:rPr>
        <w:t xml:space="preserve"> </w:t>
      </w:r>
      <w:r w:rsidRPr="227A2565" w:rsidR="0000335D">
        <w:rPr>
          <w:rFonts w:ascii="Times New Roman" w:hAnsi="Times New Roman" w:eastAsia="Times New Roman" w:cs="Times New Roman"/>
          <w:sz w:val="24"/>
          <w:szCs w:val="24"/>
          <w:lang w:val="es-ES" w:eastAsia="ar-SA"/>
        </w:rPr>
        <w:t xml:space="preserve">de fecha 16 de diciembre de 2021, e </w:t>
      </w:r>
      <w:r w:rsidRPr="227A2565" w:rsidR="0000335D">
        <w:rPr>
          <w:rFonts w:ascii="Times New Roman" w:hAnsi="Times New Roman" w:eastAsia="Times New Roman" w:cs="Times New Roman"/>
          <w:b w:val="1"/>
          <w:bCs w:val="1"/>
          <w:sz w:val="24"/>
          <w:szCs w:val="24"/>
          <w:lang w:val="es-ES" w:eastAsia="ar-SA"/>
        </w:rPr>
        <w:t xml:space="preserve">IMPROCEDENTE la reclamación </w:t>
      </w:r>
      <w:r w:rsidRPr="227A2565" w:rsidR="0000335D">
        <w:rPr>
          <w:rFonts w:ascii="Times New Roman" w:hAnsi="Times New Roman" w:eastAsia="Times New Roman" w:cs="Times New Roman"/>
          <w:sz w:val="24"/>
          <w:szCs w:val="24"/>
          <w:lang w:val="es-ES" w:eastAsia="ar-SA"/>
        </w:rPr>
        <w:t xml:space="preserve">interpuesta </w:t>
      </w:r>
      <w:r w:rsidRPr="227A2565" w:rsidR="0000335D">
        <w:rPr>
          <w:rFonts w:ascii="Times New Roman" w:hAnsi="Times New Roman" w:eastAsia="Arial Unicode MS" w:cs="Times New Roman"/>
          <w:sz w:val="24"/>
          <w:szCs w:val="24"/>
          <w:lang w:val="es-PE"/>
        </w:rPr>
        <w:t xml:space="preserve">por los señores </w:t>
      </w:r>
      <w:r w:rsidRPr="227A2565" w:rsidR="59E5C68A">
        <w:rPr>
          <w:rFonts w:ascii="Times New Roman" w:hAnsi="Times New Roman" w:cs="Times New Roman"/>
          <w:sz w:val="24"/>
          <w:szCs w:val="24"/>
          <w:lang w:val="es-ES"/>
        </w:rPr>
        <w:t>......................................</w:t>
      </w:r>
      <w:r w:rsidRPr="227A2565" w:rsidR="0000335D">
        <w:rPr>
          <w:rFonts w:ascii="Times New Roman" w:hAnsi="Times New Roman" w:cs="Times New Roman"/>
          <w:sz w:val="24"/>
          <w:szCs w:val="24"/>
          <w:lang w:val="es-ES"/>
        </w:rPr>
        <w:t xml:space="preserve">, </w:t>
      </w:r>
      <w:r w:rsidRPr="227A2565" w:rsidR="472A3A8D">
        <w:rPr>
          <w:rFonts w:ascii="Times New Roman" w:hAnsi="Times New Roman" w:cs="Times New Roman"/>
          <w:sz w:val="24"/>
          <w:szCs w:val="24"/>
          <w:lang w:val="es-ES"/>
        </w:rPr>
        <w:t>......................................</w:t>
      </w:r>
      <w:r w:rsidRPr="227A2565" w:rsidR="0000335D">
        <w:rPr>
          <w:rFonts w:ascii="Times New Roman" w:hAnsi="Times New Roman" w:cs="Times New Roman"/>
          <w:sz w:val="24"/>
          <w:szCs w:val="24"/>
          <w:lang w:val="es-ES"/>
        </w:rPr>
        <w:t xml:space="preserve"> y </w:t>
      </w:r>
      <w:r w:rsidRPr="227A2565" w:rsidR="0C630DBC">
        <w:rPr>
          <w:rFonts w:ascii="Times New Roman" w:hAnsi="Times New Roman" w:cs="Times New Roman"/>
          <w:sz w:val="24"/>
          <w:szCs w:val="24"/>
          <w:lang w:val="es-ES"/>
        </w:rPr>
        <w:t>......................................</w:t>
      </w:r>
      <w:r w:rsidRPr="227A2565" w:rsidR="0000335D">
        <w:rPr>
          <w:rFonts w:ascii="Times New Roman" w:hAnsi="Times New Roman" w:cs="Times New Roman"/>
          <w:sz w:val="24"/>
          <w:szCs w:val="24"/>
          <w:lang w:val="es-PE"/>
        </w:rPr>
        <w:t xml:space="preserve">, dejándose a salvo su derecho de </w:t>
      </w:r>
      <w:r w:rsidRPr="227A2565" w:rsidR="0000335D">
        <w:rPr>
          <w:rFonts w:ascii="Times New Roman" w:hAnsi="Times New Roman" w:cs="Times New Roman"/>
          <w:sz w:val="24"/>
          <w:szCs w:val="24"/>
          <w:lang w:val="es-PE"/>
        </w:rPr>
        <w:t>poder hacer valer</w:t>
      </w:r>
      <w:r w:rsidRPr="227A2565" w:rsidR="0000335D">
        <w:rPr>
          <w:rFonts w:ascii="Times New Roman" w:hAnsi="Times New Roman" w:cs="Times New Roman"/>
          <w:sz w:val="24"/>
          <w:szCs w:val="24"/>
          <w:lang w:val="es-PE"/>
        </w:rPr>
        <w:t xml:space="preserve"> su pretensión en otras instancias.</w:t>
      </w:r>
    </w:p>
    <w:p w:rsidRPr="0000335D" w:rsidR="0000335D" w:rsidP="0000335D" w:rsidRDefault="0000335D" w14:paraId="066E0C16" w14:textId="77777777">
      <w:pPr>
        <w:spacing w:after="0" w:line="240" w:lineRule="auto"/>
        <w:jc w:val="both"/>
        <w:rPr>
          <w:rFonts w:ascii="Times New Roman" w:hAnsi="Times New Roman" w:eastAsia="Times New Roman" w:cs="Times New Roman"/>
          <w:sz w:val="24"/>
          <w:szCs w:val="24"/>
          <w:lang w:val="es-PE" w:eastAsia="ar-SA"/>
        </w:rPr>
      </w:pPr>
    </w:p>
    <w:p w:rsidRPr="0000335D" w:rsidR="00077B6F" w:rsidP="00C671F5" w:rsidRDefault="0091528B" w14:paraId="78A39B5B" w14:textId="1130D211">
      <w:pPr>
        <w:suppressAutoHyphens/>
        <w:spacing w:after="0" w:line="240" w:lineRule="auto"/>
        <w:jc w:val="right"/>
        <w:outlineLvl w:val="0"/>
        <w:rPr>
          <w:rFonts w:ascii="Times New Roman" w:hAnsi="Times New Roman" w:eastAsia="Arial Unicode MS" w:cs="Times New Roman"/>
          <w:sz w:val="24"/>
          <w:szCs w:val="24"/>
          <w:lang w:val="es-PE" w:eastAsia="ar-SA"/>
        </w:rPr>
      </w:pPr>
      <w:r w:rsidRPr="0000335D">
        <w:rPr>
          <w:rFonts w:ascii="Times New Roman" w:hAnsi="Times New Roman" w:eastAsia="Arial Unicode MS" w:cs="Times New Roman"/>
          <w:sz w:val="24"/>
          <w:szCs w:val="24"/>
          <w:lang w:val="es-PE" w:eastAsia="ar-SA"/>
        </w:rPr>
        <w:t xml:space="preserve">Lima, </w:t>
      </w:r>
      <w:r w:rsidRPr="0000335D" w:rsidR="0000335D">
        <w:rPr>
          <w:rFonts w:ascii="Times New Roman" w:hAnsi="Times New Roman" w:eastAsia="Arial Unicode MS" w:cs="Times New Roman"/>
          <w:sz w:val="24"/>
          <w:szCs w:val="24"/>
          <w:lang w:val="es-PE" w:eastAsia="ar-SA"/>
        </w:rPr>
        <w:t>25</w:t>
      </w:r>
      <w:r w:rsidRPr="0000335D" w:rsidR="00707C99">
        <w:rPr>
          <w:rFonts w:ascii="Times New Roman" w:hAnsi="Times New Roman" w:eastAsia="Arial Unicode MS" w:cs="Times New Roman"/>
          <w:sz w:val="24"/>
          <w:szCs w:val="24"/>
          <w:lang w:val="es-PE" w:eastAsia="ar-SA"/>
        </w:rPr>
        <w:t xml:space="preserve"> de </w:t>
      </w:r>
      <w:r w:rsidRPr="0000335D" w:rsidR="00966AEB">
        <w:rPr>
          <w:rFonts w:ascii="Times New Roman" w:hAnsi="Times New Roman" w:eastAsia="Arial Unicode MS" w:cs="Times New Roman"/>
          <w:sz w:val="24"/>
          <w:szCs w:val="24"/>
          <w:lang w:val="es-PE" w:eastAsia="ar-SA"/>
        </w:rPr>
        <w:t>febrero</w:t>
      </w:r>
      <w:r w:rsidRPr="0000335D" w:rsidR="00F06498">
        <w:rPr>
          <w:rFonts w:ascii="Times New Roman" w:hAnsi="Times New Roman" w:eastAsia="Arial Unicode MS" w:cs="Times New Roman"/>
          <w:sz w:val="24"/>
          <w:szCs w:val="24"/>
          <w:lang w:val="es-PE" w:eastAsia="ar-SA"/>
        </w:rPr>
        <w:t xml:space="preserve"> de 202</w:t>
      </w:r>
      <w:r w:rsidRPr="0000335D" w:rsidR="00B93C7A">
        <w:rPr>
          <w:rFonts w:ascii="Times New Roman" w:hAnsi="Times New Roman" w:eastAsia="Arial Unicode MS" w:cs="Times New Roman"/>
          <w:sz w:val="24"/>
          <w:szCs w:val="24"/>
          <w:lang w:val="es-PE" w:eastAsia="ar-SA"/>
        </w:rPr>
        <w:t>2</w:t>
      </w:r>
      <w:r w:rsidRPr="0000335D" w:rsidR="00707C99">
        <w:rPr>
          <w:rFonts w:ascii="Times New Roman" w:hAnsi="Times New Roman" w:eastAsia="Times New Roman" w:cs="Times New Roman"/>
          <w:sz w:val="24"/>
          <w:szCs w:val="24"/>
          <w:lang w:val="es-PE" w:eastAsia="ar-SA"/>
        </w:rPr>
        <w:t xml:space="preserve"> </w:t>
      </w:r>
    </w:p>
    <w:p w:rsidRPr="0000335D"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00335D"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00335D"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00335D">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00335D"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00335D" w:rsidR="001233F2" w:rsidP="001233F2" w:rsidRDefault="001233F2" w14:paraId="74409CB4" w14:textId="77777777">
      <w:pPr>
        <w:spacing w:after="0" w:line="360" w:lineRule="auto"/>
        <w:jc w:val="center"/>
        <w:rPr>
          <w:rFonts w:ascii="Times New Roman" w:hAnsi="Times New Roman" w:cs="Times New Roman"/>
          <w:b/>
          <w:bCs/>
          <w:sz w:val="24"/>
          <w:szCs w:val="24"/>
          <w:lang w:val="es-PE"/>
        </w:rPr>
      </w:pPr>
      <w:r w:rsidRPr="0000335D">
        <w:rPr>
          <w:rFonts w:ascii="Times New Roman" w:hAnsi="Times New Roman" w:cs="Times New Roman"/>
          <w:b/>
          <w:bCs/>
          <w:sz w:val="24"/>
          <w:szCs w:val="24"/>
          <w:lang w:val="es-PE"/>
        </w:rPr>
        <w:t xml:space="preserve">María Eugenia Valdez Fernández Baca – </w:t>
      </w:r>
      <w:proofErr w:type="gramStart"/>
      <w:r w:rsidRPr="0000335D">
        <w:rPr>
          <w:rFonts w:ascii="Times New Roman" w:hAnsi="Times New Roman" w:cs="Times New Roman"/>
          <w:b/>
          <w:bCs/>
          <w:sz w:val="24"/>
          <w:szCs w:val="24"/>
          <w:lang w:val="es-PE"/>
        </w:rPr>
        <w:t>Presidente</w:t>
      </w:r>
      <w:proofErr w:type="gramEnd"/>
    </w:p>
    <w:p w:rsidRPr="0000335D" w:rsidR="001233F2" w:rsidP="001233F2" w:rsidRDefault="001233F2" w14:paraId="6DC8A5AA" w14:textId="77777777">
      <w:pPr>
        <w:spacing w:after="0" w:line="360" w:lineRule="auto"/>
        <w:jc w:val="center"/>
        <w:rPr>
          <w:rFonts w:ascii="Times New Roman" w:hAnsi="Times New Roman" w:cs="Times New Roman"/>
          <w:b/>
          <w:bCs/>
          <w:sz w:val="24"/>
          <w:szCs w:val="24"/>
          <w:lang w:val="es-PE"/>
        </w:rPr>
      </w:pPr>
      <w:r w:rsidRPr="0000335D">
        <w:rPr>
          <w:rFonts w:ascii="Times New Roman" w:hAnsi="Times New Roman" w:cs="Times New Roman"/>
          <w:b/>
          <w:bCs/>
          <w:sz w:val="24"/>
          <w:szCs w:val="24"/>
          <w:lang w:val="es-PE"/>
        </w:rPr>
        <w:t xml:space="preserve">Rolando Eyzaguirre </w:t>
      </w:r>
      <w:proofErr w:type="spellStart"/>
      <w:r w:rsidRPr="0000335D">
        <w:rPr>
          <w:rFonts w:ascii="Times New Roman" w:hAnsi="Times New Roman" w:cs="Times New Roman"/>
          <w:b/>
          <w:bCs/>
          <w:sz w:val="24"/>
          <w:szCs w:val="24"/>
          <w:lang w:val="es-PE"/>
        </w:rPr>
        <w:t>Maccan</w:t>
      </w:r>
      <w:proofErr w:type="spellEnd"/>
      <w:r w:rsidRPr="0000335D">
        <w:rPr>
          <w:rFonts w:ascii="Times New Roman" w:hAnsi="Times New Roman" w:cs="Times New Roman"/>
          <w:b/>
          <w:bCs/>
          <w:sz w:val="24"/>
          <w:szCs w:val="24"/>
          <w:lang w:val="es-PE"/>
        </w:rPr>
        <w:t xml:space="preserve"> – Vocal</w:t>
      </w:r>
    </w:p>
    <w:p w:rsidRPr="0000335D" w:rsidR="001233F2" w:rsidP="001233F2" w:rsidRDefault="001233F2" w14:paraId="458869C3" w14:textId="77777777">
      <w:pPr>
        <w:spacing w:after="0" w:line="360" w:lineRule="auto"/>
        <w:jc w:val="center"/>
        <w:rPr>
          <w:rFonts w:ascii="Times New Roman" w:hAnsi="Times New Roman" w:cs="Times New Roman"/>
          <w:b/>
          <w:bCs/>
          <w:sz w:val="24"/>
          <w:szCs w:val="24"/>
          <w:lang w:val="es-PE"/>
        </w:rPr>
      </w:pPr>
      <w:r w:rsidRPr="0000335D">
        <w:rPr>
          <w:rFonts w:ascii="Times New Roman" w:hAnsi="Times New Roman" w:cs="Times New Roman"/>
          <w:b/>
          <w:bCs/>
          <w:sz w:val="24"/>
          <w:szCs w:val="24"/>
          <w:lang w:val="es-PE"/>
        </w:rPr>
        <w:t>Marco Antonio Ortega Piana – Vocal</w:t>
      </w:r>
    </w:p>
    <w:p w:rsidRPr="0000335D" w:rsidR="001233F2" w:rsidP="001233F2" w:rsidRDefault="001233F2" w14:paraId="1D4E3330" w14:textId="77777777">
      <w:pPr>
        <w:spacing w:after="0" w:line="360" w:lineRule="auto"/>
        <w:jc w:val="center"/>
        <w:rPr>
          <w:rFonts w:ascii="Times New Roman" w:hAnsi="Times New Roman" w:cs="Times New Roman"/>
          <w:sz w:val="24"/>
          <w:szCs w:val="24"/>
          <w:lang w:val="es-PE"/>
        </w:rPr>
      </w:pPr>
      <w:r w:rsidRPr="0000335D">
        <w:rPr>
          <w:rFonts w:ascii="Times New Roman" w:hAnsi="Times New Roman" w:cs="Times New Roman"/>
          <w:b/>
          <w:bCs/>
          <w:sz w:val="24"/>
          <w:szCs w:val="24"/>
          <w:lang w:val="es-PE"/>
        </w:rPr>
        <w:t>Gonzalo Abad del Busto – Vocal</w:t>
      </w:r>
    </w:p>
    <w:p w:rsidRPr="001F29A6"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1F29A6"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1F29A6" w:rsidR="00C671F5" w:rsidSect="00077B6F">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16540" w:rsidP="00784355" w:rsidRDefault="00F16540" w14:paraId="12B85BB1" w14:textId="77777777">
      <w:pPr>
        <w:spacing w:after="0" w:line="240" w:lineRule="auto"/>
      </w:pPr>
      <w:r>
        <w:separator/>
      </w:r>
    </w:p>
  </w:endnote>
  <w:endnote w:type="continuationSeparator" w:id="0">
    <w:p w:rsidR="00F16540" w:rsidP="00784355" w:rsidRDefault="00F16540" w14:paraId="7F24DC9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16540" w:rsidP="00784355" w:rsidRDefault="00F16540" w14:paraId="09D381A3" w14:textId="77777777">
      <w:pPr>
        <w:spacing w:after="0" w:line="240" w:lineRule="auto"/>
      </w:pPr>
      <w:r>
        <w:separator/>
      </w:r>
    </w:p>
  </w:footnote>
  <w:footnote w:type="continuationSeparator" w:id="0">
    <w:p w:rsidR="00F16540" w:rsidP="00784355" w:rsidRDefault="00F16540" w14:paraId="1601E8D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2"/>
  </w:num>
  <w:num w:numId="5">
    <w:abstractNumId w:val="4"/>
  </w:num>
  <w:num w:numId="6">
    <w:abstractNumId w:val="0"/>
  </w:num>
  <w:num w:numId="7">
    <w:abstractNumId w:val="6"/>
  </w:num>
  <w:num w:numId="8">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B96"/>
    <w:rsid w:val="00010987"/>
    <w:rsid w:val="00013057"/>
    <w:rsid w:val="000159CC"/>
    <w:rsid w:val="00015C22"/>
    <w:rsid w:val="000167E0"/>
    <w:rsid w:val="000235E9"/>
    <w:rsid w:val="0002637D"/>
    <w:rsid w:val="0002733C"/>
    <w:rsid w:val="00027978"/>
    <w:rsid w:val="0004480C"/>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F6340"/>
    <w:rsid w:val="0011308C"/>
    <w:rsid w:val="001233F2"/>
    <w:rsid w:val="00125B9B"/>
    <w:rsid w:val="001320DF"/>
    <w:rsid w:val="00136E12"/>
    <w:rsid w:val="001373AF"/>
    <w:rsid w:val="001377EF"/>
    <w:rsid w:val="00150874"/>
    <w:rsid w:val="001508BC"/>
    <w:rsid w:val="001529FE"/>
    <w:rsid w:val="001703D8"/>
    <w:rsid w:val="00170E39"/>
    <w:rsid w:val="00174918"/>
    <w:rsid w:val="00174DA5"/>
    <w:rsid w:val="00181908"/>
    <w:rsid w:val="00181DCE"/>
    <w:rsid w:val="00187BFD"/>
    <w:rsid w:val="0019649B"/>
    <w:rsid w:val="001A008A"/>
    <w:rsid w:val="001A3395"/>
    <w:rsid w:val="001A44E1"/>
    <w:rsid w:val="001B1E59"/>
    <w:rsid w:val="001B58A3"/>
    <w:rsid w:val="001D0EED"/>
    <w:rsid w:val="001D59D9"/>
    <w:rsid w:val="001D6136"/>
    <w:rsid w:val="001E119C"/>
    <w:rsid w:val="001E4337"/>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66105"/>
    <w:rsid w:val="0027261F"/>
    <w:rsid w:val="00272F4F"/>
    <w:rsid w:val="0027301E"/>
    <w:rsid w:val="00274985"/>
    <w:rsid w:val="002768C6"/>
    <w:rsid w:val="00276A92"/>
    <w:rsid w:val="00277667"/>
    <w:rsid w:val="00290CA4"/>
    <w:rsid w:val="002A31D3"/>
    <w:rsid w:val="002A7E2E"/>
    <w:rsid w:val="002B726E"/>
    <w:rsid w:val="002C2A0F"/>
    <w:rsid w:val="002D0DB0"/>
    <w:rsid w:val="002D3B01"/>
    <w:rsid w:val="002E1221"/>
    <w:rsid w:val="002E17F9"/>
    <w:rsid w:val="002F09CA"/>
    <w:rsid w:val="002F35F0"/>
    <w:rsid w:val="003045E3"/>
    <w:rsid w:val="0032132E"/>
    <w:rsid w:val="00340E4B"/>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7E23"/>
    <w:rsid w:val="00425F75"/>
    <w:rsid w:val="00434D9C"/>
    <w:rsid w:val="00440BC2"/>
    <w:rsid w:val="00444232"/>
    <w:rsid w:val="00460C30"/>
    <w:rsid w:val="00465FB9"/>
    <w:rsid w:val="00466302"/>
    <w:rsid w:val="0047370C"/>
    <w:rsid w:val="0047522D"/>
    <w:rsid w:val="00476BA1"/>
    <w:rsid w:val="00490F9F"/>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7EE5"/>
    <w:rsid w:val="00566021"/>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C9A"/>
    <w:rsid w:val="007261FD"/>
    <w:rsid w:val="007300C4"/>
    <w:rsid w:val="007434BA"/>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21DED"/>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8F7C83"/>
    <w:rsid w:val="009011F1"/>
    <w:rsid w:val="009127A6"/>
    <w:rsid w:val="0091528B"/>
    <w:rsid w:val="009157B1"/>
    <w:rsid w:val="00917CAF"/>
    <w:rsid w:val="009225DD"/>
    <w:rsid w:val="009272D7"/>
    <w:rsid w:val="00933532"/>
    <w:rsid w:val="00943343"/>
    <w:rsid w:val="00946694"/>
    <w:rsid w:val="00951B99"/>
    <w:rsid w:val="00955C03"/>
    <w:rsid w:val="00964237"/>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362B"/>
    <w:rsid w:val="00A077D2"/>
    <w:rsid w:val="00A16942"/>
    <w:rsid w:val="00A17A72"/>
    <w:rsid w:val="00A25F51"/>
    <w:rsid w:val="00A30393"/>
    <w:rsid w:val="00A32246"/>
    <w:rsid w:val="00A328C0"/>
    <w:rsid w:val="00A3714C"/>
    <w:rsid w:val="00A427D6"/>
    <w:rsid w:val="00A44E53"/>
    <w:rsid w:val="00A46E96"/>
    <w:rsid w:val="00A52030"/>
    <w:rsid w:val="00A57F06"/>
    <w:rsid w:val="00A62BEC"/>
    <w:rsid w:val="00A658C1"/>
    <w:rsid w:val="00A734AD"/>
    <w:rsid w:val="00A837A0"/>
    <w:rsid w:val="00A90926"/>
    <w:rsid w:val="00A97287"/>
    <w:rsid w:val="00AA2DED"/>
    <w:rsid w:val="00AB1C66"/>
    <w:rsid w:val="00AC5A9E"/>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28FB"/>
    <w:rsid w:val="00B93C7A"/>
    <w:rsid w:val="00B956C4"/>
    <w:rsid w:val="00BA0192"/>
    <w:rsid w:val="00BB2152"/>
    <w:rsid w:val="00BB2BE0"/>
    <w:rsid w:val="00BB405B"/>
    <w:rsid w:val="00BC29D0"/>
    <w:rsid w:val="00BD797F"/>
    <w:rsid w:val="00BE1470"/>
    <w:rsid w:val="00BE7C72"/>
    <w:rsid w:val="00BF1421"/>
    <w:rsid w:val="00BF414E"/>
    <w:rsid w:val="00BF4646"/>
    <w:rsid w:val="00BF78BF"/>
    <w:rsid w:val="00C00BBF"/>
    <w:rsid w:val="00C02CC4"/>
    <w:rsid w:val="00C04AA4"/>
    <w:rsid w:val="00C05445"/>
    <w:rsid w:val="00C12CBD"/>
    <w:rsid w:val="00C134DB"/>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3750"/>
    <w:rsid w:val="00C8675B"/>
    <w:rsid w:val="00C86CD7"/>
    <w:rsid w:val="00C9376B"/>
    <w:rsid w:val="00C9581A"/>
    <w:rsid w:val="00C960BE"/>
    <w:rsid w:val="00C9791B"/>
    <w:rsid w:val="00CA3682"/>
    <w:rsid w:val="00CB44BB"/>
    <w:rsid w:val="00CC4AEF"/>
    <w:rsid w:val="00CC6C0C"/>
    <w:rsid w:val="00CD1FB3"/>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92C44"/>
    <w:rsid w:val="00DA0540"/>
    <w:rsid w:val="00DA2840"/>
    <w:rsid w:val="00DA4030"/>
    <w:rsid w:val="00DB15FD"/>
    <w:rsid w:val="00DB58EC"/>
    <w:rsid w:val="00DC399B"/>
    <w:rsid w:val="00DD5E2B"/>
    <w:rsid w:val="00DE24FD"/>
    <w:rsid w:val="00DF3781"/>
    <w:rsid w:val="00DF6E69"/>
    <w:rsid w:val="00E107CA"/>
    <w:rsid w:val="00E1216B"/>
    <w:rsid w:val="00E1477F"/>
    <w:rsid w:val="00E16C63"/>
    <w:rsid w:val="00E25348"/>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09B6"/>
    <w:rsid w:val="00ED38AF"/>
    <w:rsid w:val="00ED60A1"/>
    <w:rsid w:val="00ED6123"/>
    <w:rsid w:val="00EE1C4A"/>
    <w:rsid w:val="00EE6D21"/>
    <w:rsid w:val="00F01B55"/>
    <w:rsid w:val="00F0237B"/>
    <w:rsid w:val="00F06498"/>
    <w:rsid w:val="00F11E0A"/>
    <w:rsid w:val="00F13013"/>
    <w:rsid w:val="00F14F22"/>
    <w:rsid w:val="00F16540"/>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E38F0"/>
    <w:rsid w:val="00FE43A9"/>
    <w:rsid w:val="00FF41F3"/>
    <w:rsid w:val="054E9E9A"/>
    <w:rsid w:val="0C630DBC"/>
    <w:rsid w:val="0D454B8A"/>
    <w:rsid w:val="0ED84358"/>
    <w:rsid w:val="10C5395A"/>
    <w:rsid w:val="18A75E28"/>
    <w:rsid w:val="227A2565"/>
    <w:rsid w:val="472A3A8D"/>
    <w:rsid w:val="47689F43"/>
    <w:rsid w:val="48EE84A8"/>
    <w:rsid w:val="544FD9D2"/>
    <w:rsid w:val="59E5C68A"/>
    <w:rsid w:val="61F4BD6C"/>
    <w:rsid w:val="6C260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24750299-F63A-46A9-BE1A-FDB2EDEEC981}"/>
</file>

<file path=customXml/itemProps3.xml><?xml version="1.0" encoding="utf-8"?>
<ds:datastoreItem xmlns:ds="http://schemas.openxmlformats.org/officeDocument/2006/customXml" ds:itemID="{F42088CC-D37E-4856-8DF6-ACF27972452F}"/>
</file>

<file path=customXml/itemProps4.xml><?xml version="1.0" encoding="utf-8"?>
<ds:datastoreItem xmlns:ds="http://schemas.openxmlformats.org/officeDocument/2006/customXml" ds:itemID="{D35BA84C-A8C1-4993-8322-84BED264E1F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32</cp:revision>
  <cp:lastPrinted>2022-02-28T14:24:00Z</cp:lastPrinted>
  <dcterms:created xsi:type="dcterms:W3CDTF">2020-12-18T20:17:00Z</dcterms:created>
  <dcterms:modified xsi:type="dcterms:W3CDTF">2025-11-25T20:42:39Z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