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F6175" w:rsidR="00707C99" w:rsidP="00272F4F" w:rsidRDefault="00201C0D" w14:paraId="19FE0E96" w14:textId="5E0AB7E5">
      <w:pPr>
        <w:spacing w:after="0" w:line="240" w:lineRule="auto"/>
        <w:jc w:val="center"/>
        <w:rPr>
          <w:rFonts w:ascii="Times New Roman" w:hAnsi="Times New Roman" w:cs="Times New Roman"/>
          <w:b/>
          <w:sz w:val="24"/>
          <w:szCs w:val="24"/>
          <w:lang w:val="es-PE" w:eastAsia="ar-SA"/>
        </w:rPr>
      </w:pPr>
      <w:r w:rsidRPr="008F6175">
        <w:rPr>
          <w:rFonts w:ascii="Times New Roman" w:hAnsi="Times New Roman" w:cs="Times New Roman"/>
          <w:b/>
          <w:sz w:val="24"/>
          <w:szCs w:val="24"/>
          <w:lang w:val="es-PE" w:eastAsia="ar-SA"/>
        </w:rPr>
        <w:t xml:space="preserve">RESOLUCIÓN DE RECURSO IMPUGNATIVO </w:t>
      </w:r>
      <w:proofErr w:type="spellStart"/>
      <w:r w:rsidRPr="008F6175" w:rsidR="00707C99">
        <w:rPr>
          <w:rFonts w:ascii="Times New Roman" w:hAnsi="Times New Roman" w:cs="Times New Roman"/>
          <w:b/>
          <w:sz w:val="24"/>
          <w:szCs w:val="24"/>
          <w:lang w:val="es-PE" w:eastAsia="ar-SA"/>
        </w:rPr>
        <w:t>N°</w:t>
      </w:r>
      <w:proofErr w:type="spellEnd"/>
      <w:r w:rsidRPr="008F6175" w:rsidR="00707C99">
        <w:rPr>
          <w:rFonts w:ascii="Times New Roman" w:hAnsi="Times New Roman" w:cs="Times New Roman"/>
          <w:b/>
          <w:sz w:val="24"/>
          <w:szCs w:val="24"/>
          <w:lang w:val="es-PE" w:eastAsia="ar-SA"/>
        </w:rPr>
        <w:t xml:space="preserve"> </w:t>
      </w:r>
      <w:r w:rsidRPr="008F6175" w:rsidR="00C671F5">
        <w:rPr>
          <w:rFonts w:ascii="Times New Roman" w:hAnsi="Times New Roman" w:cs="Times New Roman"/>
          <w:b/>
          <w:sz w:val="24"/>
          <w:szCs w:val="24"/>
          <w:lang w:val="es-PE" w:eastAsia="ar-SA"/>
        </w:rPr>
        <w:t>0</w:t>
      </w:r>
      <w:r w:rsidRPr="008F6175" w:rsidR="0000335D">
        <w:rPr>
          <w:rFonts w:ascii="Times New Roman" w:hAnsi="Times New Roman" w:cs="Times New Roman"/>
          <w:b/>
          <w:sz w:val="24"/>
          <w:szCs w:val="24"/>
          <w:lang w:val="es-PE" w:eastAsia="ar-SA"/>
        </w:rPr>
        <w:t>1</w:t>
      </w:r>
      <w:r w:rsidRPr="008F6175" w:rsidR="00BF1E0E">
        <w:rPr>
          <w:rFonts w:ascii="Times New Roman" w:hAnsi="Times New Roman" w:cs="Times New Roman"/>
          <w:b/>
          <w:sz w:val="24"/>
          <w:szCs w:val="24"/>
          <w:lang w:val="es-PE" w:eastAsia="ar-SA"/>
        </w:rPr>
        <w:t>2</w:t>
      </w:r>
      <w:r w:rsidRPr="008F6175" w:rsidR="00C671F5">
        <w:rPr>
          <w:rFonts w:ascii="Times New Roman" w:hAnsi="Times New Roman" w:cs="Times New Roman"/>
          <w:b/>
          <w:sz w:val="24"/>
          <w:szCs w:val="24"/>
          <w:lang w:val="es-PE" w:eastAsia="ar-SA"/>
        </w:rPr>
        <w:t>/2</w:t>
      </w:r>
      <w:r w:rsidRPr="008F6175" w:rsidR="00B93C7A">
        <w:rPr>
          <w:rFonts w:ascii="Times New Roman" w:hAnsi="Times New Roman" w:cs="Times New Roman"/>
          <w:b/>
          <w:sz w:val="24"/>
          <w:szCs w:val="24"/>
          <w:lang w:val="es-PE" w:eastAsia="ar-SA"/>
        </w:rPr>
        <w:t>2</w:t>
      </w:r>
    </w:p>
    <w:p w:rsidRPr="008F6175" w:rsidR="00CD1FB3" w:rsidP="00754DAC" w:rsidRDefault="00CD1FB3" w14:paraId="065C2231" w14:textId="77777777">
      <w:pPr>
        <w:spacing w:after="0" w:line="240" w:lineRule="auto"/>
        <w:jc w:val="both"/>
        <w:rPr>
          <w:rFonts w:ascii="Times New Roman" w:hAnsi="Times New Roman" w:cs="Times New Roman"/>
          <w:b/>
          <w:sz w:val="24"/>
          <w:szCs w:val="24"/>
          <w:lang w:val="es-PE"/>
        </w:rPr>
      </w:pPr>
    </w:p>
    <w:p w:rsidRPr="008F6175" w:rsidR="008F6175" w:rsidP="008F6175" w:rsidRDefault="008F6175" w14:paraId="0B346E54" w14:textId="77777777">
      <w:pPr>
        <w:jc w:val="both"/>
        <w:outlineLvl w:val="0"/>
        <w:rPr>
          <w:rFonts w:ascii="Times New Roman" w:hAnsi="Times New Roman" w:cs="Times New Roman"/>
          <w:b/>
          <w:bCs/>
          <w:sz w:val="24"/>
          <w:szCs w:val="24"/>
          <w:lang w:val="es-MX"/>
        </w:rPr>
      </w:pPr>
      <w:r w:rsidRPr="008F6175">
        <w:rPr>
          <w:rFonts w:ascii="Times New Roman" w:hAnsi="Times New Roman" w:cs="Times New Roman"/>
          <w:b/>
          <w:bCs/>
          <w:sz w:val="24"/>
          <w:szCs w:val="24"/>
          <w:lang w:val="es-MX"/>
        </w:rPr>
        <w:t>VISTOS:</w:t>
      </w:r>
    </w:p>
    <w:p w:rsidRPr="008F6175" w:rsidR="008F6175" w:rsidP="008F6175" w:rsidRDefault="008F6175" w14:paraId="75793DBE" w14:textId="77777777">
      <w:pPr>
        <w:jc w:val="both"/>
        <w:rPr>
          <w:rFonts w:ascii="Times New Roman" w:hAnsi="Times New Roman" w:cs="Times New Roman"/>
          <w:b/>
          <w:bCs/>
          <w:sz w:val="24"/>
          <w:szCs w:val="24"/>
          <w:lang w:val="es-MX"/>
        </w:rPr>
      </w:pPr>
    </w:p>
    <w:p w:rsidRPr="008F6175" w:rsidR="008F6175" w:rsidP="008F6175" w:rsidRDefault="008F6175" w14:paraId="474288D3" w14:textId="6CB3A595">
      <w:pPr>
        <w:pStyle w:val="Default"/>
        <w:jc w:val="both"/>
        <w:rPr>
          <w:rFonts w:ascii="Times New Roman" w:hAnsi="Times New Roman" w:cs="Times New Roman"/>
        </w:rPr>
      </w:pPr>
      <w:r w:rsidRPr="4A366AB3" w:rsidR="008F6175">
        <w:rPr>
          <w:rFonts w:ascii="Times New Roman" w:hAnsi="Times New Roman" w:cs="Times New Roman"/>
        </w:rPr>
        <w:t xml:space="preserve">El recurso de impugnación presentado por </w:t>
      </w:r>
      <w:r w:rsidRPr="4A366AB3" w:rsidR="74FB7BFA">
        <w:rPr>
          <w:rFonts w:ascii="Times New Roman" w:hAnsi="Times New Roman" w:cs="Times New Roman"/>
        </w:rPr>
        <w:t>....................................................</w:t>
      </w:r>
      <w:r w:rsidRPr="4A366AB3" w:rsidR="008F6175">
        <w:rPr>
          <w:rFonts w:ascii="Times New Roman" w:hAnsi="Times New Roman" w:cs="Times New Roman"/>
        </w:rPr>
        <w:t xml:space="preserve"> respecto de la Resolución Nro. 002/22, expedida por el Órgano Resolutivo Unipersonal de esta Defensoría del Asegurado (DEFASEG), conforme a la cual se declaró FUNDADA la reclamación interpuesta por </w:t>
      </w:r>
      <w:r w:rsidRPr="4A366AB3" w:rsidR="4DACF59F">
        <w:rPr>
          <w:rFonts w:ascii="Times New Roman" w:hAnsi="Times New Roman" w:cs="Times New Roman"/>
          <w:b w:val="1"/>
          <w:bCs w:val="1"/>
        </w:rPr>
        <w:t>....................................................</w:t>
      </w:r>
      <w:r w:rsidRPr="4A366AB3" w:rsidR="008F6175">
        <w:rPr>
          <w:rFonts w:ascii="Times New Roman" w:hAnsi="Times New Roman" w:cs="Times New Roman"/>
        </w:rPr>
        <w:t xml:space="preserve"> respecto al </w:t>
      </w:r>
      <w:r w:rsidRPr="4A366AB3" w:rsidR="008F6175">
        <w:rPr>
          <w:rFonts w:ascii="Times New Roman" w:hAnsi="Times New Roman" w:cs="Times New Roman"/>
          <w:b w:val="1"/>
          <w:bCs w:val="1"/>
        </w:rPr>
        <w:t xml:space="preserve">SEGURO DE PROTECCIÓN DE TARJETA </w:t>
      </w:r>
      <w:r w:rsidRPr="4A366AB3" w:rsidR="36175974">
        <w:rPr>
          <w:rFonts w:ascii="Times New Roman" w:hAnsi="Times New Roman" w:cs="Times New Roman"/>
          <w:b w:val="1"/>
          <w:bCs w:val="1"/>
        </w:rPr>
        <w:t>.............</w:t>
      </w:r>
      <w:r w:rsidRPr="4A366AB3" w:rsidR="008F6175">
        <w:rPr>
          <w:rFonts w:ascii="Times New Roman" w:hAnsi="Times New Roman" w:cs="Times New Roman"/>
        </w:rPr>
        <w:t>;</w:t>
      </w:r>
    </w:p>
    <w:p w:rsidRPr="008F6175" w:rsidR="008F6175" w:rsidP="008F6175" w:rsidRDefault="008F6175" w14:paraId="5E87E895" w14:textId="77777777">
      <w:pPr>
        <w:jc w:val="both"/>
        <w:rPr>
          <w:rFonts w:ascii="Times New Roman" w:hAnsi="Times New Roman" w:cs="Times New Roman"/>
          <w:sz w:val="24"/>
          <w:szCs w:val="24"/>
          <w:lang w:val="es-PE"/>
        </w:rPr>
      </w:pPr>
    </w:p>
    <w:p w:rsidRPr="008F6175" w:rsidR="008F6175" w:rsidP="008F6175" w:rsidRDefault="008F6175" w14:paraId="1EF2857B" w14:textId="77777777">
      <w:pPr>
        <w:pStyle w:val="Textoindependiente"/>
      </w:pPr>
      <w:r w:rsidRPr="008F6175">
        <w:t>Que, el indicado recurso se sustenta resumidamente en lo siguiente: (1) e</w:t>
      </w:r>
      <w:r w:rsidRPr="008F6175">
        <w:rPr>
          <w:color w:val="000000"/>
          <w:lang w:val="es-PE" w:eastAsia="es-PE"/>
        </w:rPr>
        <w:t xml:space="preserve">l criterio adoptado por la Defensoría es errado pues la póliza de seguros contratada sí contempla la definición de lo que engloba el término “uso indebido”; (2) </w:t>
      </w:r>
      <w:r w:rsidRPr="008F6175">
        <w:t xml:space="preserve">el uso indebido deberá entenderse por el robo, secuestro, extravío o hurto de las tarjetas de crédito o débito; (3) utilizar una definición distinta, extensiva y creativa sobre un concepto que se ha utilizado por años causaría un sinsentido en el contrato, pues este perdería toda credibilidad y es que sería un absurdo que para ciertos casos la Defensoría opte por interpretar un concepto ya establecido de una manera totalmente contraria a lo plasmado por el propio contrato; (4) el condicionado general de la Póliza es un documento que acompaña la Póliza de Seguros. si la Denunciante cuenta con la Póliza de Seguros, también contará con el condicionado general que acompaña a esta; (5) tales documentos deberán ser solicitados por el asegurado conforme se detalla en la página </w:t>
      </w:r>
      <w:proofErr w:type="spellStart"/>
      <w:r w:rsidRPr="008F6175">
        <w:t>Nº</w:t>
      </w:r>
      <w:proofErr w:type="spellEnd"/>
      <w:r w:rsidRPr="008F6175">
        <w:t xml:space="preserve"> 3 del Certificado de Seguros, el mismo que se entrega a cada usuario al firmar el contrato; (6) tal certificado manifiesta que la solicitud de la póliza es una facultad que le pertenece al asegurado siempre y cuando este cumpla con pagar un monto adicional por tal documento; (7) no cabe sustentar que la póliza no establece que para la procedencia del fraude por internet tenga que mediar el uso indebido (en los alcances de su definición de robo o hurto de la tarjeta siniestrada); (8) e</w:t>
      </w:r>
      <w:r w:rsidRPr="008F6175">
        <w:rPr>
          <w:color w:val="000000"/>
          <w:lang w:val="es-PE" w:eastAsia="es-PE"/>
        </w:rPr>
        <w:t xml:space="preserve">l criterio adoptado por la Defensoría vulnera tajantemente lo dispuesto en la Ley de Seguros al señalar que la norma no limita a determinadas modalidades delictivas tales como el </w:t>
      </w:r>
      <w:proofErr w:type="spellStart"/>
      <w:r w:rsidRPr="008F6175">
        <w:rPr>
          <w:color w:val="000000"/>
          <w:lang w:val="es-PE" w:eastAsia="es-PE"/>
        </w:rPr>
        <w:t>Phising</w:t>
      </w:r>
      <w:proofErr w:type="spellEnd"/>
      <w:r w:rsidRPr="008F6175">
        <w:rPr>
          <w:color w:val="000000"/>
          <w:lang w:val="es-PE" w:eastAsia="es-PE"/>
        </w:rPr>
        <w:t xml:space="preserve">, </w:t>
      </w:r>
      <w:r w:rsidRPr="008F6175">
        <w:t xml:space="preserve">si bien la cláusula sobre compras fraudulentas vía internet no excluye en su contenido a las modalidades delictivas como phishing, ello de ninguna manera deberá entenderse como que este pueda encontrarse dentro de los alcances de la norma; (9) ello en virtud a que la Ley de Contratos de Seguros señala expresamente en la disposición séptima del Artículo IV que la cobertura, exclusiones y, en general, la extensión del riesgo, así como los derechos de los beneficiarios previstos en el contrato de seguros deben interpretarse literalmente; (10) </w:t>
      </w:r>
      <w:r w:rsidRPr="008F6175">
        <w:rPr>
          <w:color w:val="000000"/>
          <w:lang w:val="es-PE" w:eastAsia="es-PE"/>
        </w:rPr>
        <w:t>la modalidad de phishing no se encuentre contemplada dentro de los alcances de la cláusula sobre compras fraudulentas por internet no significa que ella deba ser amparada dentro de la cobertura; (11) de realizar tal interpretación extensiva, se estaría infringiendo tajantemente lo que la propia norma establece de manera clara y es que la norma deberá entenderse al pie de la letra.</w:t>
      </w:r>
    </w:p>
    <w:p w:rsidR="003D64A9" w:rsidP="008F6175" w:rsidRDefault="003D64A9" w14:paraId="59BB5CDC" w14:textId="77777777">
      <w:pPr>
        <w:pStyle w:val="Textoindependiente"/>
      </w:pPr>
    </w:p>
    <w:p w:rsidRPr="008F6175" w:rsidR="008F6175" w:rsidP="008F6175" w:rsidRDefault="008F6175" w14:paraId="2A42E3F6" w14:textId="296D1B41">
      <w:pPr>
        <w:pStyle w:val="Textoindependiente"/>
        <w:rPr>
          <w:bCs w:val="0"/>
          <w:color w:val="000000"/>
          <w:lang w:val="es-PE" w:eastAsia="es-PE"/>
        </w:rPr>
      </w:pPr>
      <w:r w:rsidRPr="008F6175">
        <w:t>Que, el reclamante no absolvió el traslado del recurso interpuesto</w:t>
      </w:r>
      <w:r w:rsidRPr="008F6175">
        <w:rPr>
          <w:bCs w:val="0"/>
          <w:color w:val="000000"/>
          <w:lang w:val="es-PE" w:eastAsia="es-PE"/>
        </w:rPr>
        <w:t>.</w:t>
      </w:r>
    </w:p>
    <w:p w:rsidRPr="008F6175" w:rsidR="008F6175" w:rsidP="008F6175" w:rsidRDefault="008F6175" w14:paraId="6330236A" w14:textId="77777777">
      <w:pPr>
        <w:pStyle w:val="Textoindependiente"/>
      </w:pPr>
    </w:p>
    <w:p w:rsidRPr="008F6175" w:rsidR="008F6175" w:rsidP="008F6175" w:rsidRDefault="008F6175" w14:paraId="48CB8B8C" w14:textId="77777777">
      <w:pPr>
        <w:pStyle w:val="Textoindependiente"/>
        <w:tabs>
          <w:tab w:val="left" w:pos="930"/>
        </w:tabs>
      </w:pPr>
      <w:r w:rsidRPr="008F6175">
        <w:t>Que, atendiendo a lo expuesto, esta Defensoría resuelve finalmente lo siguiente:</w:t>
      </w:r>
    </w:p>
    <w:p w:rsidRPr="008F6175" w:rsidR="008F6175" w:rsidP="008F6175" w:rsidRDefault="008F6175" w14:paraId="43B5653B" w14:textId="77777777">
      <w:pPr>
        <w:jc w:val="both"/>
        <w:rPr>
          <w:rFonts w:ascii="Times New Roman" w:hAnsi="Times New Roman" w:cs="Times New Roman"/>
          <w:b/>
          <w:sz w:val="24"/>
          <w:szCs w:val="24"/>
          <w:u w:val="single"/>
          <w:lang w:val="es-PE"/>
        </w:rPr>
      </w:pPr>
    </w:p>
    <w:p w:rsidRPr="008F6175" w:rsidR="008F6175" w:rsidP="008F6175" w:rsidRDefault="008F6175" w14:paraId="20F96D70" w14:textId="77777777">
      <w:pPr>
        <w:jc w:val="both"/>
        <w:rPr>
          <w:rFonts w:ascii="Times New Roman" w:hAnsi="Times New Roman" w:cs="Times New Roman"/>
          <w:sz w:val="24"/>
          <w:szCs w:val="24"/>
          <w:lang w:val="es-PE"/>
        </w:rPr>
      </w:pPr>
      <w:r w:rsidRPr="008F6175">
        <w:rPr>
          <w:rFonts w:ascii="Times New Roman" w:hAnsi="Times New Roman" w:cs="Times New Roman"/>
          <w:b/>
          <w:sz w:val="24"/>
          <w:szCs w:val="24"/>
          <w:u w:val="single"/>
          <w:lang w:val="es-PE"/>
        </w:rPr>
        <w:lastRenderedPageBreak/>
        <w:t>PRIMERO</w:t>
      </w:r>
      <w:r w:rsidRPr="008F6175">
        <w:rPr>
          <w:rFonts w:ascii="Times New Roman" w:hAnsi="Times New Roman" w:cs="Times New Roman"/>
          <w:b/>
          <w:sz w:val="24"/>
          <w:szCs w:val="24"/>
          <w:lang w:val="es-PE"/>
        </w:rPr>
        <w:t>:</w:t>
      </w:r>
      <w:r w:rsidRPr="008F6175">
        <w:rPr>
          <w:rFonts w:ascii="Times New Roman" w:hAnsi="Times New Roman" w:cs="Times New Roman"/>
          <w:sz w:val="24"/>
          <w:szCs w:val="24"/>
          <w:lang w:val="es-PE"/>
        </w:rPr>
        <w:t xml:space="preserve"> El artículo 10 (Procedimiento) del Reglamento de la DEFASEG </w:t>
      </w:r>
      <w:r w:rsidRPr="008F6175">
        <w:rPr>
          <w:rFonts w:ascii="Times New Roman" w:hAnsi="Times New Roman" w:eastAsia="Arial Unicode MS" w:cs="Times New Roman"/>
          <w:sz w:val="24"/>
          <w:szCs w:val="24"/>
          <w:lang w:val="es-PE"/>
        </w:rPr>
        <w:t>(http://www.defaseg.com.pe/reglamento)</w:t>
      </w:r>
      <w:r w:rsidRPr="008F6175">
        <w:rPr>
          <w:rFonts w:ascii="Times New Roman" w:hAnsi="Times New Roman" w:cs="Times New Roman"/>
          <w:sz w:val="24"/>
          <w:szCs w:val="24"/>
          <w:lang w:val="es-PE"/>
        </w:rPr>
        <w:t xml:space="preserve"> establece que cualquiera de las partes que no se encuentre de acuerdo con la decisión adoptada por el Órgano Resolutivo Unipersonal sobre la materia reclamada, podrá impugnarla, interponiendo el correspondiente recurso de impugnación.  </w:t>
      </w:r>
    </w:p>
    <w:p w:rsidRPr="008F6175" w:rsidR="008F6175" w:rsidP="008F6175" w:rsidRDefault="008F6175" w14:paraId="3666058B" w14:textId="77777777">
      <w:pPr>
        <w:jc w:val="both"/>
        <w:rPr>
          <w:rFonts w:ascii="Times New Roman" w:hAnsi="Times New Roman" w:cs="Times New Roman"/>
          <w:sz w:val="24"/>
          <w:szCs w:val="24"/>
          <w:lang w:val="es-PE"/>
        </w:rPr>
      </w:pPr>
      <w:r w:rsidRPr="008F6175">
        <w:rPr>
          <w:rFonts w:ascii="Times New Roman" w:hAnsi="Times New Roman" w:cs="Times New Roman"/>
          <w:sz w:val="24"/>
          <w:szCs w:val="24"/>
          <w:lang w:val="es-PE"/>
        </w:rPr>
        <w:t>Conforme a ello, en el caso concreto, al interponer el recurso de impugnación la aseguradora ha ejercido formalmente su derecho a contradecir lo resuelto por la Defensoría.</w:t>
      </w:r>
    </w:p>
    <w:p w:rsidR="003D64A9" w:rsidP="003D64A9" w:rsidRDefault="008F6175" w14:paraId="7CA41E64" w14:textId="77777777">
      <w:pPr>
        <w:jc w:val="both"/>
        <w:rPr>
          <w:rFonts w:ascii="Times New Roman" w:hAnsi="Times New Roman" w:cs="Times New Roman"/>
          <w:sz w:val="24"/>
          <w:szCs w:val="24"/>
          <w:lang w:val="es-PE"/>
        </w:rPr>
      </w:pPr>
      <w:r w:rsidRPr="008F6175">
        <w:rPr>
          <w:rFonts w:ascii="Times New Roman" w:hAnsi="Times New Roman" w:cs="Times New Roman"/>
          <w:b/>
          <w:bCs/>
          <w:sz w:val="24"/>
          <w:szCs w:val="24"/>
          <w:u w:val="single"/>
          <w:lang w:val="es-PE"/>
        </w:rPr>
        <w:t>SEGUNDO</w:t>
      </w:r>
      <w:r w:rsidRPr="008F6175">
        <w:rPr>
          <w:rFonts w:ascii="Times New Roman" w:hAnsi="Times New Roman" w:cs="Times New Roman"/>
          <w:b/>
          <w:bCs/>
          <w:sz w:val="24"/>
          <w:szCs w:val="24"/>
          <w:lang w:val="es-PE"/>
        </w:rPr>
        <w:t>:</w:t>
      </w:r>
      <w:r w:rsidRPr="008F6175">
        <w:rPr>
          <w:rFonts w:ascii="Times New Roman" w:hAnsi="Times New Roman" w:cs="Times New Roman"/>
          <w:bCs/>
          <w:sz w:val="24"/>
          <w:szCs w:val="24"/>
          <w:lang w:val="es-PE"/>
        </w:rPr>
        <w:t xml:space="preserve"> Que el recurso de impugnación presentado por la aseguradora se sustenta en la presentación del condicionado general mediante el cual fundamenta el rechazo de cobertura, por cuanto para que se </w:t>
      </w:r>
      <w:r w:rsidRPr="008F6175">
        <w:rPr>
          <w:rFonts w:ascii="Times New Roman" w:hAnsi="Times New Roman" w:cs="Times New Roman"/>
          <w:sz w:val="24"/>
          <w:szCs w:val="24"/>
          <w:lang w:val="es-PE"/>
        </w:rPr>
        <w:t xml:space="preserve">materialice la cobertura </w:t>
      </w:r>
      <w:proofErr w:type="spellStart"/>
      <w:r w:rsidRPr="008F6175">
        <w:rPr>
          <w:rFonts w:ascii="Times New Roman" w:hAnsi="Times New Roman" w:cs="Times New Roman"/>
          <w:sz w:val="24"/>
          <w:szCs w:val="24"/>
          <w:lang w:val="es-PE"/>
        </w:rPr>
        <w:t>Nº</w:t>
      </w:r>
      <w:proofErr w:type="spellEnd"/>
      <w:r w:rsidRPr="008F6175">
        <w:rPr>
          <w:rFonts w:ascii="Times New Roman" w:hAnsi="Times New Roman" w:cs="Times New Roman"/>
          <w:sz w:val="24"/>
          <w:szCs w:val="24"/>
          <w:lang w:val="es-PE"/>
        </w:rPr>
        <w:t xml:space="preserve"> 4, esto es, para que exista un uso indebido de la tarjeta debe existir un previo robo o hurto de la tarjeta física, lo que en este caso no ocurrió.</w:t>
      </w:r>
    </w:p>
    <w:p w:rsidRPr="003D64A9" w:rsidR="008F6175" w:rsidP="003D64A9" w:rsidRDefault="008F6175" w14:paraId="26A55EC2" w14:textId="3A196E2A">
      <w:pPr>
        <w:jc w:val="both"/>
        <w:rPr>
          <w:rFonts w:ascii="Times New Roman" w:hAnsi="Times New Roman" w:cs="Times New Roman"/>
          <w:sz w:val="24"/>
          <w:szCs w:val="24"/>
          <w:lang w:val="es-ES"/>
        </w:rPr>
      </w:pPr>
      <w:r w:rsidRPr="003D64A9">
        <w:rPr>
          <w:rFonts w:ascii="Times New Roman" w:hAnsi="Times New Roman" w:cs="Times New Roman"/>
          <w:sz w:val="24"/>
          <w:szCs w:val="24"/>
          <w:lang w:val="es-PE"/>
        </w:rPr>
        <w:t xml:space="preserve">Sobre el particular, este Colegiado advierte que, la Resolución Nro. 002/22, expedida por el Órgano Resolutivo Unipersonal de esta Defensoría del Asegurado (DEFASEG), se fundamenta en que la definición de la cobertura </w:t>
      </w:r>
      <w:proofErr w:type="spellStart"/>
      <w:r w:rsidRPr="003D64A9">
        <w:rPr>
          <w:rFonts w:ascii="Times New Roman" w:hAnsi="Times New Roman" w:cs="Times New Roman"/>
          <w:sz w:val="24"/>
          <w:szCs w:val="24"/>
          <w:lang w:val="es-PE"/>
        </w:rPr>
        <w:t>N°</w:t>
      </w:r>
      <w:proofErr w:type="spellEnd"/>
      <w:r w:rsidRPr="003D64A9">
        <w:rPr>
          <w:rFonts w:ascii="Times New Roman" w:hAnsi="Times New Roman" w:cs="Times New Roman"/>
          <w:sz w:val="24"/>
          <w:szCs w:val="24"/>
          <w:lang w:val="es-PE"/>
        </w:rPr>
        <w:t xml:space="preserve"> 4 de compra fraudulenta vía internet mediante el uso indebido de la tarjeta, no limita el riesgo a determinadas modalidades delictivas que facilitan el uso indebido de la tarjeta, sólo condiciona que la compra haya sido sin autorización y conocimiento del asegurado. </w:t>
      </w:r>
    </w:p>
    <w:p w:rsidRPr="008F6175" w:rsidR="008F6175" w:rsidP="008F6175" w:rsidRDefault="008F6175" w14:paraId="428A1FBF" w14:textId="77777777">
      <w:pPr>
        <w:pStyle w:val="Default"/>
        <w:jc w:val="both"/>
        <w:rPr>
          <w:rFonts w:ascii="Times New Roman" w:hAnsi="Times New Roman" w:cs="Times New Roman"/>
        </w:rPr>
      </w:pPr>
      <w:r w:rsidRPr="008F6175">
        <w:rPr>
          <w:rFonts w:ascii="Times New Roman" w:hAnsi="Times New Roman" w:cs="Times New Roman"/>
        </w:rPr>
        <w:t>A este efecto, el Órgano Resolutorio Unipersonal verificó de las pruebas que obraban en autos, que en el certificado de seguro la descripción de la cobertura de compra fraudulenta no limitaba el supuesto de uso indebido a los casos de previo robo o hurto de la tarjeta como sostiene la aseguradora.</w:t>
      </w:r>
    </w:p>
    <w:p w:rsidR="003D64A9" w:rsidP="008F6175" w:rsidRDefault="003D64A9" w14:paraId="62ADB338" w14:textId="77777777">
      <w:pPr>
        <w:pStyle w:val="Default"/>
        <w:jc w:val="both"/>
        <w:rPr>
          <w:rFonts w:ascii="Times New Roman" w:hAnsi="Times New Roman" w:cs="Times New Roman"/>
        </w:rPr>
      </w:pPr>
    </w:p>
    <w:p w:rsidRPr="008F6175" w:rsidR="008F6175" w:rsidP="008F6175" w:rsidRDefault="008F6175" w14:paraId="76B74E2A" w14:textId="17E75F64">
      <w:pPr>
        <w:pStyle w:val="Default"/>
        <w:jc w:val="both"/>
        <w:rPr>
          <w:rFonts w:ascii="Times New Roman" w:hAnsi="Times New Roman" w:cs="Times New Roman"/>
        </w:rPr>
      </w:pPr>
      <w:r w:rsidRPr="4A366AB3" w:rsidR="008F6175">
        <w:rPr>
          <w:rFonts w:ascii="Times New Roman" w:hAnsi="Times New Roman" w:cs="Times New Roman"/>
        </w:rPr>
        <w:t xml:space="preserve">La aseguradora no ha aportado la póliza de seguros completa, por cuanto </w:t>
      </w:r>
      <w:r w:rsidRPr="4A366AB3" w:rsidR="4A562B2A">
        <w:rPr>
          <w:rFonts w:ascii="Times New Roman" w:hAnsi="Times New Roman" w:cs="Times New Roman"/>
        </w:rPr>
        <w:t>.................</w:t>
      </w:r>
      <w:r w:rsidRPr="4A366AB3" w:rsidR="008F6175">
        <w:rPr>
          <w:rFonts w:ascii="Times New Roman" w:hAnsi="Times New Roman" w:cs="Times New Roman"/>
        </w:rPr>
        <w:t xml:space="preserve"> no ha presentado el condicionado particular.</w:t>
      </w:r>
    </w:p>
    <w:p w:rsidRPr="008F6175" w:rsidR="008F6175" w:rsidP="008F6175" w:rsidRDefault="008F6175" w14:paraId="713EA4FB" w14:textId="77777777">
      <w:pPr>
        <w:pStyle w:val="Default"/>
        <w:jc w:val="both"/>
        <w:rPr>
          <w:rFonts w:ascii="Times New Roman" w:hAnsi="Times New Roman" w:cs="Times New Roman"/>
        </w:rPr>
      </w:pPr>
    </w:p>
    <w:p w:rsidRPr="008F6175" w:rsidR="008F6175" w:rsidP="008F6175" w:rsidRDefault="008F6175" w14:paraId="0B4C179D" w14:textId="77777777">
      <w:pPr>
        <w:pStyle w:val="Default"/>
        <w:jc w:val="both"/>
        <w:rPr>
          <w:rFonts w:ascii="Times New Roman" w:hAnsi="Times New Roman" w:cs="Times New Roman"/>
        </w:rPr>
      </w:pPr>
      <w:r w:rsidRPr="008F6175">
        <w:rPr>
          <w:rFonts w:ascii="Times New Roman" w:hAnsi="Times New Roman" w:cs="Times New Roman"/>
        </w:rPr>
        <w:t xml:space="preserve">En esa medida la información que obra en autos es insuficiente para generar convicción sobre la posición de la aseguradora en el presente caso. En efecto, podrían darse modificaciones a las condiciones contractuales a través del condicionado particular o de endosos, las que corresponderían evaluarlas para verificar si la interpretación que postula la impugnante es conforme a la Póliza completa. </w:t>
      </w:r>
    </w:p>
    <w:p w:rsidRPr="008F6175" w:rsidR="008F6175" w:rsidP="008F6175" w:rsidRDefault="008F6175" w14:paraId="0132A134" w14:textId="77777777">
      <w:pPr>
        <w:pStyle w:val="Default"/>
        <w:jc w:val="both"/>
        <w:rPr>
          <w:rFonts w:ascii="Times New Roman" w:hAnsi="Times New Roman" w:cs="Times New Roman"/>
        </w:rPr>
      </w:pPr>
    </w:p>
    <w:p w:rsidRPr="008F6175" w:rsidR="008F6175" w:rsidP="008F6175" w:rsidRDefault="008F6175" w14:paraId="0E5F0017" w14:textId="77777777">
      <w:pPr>
        <w:jc w:val="both"/>
        <w:rPr>
          <w:rFonts w:ascii="Times New Roman" w:hAnsi="Times New Roman" w:cs="Times New Roman"/>
          <w:sz w:val="24"/>
          <w:szCs w:val="24"/>
          <w:lang w:val="es-PE"/>
        </w:rPr>
      </w:pPr>
      <w:r w:rsidRPr="008F6175">
        <w:rPr>
          <w:rFonts w:ascii="Times New Roman" w:hAnsi="Times New Roman" w:cs="Times New Roman"/>
          <w:b/>
          <w:sz w:val="24"/>
          <w:szCs w:val="24"/>
          <w:u w:val="single"/>
          <w:lang w:val="es-PE"/>
        </w:rPr>
        <w:t>TERCERO</w:t>
      </w:r>
      <w:r w:rsidRPr="008F6175">
        <w:rPr>
          <w:rFonts w:ascii="Times New Roman" w:hAnsi="Times New Roman" w:cs="Times New Roman"/>
          <w:b/>
          <w:sz w:val="24"/>
          <w:szCs w:val="24"/>
          <w:lang w:val="es-PE"/>
        </w:rPr>
        <w:t>:</w:t>
      </w:r>
      <w:r w:rsidRPr="008F6175">
        <w:rPr>
          <w:rFonts w:ascii="Times New Roman" w:hAnsi="Times New Roman" w:cs="Times New Roman"/>
          <w:sz w:val="24"/>
          <w:szCs w:val="24"/>
          <w:lang w:val="es-PE"/>
        </w:rPr>
        <w:t xml:space="preserve">  Por lo expuesto, este Colegiado aprecia finalmente que no se ha aportado suficiente prueba que conlleve a conclusiones distintas a las establecidas en la resolución materia de impugnación, por lo que no existe mérito ni razón objetiva para revocarla.</w:t>
      </w:r>
    </w:p>
    <w:p w:rsidRPr="008F6175" w:rsidR="008F6175" w:rsidP="008F6175" w:rsidRDefault="008F6175" w14:paraId="42726A4B" w14:textId="77777777">
      <w:pPr>
        <w:jc w:val="both"/>
        <w:rPr>
          <w:rFonts w:ascii="Times New Roman" w:hAnsi="Times New Roman" w:cs="Times New Roman"/>
          <w:b/>
          <w:sz w:val="24"/>
          <w:szCs w:val="24"/>
          <w:lang w:val="es-PE"/>
        </w:rPr>
      </w:pPr>
      <w:r w:rsidRPr="008F6175">
        <w:rPr>
          <w:rFonts w:ascii="Times New Roman" w:hAnsi="Times New Roman" w:cs="Times New Roman"/>
          <w:b/>
          <w:sz w:val="24"/>
          <w:szCs w:val="24"/>
          <w:lang w:val="es-PE"/>
        </w:rPr>
        <w:t>ATENDIENDO A LO EXPRESADO, CONFORME A SU REGLAMENTO, ESTE COLEGIADO RESUELVE:</w:t>
      </w:r>
    </w:p>
    <w:p w:rsidRPr="008F6175" w:rsidR="008F6175" w:rsidP="4A366AB3" w:rsidRDefault="008F6175" w14:paraId="3E9146D7" w14:textId="64F39BE2">
      <w:pPr>
        <w:pStyle w:val="Default"/>
        <w:jc w:val="both"/>
        <w:rPr>
          <w:rFonts w:ascii="Times New Roman" w:hAnsi="Times New Roman" w:cs="Times New Roman"/>
          <w:b w:val="1"/>
          <w:bCs w:val="1"/>
        </w:rPr>
      </w:pPr>
      <w:r w:rsidRPr="4A366AB3" w:rsidR="008F6175">
        <w:rPr>
          <w:rFonts w:ascii="Times New Roman" w:hAnsi="Times New Roman" w:cs="Times New Roman"/>
          <w:b w:val="1"/>
          <w:bCs w:val="1"/>
        </w:rPr>
        <w:t xml:space="preserve">DECLARAR INFUNDADO el recurso de impugnación interpuesto por </w:t>
      </w:r>
      <w:r w:rsidRPr="4A366AB3" w:rsidR="74FB7BFA">
        <w:rPr>
          <w:rFonts w:ascii="Times New Roman" w:hAnsi="Times New Roman" w:cs="Times New Roman"/>
          <w:b w:val="1"/>
          <w:bCs w:val="1"/>
        </w:rPr>
        <w:t>....................................................</w:t>
      </w:r>
      <w:r w:rsidRPr="4A366AB3" w:rsidR="008F6175">
        <w:rPr>
          <w:rFonts w:ascii="Times New Roman" w:hAnsi="Times New Roman" w:cs="Times New Roman"/>
          <w:b w:val="1"/>
          <w:bCs w:val="1"/>
        </w:rPr>
        <w:t xml:space="preserve"> y, por consiguiente, CONFIRMAR la Resolución </w:t>
      </w:r>
      <w:r w:rsidRPr="4A366AB3" w:rsidR="008F6175">
        <w:rPr>
          <w:rFonts w:ascii="Times New Roman" w:hAnsi="Times New Roman" w:cs="Times New Roman"/>
          <w:b w:val="1"/>
          <w:bCs w:val="1"/>
        </w:rPr>
        <w:t>N°</w:t>
      </w:r>
      <w:r w:rsidRPr="4A366AB3" w:rsidR="008F6175">
        <w:rPr>
          <w:rFonts w:ascii="Times New Roman" w:hAnsi="Times New Roman" w:cs="Times New Roman"/>
          <w:b w:val="1"/>
          <w:bCs w:val="1"/>
        </w:rPr>
        <w:t xml:space="preserve"> 002/22</w:t>
      </w:r>
      <w:r w:rsidRPr="4A366AB3" w:rsidR="008F6175">
        <w:rPr>
          <w:rFonts w:ascii="Times New Roman" w:hAnsi="Times New Roman" w:cs="Times New Roman"/>
          <w:b w:val="1"/>
          <w:bCs w:val="1"/>
          <w:lang w:val="es-MX"/>
        </w:rPr>
        <w:t>.</w:t>
      </w:r>
    </w:p>
    <w:p w:rsidRPr="008F6175" w:rsidR="008F6175" w:rsidP="008F6175" w:rsidRDefault="008F6175" w14:paraId="66577634" w14:textId="77777777">
      <w:pPr>
        <w:jc w:val="both"/>
        <w:rPr>
          <w:rFonts w:ascii="Times New Roman" w:hAnsi="Times New Roman" w:cs="Times New Roman"/>
          <w:b/>
          <w:sz w:val="24"/>
          <w:szCs w:val="24"/>
          <w:lang w:val="es-PE"/>
        </w:rPr>
      </w:pPr>
    </w:p>
    <w:p w:rsidRPr="008F6175" w:rsidR="0000335D" w:rsidP="0000335D" w:rsidRDefault="0000335D" w14:paraId="066E0C16" w14:textId="77777777">
      <w:pPr>
        <w:spacing w:after="0" w:line="240" w:lineRule="auto"/>
        <w:jc w:val="both"/>
        <w:rPr>
          <w:rFonts w:ascii="Times New Roman" w:hAnsi="Times New Roman" w:eastAsia="Times New Roman" w:cs="Times New Roman"/>
          <w:sz w:val="24"/>
          <w:szCs w:val="24"/>
          <w:lang w:val="es-PE" w:eastAsia="ar-SA"/>
        </w:rPr>
      </w:pPr>
    </w:p>
    <w:p w:rsidRPr="008F6175" w:rsidR="00077B6F" w:rsidP="00C671F5" w:rsidRDefault="0091528B" w14:paraId="78A39B5B" w14:textId="19562EB6">
      <w:pPr>
        <w:suppressAutoHyphens/>
        <w:spacing w:after="0" w:line="240" w:lineRule="auto"/>
        <w:jc w:val="right"/>
        <w:outlineLvl w:val="0"/>
        <w:rPr>
          <w:rFonts w:ascii="Times New Roman" w:hAnsi="Times New Roman" w:eastAsia="Arial Unicode MS" w:cs="Times New Roman"/>
          <w:sz w:val="24"/>
          <w:szCs w:val="24"/>
          <w:lang w:val="es-PE" w:eastAsia="ar-SA"/>
        </w:rPr>
      </w:pPr>
      <w:r w:rsidRPr="008F6175">
        <w:rPr>
          <w:rFonts w:ascii="Times New Roman" w:hAnsi="Times New Roman" w:eastAsia="Arial Unicode MS" w:cs="Times New Roman"/>
          <w:sz w:val="24"/>
          <w:szCs w:val="24"/>
          <w:lang w:val="es-PE" w:eastAsia="ar-SA"/>
        </w:rPr>
        <w:t xml:space="preserve">Lima, </w:t>
      </w:r>
      <w:r w:rsidRPr="008F6175" w:rsidR="00BF1E0E">
        <w:rPr>
          <w:rFonts w:ascii="Times New Roman" w:hAnsi="Times New Roman" w:eastAsia="Arial Unicode MS" w:cs="Times New Roman"/>
          <w:sz w:val="24"/>
          <w:szCs w:val="24"/>
          <w:lang w:val="es-PE" w:eastAsia="ar-SA"/>
        </w:rPr>
        <w:t>07</w:t>
      </w:r>
      <w:r w:rsidRPr="008F6175" w:rsidR="00707C99">
        <w:rPr>
          <w:rFonts w:ascii="Times New Roman" w:hAnsi="Times New Roman" w:eastAsia="Arial Unicode MS" w:cs="Times New Roman"/>
          <w:sz w:val="24"/>
          <w:szCs w:val="24"/>
          <w:lang w:val="es-PE" w:eastAsia="ar-SA"/>
        </w:rPr>
        <w:t xml:space="preserve"> de </w:t>
      </w:r>
      <w:r w:rsidRPr="008F6175" w:rsidR="00BF1E0E">
        <w:rPr>
          <w:rFonts w:ascii="Times New Roman" w:hAnsi="Times New Roman" w:eastAsia="Arial Unicode MS" w:cs="Times New Roman"/>
          <w:sz w:val="24"/>
          <w:szCs w:val="24"/>
          <w:lang w:val="es-PE" w:eastAsia="ar-SA"/>
        </w:rPr>
        <w:t>marzo</w:t>
      </w:r>
      <w:r w:rsidRPr="008F6175" w:rsidR="00F06498">
        <w:rPr>
          <w:rFonts w:ascii="Times New Roman" w:hAnsi="Times New Roman" w:eastAsia="Arial Unicode MS" w:cs="Times New Roman"/>
          <w:sz w:val="24"/>
          <w:szCs w:val="24"/>
          <w:lang w:val="es-PE" w:eastAsia="ar-SA"/>
        </w:rPr>
        <w:t xml:space="preserve"> de 202</w:t>
      </w:r>
      <w:r w:rsidRPr="008F6175" w:rsidR="00B93C7A">
        <w:rPr>
          <w:rFonts w:ascii="Times New Roman" w:hAnsi="Times New Roman" w:eastAsia="Arial Unicode MS" w:cs="Times New Roman"/>
          <w:sz w:val="24"/>
          <w:szCs w:val="24"/>
          <w:lang w:val="es-PE" w:eastAsia="ar-SA"/>
        </w:rPr>
        <w:t>2</w:t>
      </w:r>
      <w:r w:rsidRPr="008F6175" w:rsidR="00707C99">
        <w:rPr>
          <w:rFonts w:ascii="Times New Roman" w:hAnsi="Times New Roman" w:eastAsia="Times New Roman" w:cs="Times New Roman"/>
          <w:sz w:val="24"/>
          <w:szCs w:val="24"/>
          <w:lang w:val="es-PE" w:eastAsia="ar-SA"/>
        </w:rPr>
        <w:t xml:space="preserve"> </w:t>
      </w:r>
    </w:p>
    <w:p w:rsidRPr="008F6175" w:rsidR="00C671F5" w:rsidP="00C671F5" w:rsidRDefault="00C671F5" w14:paraId="486C3F46" w14:textId="3443E457">
      <w:pPr>
        <w:suppressAutoHyphens/>
        <w:spacing w:after="0" w:line="240" w:lineRule="auto"/>
        <w:outlineLvl w:val="0"/>
        <w:rPr>
          <w:rFonts w:ascii="Times New Roman" w:hAnsi="Times New Roman" w:eastAsia="Arial Unicode MS" w:cs="Times New Roman"/>
          <w:sz w:val="24"/>
          <w:szCs w:val="24"/>
          <w:lang w:val="es-PE" w:eastAsia="ar-SA"/>
        </w:rPr>
      </w:pPr>
    </w:p>
    <w:p w:rsidRPr="008F6175" w:rsidR="00231C58" w:rsidP="00C671F5"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8F6175" w:rsidR="00C671F5" w:rsidP="00C671F5" w:rsidRDefault="00C671F5" w14:paraId="7BC448E0" w14:textId="77777777">
      <w:pPr>
        <w:spacing w:after="0" w:line="240" w:lineRule="auto"/>
        <w:jc w:val="both"/>
        <w:rPr>
          <w:rFonts w:ascii="Times New Roman" w:hAnsi="Times New Roman" w:cs="Times New Roman"/>
          <w:b/>
          <w:bCs/>
          <w:i/>
          <w:iCs/>
          <w:sz w:val="24"/>
          <w:szCs w:val="24"/>
          <w:lang w:val="es-PE"/>
        </w:rPr>
      </w:pPr>
      <w:r w:rsidRPr="008F6175">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8F6175" w:rsidR="00C671F5" w:rsidP="00C671F5" w:rsidRDefault="00C671F5" w14:paraId="3408E6CE" w14:textId="77777777">
      <w:pPr>
        <w:spacing w:after="0" w:line="360" w:lineRule="auto"/>
        <w:jc w:val="both"/>
        <w:rPr>
          <w:rFonts w:ascii="Times New Roman" w:hAnsi="Times New Roman" w:cs="Times New Roman"/>
          <w:b/>
          <w:bCs/>
          <w:i/>
          <w:iCs/>
          <w:sz w:val="24"/>
          <w:szCs w:val="24"/>
          <w:lang w:val="es-PE"/>
        </w:rPr>
      </w:pPr>
    </w:p>
    <w:p w:rsidRPr="008F6175" w:rsidR="001233F2" w:rsidP="003B3512" w:rsidRDefault="001233F2" w14:paraId="6DC8A5AA" w14:textId="1A3A33FB">
      <w:pPr>
        <w:spacing w:after="0" w:line="360" w:lineRule="auto"/>
        <w:jc w:val="center"/>
        <w:rPr>
          <w:rFonts w:ascii="Times New Roman" w:hAnsi="Times New Roman" w:cs="Times New Roman"/>
          <w:b/>
          <w:bCs/>
          <w:sz w:val="24"/>
          <w:szCs w:val="24"/>
          <w:lang w:val="es-PE"/>
        </w:rPr>
      </w:pPr>
      <w:r w:rsidRPr="008F6175">
        <w:rPr>
          <w:rFonts w:ascii="Times New Roman" w:hAnsi="Times New Roman" w:cs="Times New Roman"/>
          <w:b/>
          <w:bCs/>
          <w:sz w:val="24"/>
          <w:szCs w:val="24"/>
          <w:lang w:val="es-PE"/>
        </w:rPr>
        <w:t>María Eugenia Valdez Fernández Baca – Presidente</w:t>
      </w:r>
    </w:p>
    <w:p w:rsidRPr="008F6175" w:rsidR="001233F2" w:rsidP="001233F2" w:rsidRDefault="001233F2" w14:paraId="458869C3" w14:textId="77777777">
      <w:pPr>
        <w:spacing w:after="0" w:line="360" w:lineRule="auto"/>
        <w:jc w:val="center"/>
        <w:rPr>
          <w:rFonts w:ascii="Times New Roman" w:hAnsi="Times New Roman" w:cs="Times New Roman"/>
          <w:b/>
          <w:bCs/>
          <w:sz w:val="24"/>
          <w:szCs w:val="24"/>
          <w:lang w:val="es-PE"/>
        </w:rPr>
      </w:pPr>
      <w:r w:rsidRPr="008F6175">
        <w:rPr>
          <w:rFonts w:ascii="Times New Roman" w:hAnsi="Times New Roman" w:cs="Times New Roman"/>
          <w:b/>
          <w:bCs/>
          <w:sz w:val="24"/>
          <w:szCs w:val="24"/>
          <w:lang w:val="es-PE"/>
        </w:rPr>
        <w:t>Marco Antonio Ortega Piana – Vocal</w:t>
      </w:r>
    </w:p>
    <w:p w:rsidRPr="008F6175" w:rsidR="001233F2" w:rsidP="001233F2" w:rsidRDefault="001233F2" w14:paraId="1D4E3330" w14:textId="77777777">
      <w:pPr>
        <w:spacing w:after="0" w:line="360" w:lineRule="auto"/>
        <w:jc w:val="center"/>
        <w:rPr>
          <w:rFonts w:ascii="Times New Roman" w:hAnsi="Times New Roman" w:cs="Times New Roman"/>
          <w:sz w:val="24"/>
          <w:szCs w:val="24"/>
          <w:lang w:val="es-PE"/>
        </w:rPr>
      </w:pPr>
      <w:r w:rsidRPr="008F6175">
        <w:rPr>
          <w:rFonts w:ascii="Times New Roman" w:hAnsi="Times New Roman" w:cs="Times New Roman"/>
          <w:b/>
          <w:bCs/>
          <w:sz w:val="24"/>
          <w:szCs w:val="24"/>
          <w:lang w:val="es-PE"/>
        </w:rPr>
        <w:t>Gonzalo Abad del Busto – Vocal</w:t>
      </w:r>
    </w:p>
    <w:p w:rsidRPr="008F6175"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8F6175"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8F6175"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C27C8" w:rsidP="00784355" w:rsidRDefault="003C27C8" w14:paraId="66DA9E1D" w14:textId="77777777">
      <w:pPr>
        <w:spacing w:after="0" w:line="240" w:lineRule="auto"/>
      </w:pPr>
      <w:r>
        <w:separator/>
      </w:r>
    </w:p>
  </w:endnote>
  <w:endnote w:type="continuationSeparator" w:id="0">
    <w:p w:rsidR="003C27C8" w:rsidP="00784355" w:rsidRDefault="003C27C8" w14:paraId="0CDAF57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
    </w:sdtContent>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C27C8" w:rsidP="00784355" w:rsidRDefault="003C27C8" w14:paraId="4DC932AE" w14:textId="77777777">
      <w:pPr>
        <w:spacing w:after="0" w:line="240" w:lineRule="auto"/>
      </w:pPr>
      <w:r>
        <w:separator/>
      </w:r>
    </w:p>
  </w:footnote>
  <w:footnote w:type="continuationSeparator" w:id="0">
    <w:p w:rsidR="003C27C8" w:rsidP="00784355" w:rsidRDefault="003C27C8" w14:paraId="28E46F2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2"/>
  </w:num>
  <w:num w:numId="5">
    <w:abstractNumId w:val="4"/>
  </w:num>
  <w:num w:numId="6">
    <w:abstractNumId w:val="0"/>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B96"/>
    <w:rsid w:val="00010987"/>
    <w:rsid w:val="00013057"/>
    <w:rsid w:val="000159CC"/>
    <w:rsid w:val="00015C22"/>
    <w:rsid w:val="000167E0"/>
    <w:rsid w:val="000235E9"/>
    <w:rsid w:val="0002637D"/>
    <w:rsid w:val="0002733C"/>
    <w:rsid w:val="00027978"/>
    <w:rsid w:val="0004480C"/>
    <w:rsid w:val="00053D16"/>
    <w:rsid w:val="00056D9F"/>
    <w:rsid w:val="00063183"/>
    <w:rsid w:val="0006548C"/>
    <w:rsid w:val="0006754B"/>
    <w:rsid w:val="00070DB6"/>
    <w:rsid w:val="00071A25"/>
    <w:rsid w:val="00076E73"/>
    <w:rsid w:val="00077B6F"/>
    <w:rsid w:val="00080A9A"/>
    <w:rsid w:val="000835CB"/>
    <w:rsid w:val="00083D69"/>
    <w:rsid w:val="00083F50"/>
    <w:rsid w:val="00084148"/>
    <w:rsid w:val="00092684"/>
    <w:rsid w:val="000A5666"/>
    <w:rsid w:val="000A5CAA"/>
    <w:rsid w:val="000B19A0"/>
    <w:rsid w:val="000B58D8"/>
    <w:rsid w:val="000C0734"/>
    <w:rsid w:val="000F6340"/>
    <w:rsid w:val="0011308C"/>
    <w:rsid w:val="001233F2"/>
    <w:rsid w:val="00125B9B"/>
    <w:rsid w:val="001320DF"/>
    <w:rsid w:val="00136E12"/>
    <w:rsid w:val="001373AF"/>
    <w:rsid w:val="001377EF"/>
    <w:rsid w:val="00150874"/>
    <w:rsid w:val="001508BC"/>
    <w:rsid w:val="001529FE"/>
    <w:rsid w:val="001703D8"/>
    <w:rsid w:val="00170E39"/>
    <w:rsid w:val="00174918"/>
    <w:rsid w:val="00174DA5"/>
    <w:rsid w:val="00181908"/>
    <w:rsid w:val="00181DCE"/>
    <w:rsid w:val="00187BFD"/>
    <w:rsid w:val="0019649B"/>
    <w:rsid w:val="001A008A"/>
    <w:rsid w:val="001A3395"/>
    <w:rsid w:val="001A44E1"/>
    <w:rsid w:val="001B1E59"/>
    <w:rsid w:val="001B58A3"/>
    <w:rsid w:val="001D0EED"/>
    <w:rsid w:val="001D59D9"/>
    <w:rsid w:val="001D6136"/>
    <w:rsid w:val="001E119C"/>
    <w:rsid w:val="001E4337"/>
    <w:rsid w:val="001F29A6"/>
    <w:rsid w:val="00201C0D"/>
    <w:rsid w:val="00204407"/>
    <w:rsid w:val="0020749F"/>
    <w:rsid w:val="002108AD"/>
    <w:rsid w:val="00211977"/>
    <w:rsid w:val="002130B0"/>
    <w:rsid w:val="0021627D"/>
    <w:rsid w:val="00225288"/>
    <w:rsid w:val="00227D02"/>
    <w:rsid w:val="00231C58"/>
    <w:rsid w:val="002331C3"/>
    <w:rsid w:val="00241719"/>
    <w:rsid w:val="00243F6B"/>
    <w:rsid w:val="00266105"/>
    <w:rsid w:val="0027261F"/>
    <w:rsid w:val="00272F4F"/>
    <w:rsid w:val="0027301E"/>
    <w:rsid w:val="00274985"/>
    <w:rsid w:val="002768C6"/>
    <w:rsid w:val="00276A92"/>
    <w:rsid w:val="00277667"/>
    <w:rsid w:val="00290CA4"/>
    <w:rsid w:val="002A31D3"/>
    <w:rsid w:val="002A7E2E"/>
    <w:rsid w:val="002B726E"/>
    <w:rsid w:val="002C2A0F"/>
    <w:rsid w:val="002D0DB0"/>
    <w:rsid w:val="002D3B01"/>
    <w:rsid w:val="002E1221"/>
    <w:rsid w:val="002E17F9"/>
    <w:rsid w:val="002F09CA"/>
    <w:rsid w:val="002F35F0"/>
    <w:rsid w:val="003045E3"/>
    <w:rsid w:val="0032132E"/>
    <w:rsid w:val="00340E4B"/>
    <w:rsid w:val="00345DF0"/>
    <w:rsid w:val="00345F7F"/>
    <w:rsid w:val="00347D7E"/>
    <w:rsid w:val="00353092"/>
    <w:rsid w:val="003544B1"/>
    <w:rsid w:val="00357D70"/>
    <w:rsid w:val="00362449"/>
    <w:rsid w:val="00364E0F"/>
    <w:rsid w:val="00366842"/>
    <w:rsid w:val="00367746"/>
    <w:rsid w:val="0038290F"/>
    <w:rsid w:val="00391F72"/>
    <w:rsid w:val="00392259"/>
    <w:rsid w:val="003A3F8C"/>
    <w:rsid w:val="003B348C"/>
    <w:rsid w:val="003B3512"/>
    <w:rsid w:val="003B3A93"/>
    <w:rsid w:val="003B41F7"/>
    <w:rsid w:val="003B798E"/>
    <w:rsid w:val="003C27C8"/>
    <w:rsid w:val="003D09A9"/>
    <w:rsid w:val="003D4684"/>
    <w:rsid w:val="003D4687"/>
    <w:rsid w:val="003D64A9"/>
    <w:rsid w:val="003E0CC2"/>
    <w:rsid w:val="003E450C"/>
    <w:rsid w:val="003F0C97"/>
    <w:rsid w:val="003F1149"/>
    <w:rsid w:val="003F1B5F"/>
    <w:rsid w:val="004018F8"/>
    <w:rsid w:val="00403814"/>
    <w:rsid w:val="004049B9"/>
    <w:rsid w:val="00417E23"/>
    <w:rsid w:val="00425F75"/>
    <w:rsid w:val="00434D9C"/>
    <w:rsid w:val="00440BC2"/>
    <w:rsid w:val="00444232"/>
    <w:rsid w:val="00460C30"/>
    <w:rsid w:val="00465FB9"/>
    <w:rsid w:val="00466302"/>
    <w:rsid w:val="0047370C"/>
    <w:rsid w:val="0047522D"/>
    <w:rsid w:val="00476BA1"/>
    <w:rsid w:val="00490F9F"/>
    <w:rsid w:val="00496A1A"/>
    <w:rsid w:val="004A3E25"/>
    <w:rsid w:val="004B51ED"/>
    <w:rsid w:val="004C51EC"/>
    <w:rsid w:val="004C5A91"/>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7EE5"/>
    <w:rsid w:val="00566021"/>
    <w:rsid w:val="00567DEC"/>
    <w:rsid w:val="0057035B"/>
    <w:rsid w:val="005818E3"/>
    <w:rsid w:val="00582D26"/>
    <w:rsid w:val="0058358B"/>
    <w:rsid w:val="00583A87"/>
    <w:rsid w:val="00585D65"/>
    <w:rsid w:val="005948EF"/>
    <w:rsid w:val="00597430"/>
    <w:rsid w:val="005A0B70"/>
    <w:rsid w:val="005A782D"/>
    <w:rsid w:val="005B2924"/>
    <w:rsid w:val="005C524E"/>
    <w:rsid w:val="005C5AB9"/>
    <w:rsid w:val="005D3E68"/>
    <w:rsid w:val="005E0EC2"/>
    <w:rsid w:val="005E2CBE"/>
    <w:rsid w:val="005E4870"/>
    <w:rsid w:val="005F4C97"/>
    <w:rsid w:val="00605902"/>
    <w:rsid w:val="00606105"/>
    <w:rsid w:val="00613A39"/>
    <w:rsid w:val="00622ABC"/>
    <w:rsid w:val="00623204"/>
    <w:rsid w:val="00624034"/>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B5CAE"/>
    <w:rsid w:val="006C1A65"/>
    <w:rsid w:val="006C29A7"/>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4C9A"/>
    <w:rsid w:val="007261FD"/>
    <w:rsid w:val="007300C4"/>
    <w:rsid w:val="007434BA"/>
    <w:rsid w:val="00744447"/>
    <w:rsid w:val="00754DAC"/>
    <w:rsid w:val="007703E9"/>
    <w:rsid w:val="007708AB"/>
    <w:rsid w:val="00771625"/>
    <w:rsid w:val="0078123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21DED"/>
    <w:rsid w:val="00836831"/>
    <w:rsid w:val="00837DDE"/>
    <w:rsid w:val="008523F5"/>
    <w:rsid w:val="008548F9"/>
    <w:rsid w:val="0085575C"/>
    <w:rsid w:val="0085791F"/>
    <w:rsid w:val="00857988"/>
    <w:rsid w:val="0086244F"/>
    <w:rsid w:val="00871F40"/>
    <w:rsid w:val="00883121"/>
    <w:rsid w:val="0088392F"/>
    <w:rsid w:val="00884426"/>
    <w:rsid w:val="00886D60"/>
    <w:rsid w:val="00887814"/>
    <w:rsid w:val="008916FF"/>
    <w:rsid w:val="00891DB3"/>
    <w:rsid w:val="00895A85"/>
    <w:rsid w:val="008A1D12"/>
    <w:rsid w:val="008A3A47"/>
    <w:rsid w:val="008D6DDF"/>
    <w:rsid w:val="008F1161"/>
    <w:rsid w:val="008F479E"/>
    <w:rsid w:val="008F6175"/>
    <w:rsid w:val="008F7C83"/>
    <w:rsid w:val="009011F1"/>
    <w:rsid w:val="009127A6"/>
    <w:rsid w:val="0091528B"/>
    <w:rsid w:val="009157B1"/>
    <w:rsid w:val="00917CAF"/>
    <w:rsid w:val="009225DD"/>
    <w:rsid w:val="009272D7"/>
    <w:rsid w:val="00933532"/>
    <w:rsid w:val="00943343"/>
    <w:rsid w:val="00946694"/>
    <w:rsid w:val="00951B99"/>
    <w:rsid w:val="00955C03"/>
    <w:rsid w:val="00964237"/>
    <w:rsid w:val="00966813"/>
    <w:rsid w:val="00966AEB"/>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404"/>
    <w:rsid w:val="009D3B98"/>
    <w:rsid w:val="009D6055"/>
    <w:rsid w:val="009E5F11"/>
    <w:rsid w:val="009E7994"/>
    <w:rsid w:val="009F143B"/>
    <w:rsid w:val="009F2EEB"/>
    <w:rsid w:val="00A02270"/>
    <w:rsid w:val="00A0362B"/>
    <w:rsid w:val="00A077D2"/>
    <w:rsid w:val="00A16942"/>
    <w:rsid w:val="00A17A72"/>
    <w:rsid w:val="00A25F51"/>
    <w:rsid w:val="00A30393"/>
    <w:rsid w:val="00A32246"/>
    <w:rsid w:val="00A328C0"/>
    <w:rsid w:val="00A3714C"/>
    <w:rsid w:val="00A427D6"/>
    <w:rsid w:val="00A44E53"/>
    <w:rsid w:val="00A46E96"/>
    <w:rsid w:val="00A52030"/>
    <w:rsid w:val="00A57F06"/>
    <w:rsid w:val="00A62BEC"/>
    <w:rsid w:val="00A658C1"/>
    <w:rsid w:val="00A734AD"/>
    <w:rsid w:val="00A837A0"/>
    <w:rsid w:val="00A90926"/>
    <w:rsid w:val="00A97287"/>
    <w:rsid w:val="00AA2DED"/>
    <w:rsid w:val="00AB1C66"/>
    <w:rsid w:val="00AC5A9E"/>
    <w:rsid w:val="00AD1FEC"/>
    <w:rsid w:val="00AD2DF1"/>
    <w:rsid w:val="00AE4125"/>
    <w:rsid w:val="00AF5E87"/>
    <w:rsid w:val="00B00552"/>
    <w:rsid w:val="00B02BEE"/>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28FB"/>
    <w:rsid w:val="00B93C7A"/>
    <w:rsid w:val="00B956C4"/>
    <w:rsid w:val="00BA0192"/>
    <w:rsid w:val="00BB2152"/>
    <w:rsid w:val="00BB2BE0"/>
    <w:rsid w:val="00BB405B"/>
    <w:rsid w:val="00BC29D0"/>
    <w:rsid w:val="00BD797F"/>
    <w:rsid w:val="00BE1470"/>
    <w:rsid w:val="00BE7C72"/>
    <w:rsid w:val="00BF1421"/>
    <w:rsid w:val="00BF1E0E"/>
    <w:rsid w:val="00BF414E"/>
    <w:rsid w:val="00BF4646"/>
    <w:rsid w:val="00BF78BF"/>
    <w:rsid w:val="00C00BBF"/>
    <w:rsid w:val="00C02CC4"/>
    <w:rsid w:val="00C04AA4"/>
    <w:rsid w:val="00C05445"/>
    <w:rsid w:val="00C12CBD"/>
    <w:rsid w:val="00C134DB"/>
    <w:rsid w:val="00C25B78"/>
    <w:rsid w:val="00C32068"/>
    <w:rsid w:val="00C33FEF"/>
    <w:rsid w:val="00C4163B"/>
    <w:rsid w:val="00C41F24"/>
    <w:rsid w:val="00C47619"/>
    <w:rsid w:val="00C52848"/>
    <w:rsid w:val="00C61FF5"/>
    <w:rsid w:val="00C64AD6"/>
    <w:rsid w:val="00C671F5"/>
    <w:rsid w:val="00C67E5D"/>
    <w:rsid w:val="00C70DB9"/>
    <w:rsid w:val="00C72528"/>
    <w:rsid w:val="00C748FF"/>
    <w:rsid w:val="00C74DA7"/>
    <w:rsid w:val="00C767DA"/>
    <w:rsid w:val="00C805FB"/>
    <w:rsid w:val="00C83750"/>
    <w:rsid w:val="00C8675B"/>
    <w:rsid w:val="00C86CD7"/>
    <w:rsid w:val="00C9376B"/>
    <w:rsid w:val="00C9581A"/>
    <w:rsid w:val="00C960BE"/>
    <w:rsid w:val="00C9791B"/>
    <w:rsid w:val="00CA3682"/>
    <w:rsid w:val="00CB44BB"/>
    <w:rsid w:val="00CC4AEF"/>
    <w:rsid w:val="00CC6C0C"/>
    <w:rsid w:val="00CD1FB3"/>
    <w:rsid w:val="00CD4BE8"/>
    <w:rsid w:val="00CF55D6"/>
    <w:rsid w:val="00CF78D3"/>
    <w:rsid w:val="00D10B27"/>
    <w:rsid w:val="00D12CFF"/>
    <w:rsid w:val="00D156AF"/>
    <w:rsid w:val="00D16367"/>
    <w:rsid w:val="00D2092C"/>
    <w:rsid w:val="00D22DC3"/>
    <w:rsid w:val="00D25683"/>
    <w:rsid w:val="00D27042"/>
    <w:rsid w:val="00D4253A"/>
    <w:rsid w:val="00D50B42"/>
    <w:rsid w:val="00D57228"/>
    <w:rsid w:val="00D61C6D"/>
    <w:rsid w:val="00D64034"/>
    <w:rsid w:val="00D73109"/>
    <w:rsid w:val="00D76C43"/>
    <w:rsid w:val="00D810EC"/>
    <w:rsid w:val="00D835B6"/>
    <w:rsid w:val="00D84464"/>
    <w:rsid w:val="00D92C44"/>
    <w:rsid w:val="00DA0540"/>
    <w:rsid w:val="00DA2840"/>
    <w:rsid w:val="00DA4030"/>
    <w:rsid w:val="00DB15FD"/>
    <w:rsid w:val="00DB58EC"/>
    <w:rsid w:val="00DC399B"/>
    <w:rsid w:val="00DD5E2B"/>
    <w:rsid w:val="00DE24FD"/>
    <w:rsid w:val="00DF3781"/>
    <w:rsid w:val="00DF6E69"/>
    <w:rsid w:val="00E107CA"/>
    <w:rsid w:val="00E1216B"/>
    <w:rsid w:val="00E1477F"/>
    <w:rsid w:val="00E16C63"/>
    <w:rsid w:val="00E25348"/>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A4C4B"/>
    <w:rsid w:val="00EA77BE"/>
    <w:rsid w:val="00EC19C1"/>
    <w:rsid w:val="00EC7271"/>
    <w:rsid w:val="00ED09B6"/>
    <w:rsid w:val="00ED38AF"/>
    <w:rsid w:val="00ED60A1"/>
    <w:rsid w:val="00ED6123"/>
    <w:rsid w:val="00EE1C4A"/>
    <w:rsid w:val="00EE6D21"/>
    <w:rsid w:val="00F01B55"/>
    <w:rsid w:val="00F0237B"/>
    <w:rsid w:val="00F06498"/>
    <w:rsid w:val="00F11E0A"/>
    <w:rsid w:val="00F13013"/>
    <w:rsid w:val="00F14F22"/>
    <w:rsid w:val="00F16540"/>
    <w:rsid w:val="00F16CF9"/>
    <w:rsid w:val="00F20B09"/>
    <w:rsid w:val="00F3335E"/>
    <w:rsid w:val="00F349E0"/>
    <w:rsid w:val="00F439B5"/>
    <w:rsid w:val="00F52E75"/>
    <w:rsid w:val="00F54C75"/>
    <w:rsid w:val="00F57DED"/>
    <w:rsid w:val="00F63F49"/>
    <w:rsid w:val="00F65837"/>
    <w:rsid w:val="00F72D00"/>
    <w:rsid w:val="00F81150"/>
    <w:rsid w:val="00F833B7"/>
    <w:rsid w:val="00F83A22"/>
    <w:rsid w:val="00F84CF9"/>
    <w:rsid w:val="00F87C6C"/>
    <w:rsid w:val="00F87E38"/>
    <w:rsid w:val="00F97EA2"/>
    <w:rsid w:val="00FA155E"/>
    <w:rsid w:val="00FA2322"/>
    <w:rsid w:val="00FB4B0C"/>
    <w:rsid w:val="00FC0D10"/>
    <w:rsid w:val="00FC1934"/>
    <w:rsid w:val="00FE38F0"/>
    <w:rsid w:val="00FE43A9"/>
    <w:rsid w:val="00FF41F3"/>
    <w:rsid w:val="041DB14B"/>
    <w:rsid w:val="36175974"/>
    <w:rsid w:val="43A448DE"/>
    <w:rsid w:val="4A366AB3"/>
    <w:rsid w:val="4A562B2A"/>
    <w:rsid w:val="4DACF59F"/>
    <w:rsid w:val="5C7E8917"/>
    <w:rsid w:val="5CD03D8A"/>
    <w:rsid w:val="5F3C6D27"/>
    <w:rsid w:val="6BF3E148"/>
    <w:rsid w:val="74FB7B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490F9F"/>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1735084466">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E27972DF-661A-43C1-BF91-BEEE18219CA7}"/>
</file>

<file path=customXml/itemProps3.xml><?xml version="1.0" encoding="utf-8"?>
<ds:datastoreItem xmlns:ds="http://schemas.openxmlformats.org/officeDocument/2006/customXml" ds:itemID="{7A526837-D20B-43FC-9BAD-B3A851FE8BC1}"/>
</file>

<file path=customXml/itemProps4.xml><?xml version="1.0" encoding="utf-8"?>
<ds:datastoreItem xmlns:ds="http://schemas.openxmlformats.org/officeDocument/2006/customXml" ds:itemID="{EA3492B2-54C8-449A-BE3F-56ECAF745E0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38</cp:revision>
  <cp:lastPrinted>2022-03-07T16:35:00Z</cp:lastPrinted>
  <dcterms:created xsi:type="dcterms:W3CDTF">2020-12-18T20:17:00Z</dcterms:created>
  <dcterms:modified xsi:type="dcterms:W3CDTF">2025-11-25T21:00:41Z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