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D1D42" w:rsidR="00707C99" w:rsidP="00272F4F" w:rsidRDefault="00201C0D" w14:paraId="19FE0E96" w14:textId="4CDEEE0C">
      <w:pPr>
        <w:spacing w:after="0" w:line="240" w:lineRule="auto"/>
        <w:jc w:val="center"/>
        <w:rPr>
          <w:rFonts w:ascii="Times New Roman" w:hAnsi="Times New Roman" w:cs="Times New Roman"/>
          <w:b/>
          <w:sz w:val="24"/>
          <w:szCs w:val="24"/>
          <w:lang w:val="es-PE" w:eastAsia="ar-SA"/>
        </w:rPr>
      </w:pPr>
      <w:r w:rsidRPr="00AD1D42">
        <w:rPr>
          <w:rFonts w:ascii="Times New Roman" w:hAnsi="Times New Roman" w:cs="Times New Roman"/>
          <w:b/>
          <w:sz w:val="24"/>
          <w:szCs w:val="24"/>
          <w:lang w:val="es-PE" w:eastAsia="ar-SA"/>
        </w:rPr>
        <w:t xml:space="preserve">RESOLUCIÓN DE RECURSO IMPUGNATIVO </w:t>
      </w:r>
      <w:proofErr w:type="spellStart"/>
      <w:r w:rsidRPr="00AD1D42" w:rsidR="00707C99">
        <w:rPr>
          <w:rFonts w:ascii="Times New Roman" w:hAnsi="Times New Roman" w:cs="Times New Roman"/>
          <w:b/>
          <w:sz w:val="24"/>
          <w:szCs w:val="24"/>
          <w:lang w:val="es-PE" w:eastAsia="ar-SA"/>
        </w:rPr>
        <w:t>N°</w:t>
      </w:r>
      <w:proofErr w:type="spellEnd"/>
      <w:r w:rsidRPr="00AD1D42" w:rsidR="00707C99">
        <w:rPr>
          <w:rFonts w:ascii="Times New Roman" w:hAnsi="Times New Roman" w:cs="Times New Roman"/>
          <w:b/>
          <w:sz w:val="24"/>
          <w:szCs w:val="24"/>
          <w:lang w:val="es-PE" w:eastAsia="ar-SA"/>
        </w:rPr>
        <w:t xml:space="preserve"> </w:t>
      </w:r>
      <w:r w:rsidRPr="00AD1D42" w:rsidR="00C671F5">
        <w:rPr>
          <w:rFonts w:ascii="Times New Roman" w:hAnsi="Times New Roman" w:cs="Times New Roman"/>
          <w:b/>
          <w:sz w:val="24"/>
          <w:szCs w:val="24"/>
          <w:lang w:val="es-PE" w:eastAsia="ar-SA"/>
        </w:rPr>
        <w:t>0</w:t>
      </w:r>
      <w:r w:rsidRPr="00AD1D42" w:rsidR="0000335D">
        <w:rPr>
          <w:rFonts w:ascii="Times New Roman" w:hAnsi="Times New Roman" w:cs="Times New Roman"/>
          <w:b/>
          <w:sz w:val="24"/>
          <w:szCs w:val="24"/>
          <w:lang w:val="es-PE" w:eastAsia="ar-SA"/>
        </w:rPr>
        <w:t>1</w:t>
      </w:r>
      <w:r w:rsidRPr="00AD1D42" w:rsidR="001D575B">
        <w:rPr>
          <w:rFonts w:ascii="Times New Roman" w:hAnsi="Times New Roman" w:cs="Times New Roman"/>
          <w:b/>
          <w:sz w:val="24"/>
          <w:szCs w:val="24"/>
          <w:lang w:val="es-PE" w:eastAsia="ar-SA"/>
        </w:rPr>
        <w:t>3</w:t>
      </w:r>
      <w:r w:rsidRPr="00AD1D42" w:rsidR="00C671F5">
        <w:rPr>
          <w:rFonts w:ascii="Times New Roman" w:hAnsi="Times New Roman" w:cs="Times New Roman"/>
          <w:b/>
          <w:sz w:val="24"/>
          <w:szCs w:val="24"/>
          <w:lang w:val="es-PE" w:eastAsia="ar-SA"/>
        </w:rPr>
        <w:t>/2</w:t>
      </w:r>
      <w:r w:rsidRPr="00AD1D42" w:rsidR="00B93C7A">
        <w:rPr>
          <w:rFonts w:ascii="Times New Roman" w:hAnsi="Times New Roman" w:cs="Times New Roman"/>
          <w:b/>
          <w:sz w:val="24"/>
          <w:szCs w:val="24"/>
          <w:lang w:val="es-PE" w:eastAsia="ar-SA"/>
        </w:rPr>
        <w:t>2</w:t>
      </w:r>
    </w:p>
    <w:p w:rsidRPr="00AD1D42" w:rsidR="00CD1FB3" w:rsidP="00754DAC" w:rsidRDefault="00CD1FB3" w14:paraId="065C2231" w14:textId="77777777">
      <w:pPr>
        <w:spacing w:after="0" w:line="240" w:lineRule="auto"/>
        <w:jc w:val="both"/>
        <w:rPr>
          <w:rFonts w:ascii="Times New Roman" w:hAnsi="Times New Roman" w:cs="Times New Roman"/>
          <w:b/>
          <w:sz w:val="24"/>
          <w:szCs w:val="24"/>
          <w:lang w:val="es-PE"/>
        </w:rPr>
      </w:pPr>
    </w:p>
    <w:p w:rsidRPr="00AD1D42" w:rsidR="00AD1D42" w:rsidP="00AD1D42" w:rsidRDefault="00AD1D42" w14:paraId="182A7E1D" w14:textId="77777777">
      <w:pPr>
        <w:jc w:val="both"/>
        <w:outlineLvl w:val="0"/>
        <w:rPr>
          <w:rFonts w:ascii="Times New Roman" w:hAnsi="Times New Roman" w:cs="Times New Roman"/>
          <w:b/>
          <w:bCs/>
          <w:sz w:val="24"/>
          <w:szCs w:val="24"/>
          <w:lang w:val="es-MX"/>
        </w:rPr>
      </w:pPr>
      <w:r w:rsidRPr="00AD1D42">
        <w:rPr>
          <w:rFonts w:ascii="Times New Roman" w:hAnsi="Times New Roman" w:cs="Times New Roman"/>
          <w:b/>
          <w:bCs/>
          <w:sz w:val="24"/>
          <w:szCs w:val="24"/>
          <w:lang w:val="es-MX"/>
        </w:rPr>
        <w:t>VISTOS:</w:t>
      </w:r>
    </w:p>
    <w:p w:rsidRPr="00AD1D42" w:rsidR="00AD1D42" w:rsidP="00AD1D42" w:rsidRDefault="00AD1D42" w14:paraId="545238C6" w14:textId="592C2E07">
      <w:pPr>
        <w:pStyle w:val="Default"/>
        <w:jc w:val="both"/>
        <w:rPr>
          <w:rFonts w:ascii="Times New Roman" w:hAnsi="Times New Roman" w:cs="Times New Roman"/>
        </w:rPr>
      </w:pPr>
      <w:r w:rsidRPr="4E9C509C" w:rsidR="00AD1D42">
        <w:rPr>
          <w:rFonts w:ascii="Times New Roman" w:hAnsi="Times New Roman" w:cs="Times New Roman"/>
        </w:rPr>
        <w:t xml:space="preserve">El recurso de impugnación presentado por </w:t>
      </w:r>
      <w:r w:rsidRPr="4E9C509C" w:rsidR="09D6328E">
        <w:rPr>
          <w:rFonts w:ascii="Times New Roman" w:hAnsi="Times New Roman" w:cs="Times New Roman"/>
          <w:b w:val="1"/>
          <w:bCs w:val="1"/>
        </w:rPr>
        <w:t>.................................................</w:t>
      </w:r>
      <w:r w:rsidRPr="4E9C509C" w:rsidR="00AD1D42">
        <w:rPr>
          <w:rFonts w:ascii="Times New Roman" w:hAnsi="Times New Roman" w:cs="Times New Roman"/>
          <w:b w:val="1"/>
          <w:bCs w:val="1"/>
        </w:rPr>
        <w:t xml:space="preserve"> </w:t>
      </w:r>
      <w:r w:rsidRPr="4E9C509C" w:rsidR="00AD1D42">
        <w:rPr>
          <w:rFonts w:ascii="Times New Roman" w:hAnsi="Times New Roman" w:cs="Times New Roman"/>
        </w:rPr>
        <w:t xml:space="preserve">respecto de la Resolución Nro. 012/22, expedida por el Órgano Resolutivo Unipersonal de esta Defensoría del Asegurado (DEFASEG), conforme a la cual se declaró INFUNDADA la reclamación interpuesta contra </w:t>
      </w:r>
      <w:r w:rsidRPr="4E9C509C" w:rsidR="088F6E56">
        <w:rPr>
          <w:rFonts w:ascii="Times New Roman" w:hAnsi="Times New Roman" w:cs="Times New Roman"/>
          <w:b w:val="1"/>
          <w:bCs w:val="1"/>
        </w:rPr>
        <w:t>.........................................</w:t>
      </w:r>
      <w:r w:rsidRPr="4E9C509C" w:rsidR="00AD1D42">
        <w:rPr>
          <w:rFonts w:ascii="Times New Roman" w:hAnsi="Times New Roman" w:cs="Times New Roman"/>
          <w:b w:val="1"/>
          <w:bCs w:val="1"/>
        </w:rPr>
        <w:t xml:space="preserve"> </w:t>
      </w:r>
      <w:r w:rsidRPr="4E9C509C" w:rsidR="00AD1D42">
        <w:rPr>
          <w:rFonts w:ascii="Times New Roman" w:hAnsi="Times New Roman" w:cs="Times New Roman"/>
        </w:rPr>
        <w:t xml:space="preserve">respecto al </w:t>
      </w:r>
      <w:r w:rsidRPr="4E9C509C" w:rsidR="00AD1D42">
        <w:rPr>
          <w:rFonts w:ascii="Times New Roman" w:hAnsi="Times New Roman" w:cs="Times New Roman"/>
          <w:b w:val="1"/>
          <w:bCs w:val="1"/>
        </w:rPr>
        <w:t xml:space="preserve">SEGURO MAS VIDA SEGURO DE ACCIDENTES ESSALUD – PÓLIZA No </w:t>
      </w:r>
      <w:r w:rsidRPr="4E9C509C" w:rsidR="11CC0CFA">
        <w:rPr>
          <w:rFonts w:ascii="Times New Roman" w:hAnsi="Times New Roman" w:cs="Times New Roman"/>
          <w:b w:val="1"/>
          <w:bCs w:val="1"/>
        </w:rPr>
        <w:t>......................................</w:t>
      </w:r>
      <w:r w:rsidRPr="4E9C509C" w:rsidR="00AD1D42">
        <w:rPr>
          <w:rFonts w:ascii="Times New Roman" w:hAnsi="Times New Roman" w:cs="Times New Roman"/>
        </w:rPr>
        <w:t>;</w:t>
      </w:r>
    </w:p>
    <w:p w:rsidRPr="00AD1D42" w:rsidR="00AD1D42" w:rsidP="00AD1D42" w:rsidRDefault="00AD1D42" w14:paraId="51CE8EE1" w14:textId="77777777">
      <w:pPr>
        <w:autoSpaceDE w:val="0"/>
        <w:autoSpaceDN w:val="0"/>
        <w:adjustRightInd w:val="0"/>
        <w:jc w:val="both"/>
        <w:rPr>
          <w:rFonts w:ascii="Times New Roman" w:hAnsi="Times New Roman" w:cs="Times New Roman"/>
          <w:sz w:val="24"/>
          <w:szCs w:val="24"/>
          <w:lang w:val="es-PE"/>
        </w:rPr>
      </w:pPr>
    </w:p>
    <w:p w:rsidRPr="00AD1D42" w:rsidR="00AD1D42" w:rsidP="00AD1D42" w:rsidRDefault="00AD1D42" w14:paraId="7D6DF020" w14:textId="49D6D5A2">
      <w:pPr>
        <w:autoSpaceDE w:val="0"/>
        <w:autoSpaceDN w:val="0"/>
        <w:adjustRightInd w:val="0"/>
        <w:jc w:val="both"/>
        <w:rPr>
          <w:rFonts w:ascii="Times New Roman" w:hAnsi="Times New Roman" w:cs="Times New Roman"/>
          <w:sz w:val="24"/>
          <w:szCs w:val="24"/>
          <w:lang w:val="es-PE"/>
        </w:rPr>
      </w:pPr>
      <w:r w:rsidRPr="00AD1D42">
        <w:rPr>
          <w:rFonts w:ascii="Times New Roman" w:hAnsi="Times New Roman" w:cs="Times New Roman"/>
          <w:sz w:val="24"/>
          <w:szCs w:val="24"/>
          <w:lang w:val="es-PE"/>
        </w:rPr>
        <w:t>Que, el indicado recurso se sustenta resumidamente en lo siguiente: (1) su esposo venía aportando por años para el pago del seguro; (2) no se encuentra conforme con la resolución impugnada pues su esposo falleció por un accidente de tránsito; (3) según la ley, se establece que se cumplió con el requisito de aportes por tres años consecutivos o cuatro alternados.</w:t>
      </w:r>
    </w:p>
    <w:p w:rsidRPr="00AD1D42" w:rsidR="00AD1D42" w:rsidP="00AD1D42" w:rsidRDefault="00AD1D42" w14:paraId="4A74C3B1" w14:textId="77777777">
      <w:pPr>
        <w:pStyle w:val="Textoindependiente"/>
        <w:rPr>
          <w:color w:val="0D0D0D"/>
          <w:lang w:val="es-PE" w:eastAsia="es-PE"/>
        </w:rPr>
      </w:pPr>
      <w:r w:rsidRPr="00AD1D42">
        <w:t xml:space="preserve">Que, la aseguradora absolvió el traslado del recurso interpuesto señalando en síntesis lo siguiente: (1) en la resolución impugnada </w:t>
      </w:r>
      <w:r w:rsidRPr="00AD1D42">
        <w:rPr>
          <w:color w:val="000000"/>
          <w:lang w:val="es-PE" w:eastAsia="es-PE"/>
        </w:rPr>
        <w:t xml:space="preserve">se describen y desarrollan los aspectos de hecho y, sobre todo, los contractuales y jurídicos que configuran que el reclamo interpuesto haya sido válidamente desestimado; (2) en el recurso impugnatorio presentado por la reclamante se plantean una serie de alegaciones valoradas en su oportunidad, y que no contribuyen a desvirtuar lo señalado en la resolución apelada; (3) la causa del rechazo es  la falta de pago de primas; (4) </w:t>
      </w:r>
      <w:r w:rsidRPr="00AD1D42">
        <w:rPr>
          <w:bCs w:val="0"/>
          <w:color w:val="000000"/>
          <w:lang w:val="es-PE" w:eastAsia="es-PE"/>
        </w:rPr>
        <w:t>la reclamante no alega ningún hecho nuevo ni tampoco ofrece alguna prueba nueva, lo cual -de por sí- conlleva a que se confirme la resolución impugnada; (5) s</w:t>
      </w:r>
      <w:r w:rsidRPr="00AD1D42">
        <w:rPr>
          <w:color w:val="0D0D0D"/>
          <w:lang w:val="es-PE" w:eastAsia="es-PE"/>
        </w:rPr>
        <w:t xml:space="preserve">e ha cumplido con acreditar que el rechazó del otorgamiento de cobertura solicitado por la reclamante, si dio al haberse constatado que ante la falta de pago de las cuotas de la prima del seguro por parte del asegurado, y luego de transcurrir más de 90 días con esa condición (impagas), el seguro se extinguió de manera válida, de conformidad a lo establecido en el artículo 21° de la Ley </w:t>
      </w:r>
      <w:proofErr w:type="spellStart"/>
      <w:r w:rsidRPr="00AD1D42">
        <w:rPr>
          <w:color w:val="0D0D0D"/>
          <w:lang w:val="es-PE" w:eastAsia="es-PE"/>
        </w:rPr>
        <w:t>Nº</w:t>
      </w:r>
      <w:proofErr w:type="spellEnd"/>
      <w:r w:rsidRPr="00AD1D42">
        <w:rPr>
          <w:color w:val="0D0D0D"/>
          <w:lang w:val="es-PE" w:eastAsia="es-PE"/>
        </w:rPr>
        <w:t xml:space="preserve"> 29946, Ley del Contrato de Seguro, y en el artículo 11° del Reglamento del Pago de Primas de Pólizas de Seguros, Resolución SBS </w:t>
      </w:r>
      <w:proofErr w:type="spellStart"/>
      <w:r w:rsidRPr="00AD1D42">
        <w:rPr>
          <w:color w:val="0D0D0D"/>
          <w:lang w:val="es-PE" w:eastAsia="es-PE"/>
        </w:rPr>
        <w:t>Nº</w:t>
      </w:r>
      <w:proofErr w:type="spellEnd"/>
      <w:r w:rsidRPr="00AD1D42">
        <w:rPr>
          <w:color w:val="0D0D0D"/>
          <w:lang w:val="es-PE" w:eastAsia="es-PE"/>
        </w:rPr>
        <w:t xml:space="preserve"> 3198-2013, normas que -con carácter imperativo.</w:t>
      </w:r>
    </w:p>
    <w:p w:rsidRPr="00AD1D42" w:rsidR="00AD1D42" w:rsidP="00AD1D42" w:rsidRDefault="00AD1D42" w14:paraId="7C844885" w14:textId="77777777">
      <w:pPr>
        <w:pStyle w:val="Textoindependiente"/>
      </w:pPr>
    </w:p>
    <w:p w:rsidRPr="00AD1D42" w:rsidR="00AD1D42" w:rsidP="00AD1D42" w:rsidRDefault="00AD1D42" w14:paraId="79DF13BE" w14:textId="77777777">
      <w:pPr>
        <w:pStyle w:val="Textoindependiente"/>
        <w:tabs>
          <w:tab w:val="left" w:pos="930"/>
        </w:tabs>
      </w:pPr>
      <w:r w:rsidRPr="00AD1D42">
        <w:t>Que, atendiendo a lo expuesto, esta Defensoría resuelve finalmente lo siguiente:</w:t>
      </w:r>
    </w:p>
    <w:p w:rsidRPr="00AD1D42" w:rsidR="00AD1D42" w:rsidP="00AD1D42" w:rsidRDefault="00AD1D42" w14:paraId="035D3A53" w14:textId="77777777">
      <w:pPr>
        <w:jc w:val="both"/>
        <w:rPr>
          <w:rFonts w:ascii="Times New Roman" w:hAnsi="Times New Roman" w:cs="Times New Roman"/>
          <w:b/>
          <w:sz w:val="24"/>
          <w:szCs w:val="24"/>
          <w:u w:val="single"/>
          <w:lang w:val="es-PE"/>
        </w:rPr>
      </w:pPr>
    </w:p>
    <w:p w:rsidRPr="00AD1D42" w:rsidR="00AD1D42" w:rsidP="00AD1D42" w:rsidRDefault="00AD1D42" w14:paraId="2FB0DE2A" w14:textId="43B1497E">
      <w:pPr>
        <w:jc w:val="both"/>
        <w:rPr>
          <w:rFonts w:ascii="Times New Roman" w:hAnsi="Times New Roman" w:cs="Times New Roman"/>
          <w:sz w:val="24"/>
          <w:szCs w:val="24"/>
          <w:lang w:val="es-PE"/>
        </w:rPr>
      </w:pPr>
      <w:r w:rsidRPr="00AD1D42">
        <w:rPr>
          <w:rFonts w:ascii="Times New Roman" w:hAnsi="Times New Roman" w:cs="Times New Roman"/>
          <w:b/>
          <w:sz w:val="24"/>
          <w:szCs w:val="24"/>
          <w:u w:val="single"/>
          <w:lang w:val="es-PE"/>
        </w:rPr>
        <w:t>PRIMERO</w:t>
      </w:r>
      <w:r w:rsidRPr="00AD1D42">
        <w:rPr>
          <w:rFonts w:ascii="Times New Roman" w:hAnsi="Times New Roman" w:cs="Times New Roman"/>
          <w:b/>
          <w:sz w:val="24"/>
          <w:szCs w:val="24"/>
          <w:lang w:val="es-PE"/>
        </w:rPr>
        <w:t>:</w:t>
      </w:r>
      <w:r w:rsidRPr="00AD1D42">
        <w:rPr>
          <w:rFonts w:ascii="Times New Roman" w:hAnsi="Times New Roman" w:cs="Times New Roman"/>
          <w:sz w:val="24"/>
          <w:szCs w:val="24"/>
          <w:lang w:val="es-PE"/>
        </w:rPr>
        <w:t xml:space="preserve"> El artículo 10 (Procedimiento) del Reglamento de la DEFASEG </w:t>
      </w:r>
      <w:r w:rsidRPr="00AD1D42">
        <w:rPr>
          <w:rFonts w:ascii="Times New Roman" w:hAnsi="Times New Roman" w:eastAsia="Arial Unicode MS" w:cs="Times New Roman"/>
          <w:sz w:val="24"/>
          <w:szCs w:val="24"/>
          <w:lang w:val="es-PE"/>
        </w:rPr>
        <w:t>(http://www.defaseg.com.pe/reglamento)</w:t>
      </w:r>
      <w:r w:rsidRPr="00AD1D42">
        <w:rPr>
          <w:rFonts w:ascii="Times New Roman" w:hAnsi="Times New Roman" w:cs="Times New Roman"/>
          <w:sz w:val="24"/>
          <w:szCs w:val="24"/>
          <w:lang w:val="es-PE"/>
        </w:rPr>
        <w:t xml:space="preserve"> establece que cualquiera de las partes que no se encuentre de acuerdo con la decisión adoptada por la Defensoría del Asegurado sobre la materia reclamada, podrá impugnarla, interponiendo el correspondiente recurso de impugnación.  </w:t>
      </w:r>
    </w:p>
    <w:p w:rsidRPr="00AD1D42" w:rsidR="00AD1D42" w:rsidP="00AD1D42" w:rsidRDefault="00AD1D42" w14:paraId="6C47FDCB" w14:textId="46B95A58">
      <w:pPr>
        <w:jc w:val="both"/>
        <w:rPr>
          <w:rFonts w:ascii="Times New Roman" w:hAnsi="Times New Roman" w:cs="Times New Roman"/>
          <w:sz w:val="24"/>
          <w:szCs w:val="24"/>
          <w:lang w:val="es-PE"/>
        </w:rPr>
      </w:pPr>
      <w:r w:rsidRPr="00AD1D42">
        <w:rPr>
          <w:rFonts w:ascii="Times New Roman" w:hAnsi="Times New Roman" w:cs="Times New Roman"/>
          <w:sz w:val="24"/>
          <w:szCs w:val="24"/>
          <w:lang w:val="es-PE"/>
        </w:rPr>
        <w:t>Conforme a ello, en el caso concreto, al interponer el recurso de impugnación la reclamante ha ejercido formalmente su derecho a contradecir lo resuelto por la Defensoría.</w:t>
      </w:r>
    </w:p>
    <w:p w:rsidRPr="00AD1D42" w:rsidR="00AD1D42" w:rsidP="00AD1D42" w:rsidRDefault="00AD1D42" w14:paraId="20E0376E" w14:textId="77777777">
      <w:pPr>
        <w:pStyle w:val="Textoindependiente"/>
        <w:tabs>
          <w:tab w:val="left" w:pos="0"/>
          <w:tab w:val="left" w:pos="720"/>
        </w:tabs>
        <w:rPr>
          <w:u w:val="single"/>
          <w:lang w:val="es-PE"/>
        </w:rPr>
      </w:pPr>
    </w:p>
    <w:p w:rsidRPr="00AD1D42" w:rsidR="00AD1D42" w:rsidP="00AD1D42" w:rsidRDefault="00AD1D42" w14:paraId="54BB32FA" w14:textId="77777777">
      <w:pPr>
        <w:jc w:val="both"/>
        <w:rPr>
          <w:rFonts w:ascii="Times New Roman" w:hAnsi="Times New Roman" w:cs="Times New Roman"/>
          <w:sz w:val="24"/>
          <w:szCs w:val="24"/>
          <w:lang w:val="es-ES"/>
        </w:rPr>
      </w:pPr>
      <w:r w:rsidRPr="00AD1D42">
        <w:rPr>
          <w:rFonts w:ascii="Times New Roman" w:hAnsi="Times New Roman" w:cs="Times New Roman"/>
          <w:b/>
          <w:bCs/>
          <w:sz w:val="24"/>
          <w:szCs w:val="24"/>
          <w:u w:val="single"/>
          <w:lang w:val="es-PE"/>
        </w:rPr>
        <w:t>SEGUNDO</w:t>
      </w:r>
      <w:r w:rsidRPr="00AD1D42">
        <w:rPr>
          <w:rFonts w:ascii="Times New Roman" w:hAnsi="Times New Roman" w:cs="Times New Roman"/>
          <w:b/>
          <w:bCs/>
          <w:sz w:val="24"/>
          <w:szCs w:val="24"/>
          <w:lang w:val="es-PE"/>
        </w:rPr>
        <w:t>:</w:t>
      </w:r>
      <w:r w:rsidRPr="00AD1D42">
        <w:rPr>
          <w:rFonts w:ascii="Times New Roman" w:hAnsi="Times New Roman" w:cs="Times New Roman"/>
          <w:bCs/>
          <w:sz w:val="24"/>
          <w:szCs w:val="24"/>
          <w:lang w:val="es-PE"/>
        </w:rPr>
        <w:t xml:space="preserve"> Que el recurso de impugnación presentado por la recurrente no se sustenta en nueva prueba ni en nueva argumentación, sino en asumir que </w:t>
      </w:r>
      <w:r w:rsidRPr="00AD1D42">
        <w:rPr>
          <w:rFonts w:ascii="Times New Roman" w:hAnsi="Times New Roman" w:cs="Times New Roman"/>
          <w:sz w:val="24"/>
          <w:szCs w:val="24"/>
          <w:lang w:val="es-PE"/>
        </w:rPr>
        <w:t>el contrato de seguro no se extinguió, pues se interpreta que, según la ley, se establece que se cumplió con el requisito de aportes por tres años consecutivos o cuatro alternados.</w:t>
      </w:r>
    </w:p>
    <w:p w:rsidRPr="00AD1D42" w:rsidR="00AD1D42" w:rsidP="00AD1D42" w:rsidRDefault="00AD1D42" w14:paraId="0008B65A" w14:textId="53B42801">
      <w:pPr>
        <w:jc w:val="both"/>
        <w:rPr>
          <w:rFonts w:ascii="Times New Roman" w:hAnsi="Times New Roman" w:cs="Times New Roman"/>
          <w:sz w:val="24"/>
          <w:szCs w:val="24"/>
          <w:lang w:val="es-PE"/>
        </w:rPr>
      </w:pPr>
      <w:r w:rsidRPr="4E9C509C" w:rsidR="00AD1D42">
        <w:rPr>
          <w:rFonts w:ascii="Times New Roman" w:hAnsi="Times New Roman" w:cs="Times New Roman"/>
          <w:sz w:val="24"/>
          <w:szCs w:val="24"/>
          <w:lang w:val="es-PE"/>
        </w:rPr>
        <w:t xml:space="preserve">Conforme a la </w:t>
      </w:r>
      <w:r w:rsidRPr="4E9C509C" w:rsidR="00AD1D42">
        <w:rPr>
          <w:rFonts w:ascii="Times New Roman" w:hAnsi="Times New Roman" w:cs="Times New Roman"/>
          <w:sz w:val="24"/>
          <w:szCs w:val="24"/>
          <w:lang w:val="es-PE"/>
        </w:rPr>
        <w:t xml:space="preserve">resolución recurrida, se encontró legítimo el rechazo de cobertura al verificarse que el </w:t>
      </w:r>
      <w:r w:rsidRPr="4E9C509C" w:rsidR="00AD1D42">
        <w:rPr>
          <w:rFonts w:ascii="Times New Roman" w:hAnsi="Times New Roman" w:cs="Times New Roman"/>
          <w:sz w:val="24"/>
          <w:szCs w:val="24"/>
          <w:lang w:val="es-PE"/>
        </w:rPr>
        <w:t xml:space="preserve">Seguro MAS VIDA SEGURO DE ACCIDENTES ESSALUD – PÓLIZA No </w:t>
      </w:r>
      <w:r w:rsidRPr="4E9C509C" w:rsidR="11CC0CFA">
        <w:rPr>
          <w:rFonts w:ascii="Times New Roman" w:hAnsi="Times New Roman" w:cs="Times New Roman"/>
          <w:sz w:val="24"/>
          <w:szCs w:val="24"/>
          <w:lang w:val="es-PE"/>
        </w:rPr>
        <w:t>......................................</w:t>
      </w:r>
      <w:r w:rsidRPr="4E9C509C" w:rsidR="00AD1D42">
        <w:rPr>
          <w:rFonts w:ascii="Times New Roman" w:hAnsi="Times New Roman" w:cs="Times New Roman"/>
          <w:sz w:val="24"/>
          <w:szCs w:val="24"/>
          <w:lang w:val="es-PE"/>
        </w:rPr>
        <w:t xml:space="preserve"> no estuvo vigente en la fecha del fallecimiento de señor </w:t>
      </w:r>
      <w:r w:rsidRPr="4E9C509C" w:rsidR="0986CB21">
        <w:rPr>
          <w:rFonts w:ascii="Times New Roman" w:hAnsi="Times New Roman" w:cs="Times New Roman"/>
          <w:sz w:val="24"/>
          <w:szCs w:val="24"/>
          <w:lang w:val="es-PE"/>
        </w:rPr>
        <w:t>......................................</w:t>
      </w:r>
      <w:r w:rsidRPr="4E9C509C" w:rsidR="00AD1D42">
        <w:rPr>
          <w:rFonts w:ascii="Times New Roman" w:hAnsi="Times New Roman" w:cs="Times New Roman"/>
          <w:sz w:val="24"/>
          <w:szCs w:val="24"/>
          <w:lang w:val="es-PE"/>
        </w:rPr>
        <w:t xml:space="preserve">, ya que, antes del siniestro la póliza estuvo impaga por más de ocho meses y la aseguradora no reclamó el pago de la prima dentro de los noventa (90) días siguientes al vencimiento del plazo, por tanto </w:t>
      </w:r>
      <w:r w:rsidRPr="4E9C509C" w:rsidR="00AD1D42">
        <w:rPr>
          <w:rFonts w:ascii="Times New Roman" w:hAnsi="Times New Roman" w:cs="Times New Roman"/>
          <w:color w:val="0D0D0D" w:themeColor="text1" w:themeTint="F2" w:themeShade="FF"/>
          <w:sz w:val="24"/>
          <w:szCs w:val="24"/>
          <w:lang w:val="es-PE" w:eastAsia="es-PE"/>
        </w:rPr>
        <w:t xml:space="preserve">el seguro se extinguió de manera válida, de conformidad a lo establecido en el artículo 21° de la Ley </w:t>
      </w:r>
      <w:r w:rsidRPr="4E9C509C" w:rsidR="00AD1D42">
        <w:rPr>
          <w:rFonts w:ascii="Times New Roman" w:hAnsi="Times New Roman" w:cs="Times New Roman"/>
          <w:color w:val="0D0D0D" w:themeColor="text1" w:themeTint="F2" w:themeShade="FF"/>
          <w:sz w:val="24"/>
          <w:szCs w:val="24"/>
          <w:lang w:val="es-PE" w:eastAsia="es-PE"/>
        </w:rPr>
        <w:t>Nº</w:t>
      </w:r>
      <w:r w:rsidRPr="4E9C509C" w:rsidR="00AD1D42">
        <w:rPr>
          <w:rFonts w:ascii="Times New Roman" w:hAnsi="Times New Roman" w:cs="Times New Roman"/>
          <w:color w:val="0D0D0D" w:themeColor="text1" w:themeTint="F2" w:themeShade="FF"/>
          <w:sz w:val="24"/>
          <w:szCs w:val="24"/>
          <w:lang w:val="es-PE" w:eastAsia="es-PE"/>
        </w:rPr>
        <w:t xml:space="preserve"> 29946, Ley del Contrato de Seguro, y en el artículo 11° del Reglamento del Pago de Primas de Pólizas de Seguros, Resolución SBS </w:t>
      </w:r>
      <w:r w:rsidRPr="4E9C509C" w:rsidR="00AD1D42">
        <w:rPr>
          <w:rFonts w:ascii="Times New Roman" w:hAnsi="Times New Roman" w:cs="Times New Roman"/>
          <w:color w:val="0D0D0D" w:themeColor="text1" w:themeTint="F2" w:themeShade="FF"/>
          <w:sz w:val="24"/>
          <w:szCs w:val="24"/>
          <w:lang w:val="es-PE" w:eastAsia="es-PE"/>
        </w:rPr>
        <w:t>Nº</w:t>
      </w:r>
      <w:r w:rsidRPr="4E9C509C" w:rsidR="00AD1D42">
        <w:rPr>
          <w:rFonts w:ascii="Times New Roman" w:hAnsi="Times New Roman" w:cs="Times New Roman"/>
          <w:color w:val="0D0D0D" w:themeColor="text1" w:themeTint="F2" w:themeShade="FF"/>
          <w:sz w:val="24"/>
          <w:szCs w:val="24"/>
          <w:lang w:val="es-PE" w:eastAsia="es-PE"/>
        </w:rPr>
        <w:t xml:space="preserve"> 3198-2013.</w:t>
      </w:r>
    </w:p>
    <w:p w:rsidRPr="00AD1D42" w:rsidR="00AD1D42" w:rsidP="00AD1D42" w:rsidRDefault="00AD1D42" w14:paraId="14D4EC35" w14:textId="77777777">
      <w:pPr>
        <w:jc w:val="both"/>
        <w:rPr>
          <w:rFonts w:ascii="Times New Roman" w:hAnsi="Times New Roman" w:cs="Times New Roman"/>
          <w:sz w:val="24"/>
          <w:szCs w:val="24"/>
          <w:lang w:val="es-PE"/>
        </w:rPr>
      </w:pPr>
      <w:r w:rsidRPr="00AD1D42">
        <w:rPr>
          <w:rFonts w:ascii="Times New Roman" w:hAnsi="Times New Roman" w:cs="Times New Roman"/>
          <w:sz w:val="24"/>
          <w:szCs w:val="24"/>
          <w:lang w:val="es-PE"/>
        </w:rPr>
        <w:t>En cuanto al argumento reiterado por la reclamante, esto es en cuanto a lo dispuesto por el artículo 9 inciso 3 de la Ley 27360, en la resolución recurrida se advierte que dicha norma no es de aplicación al presente caso, por cuanto no estamos ante una reclamación de prestaciones del seguro social sino ante prestaciones de un seguro privado de afiliación voluntaria.</w:t>
      </w:r>
    </w:p>
    <w:p w:rsidRPr="00AD1D42" w:rsidR="00AD1D42" w:rsidP="00AD1D42" w:rsidRDefault="00AD1D42" w14:paraId="220DE742" w14:textId="77777777">
      <w:pPr>
        <w:jc w:val="both"/>
        <w:rPr>
          <w:rFonts w:ascii="Times New Roman" w:hAnsi="Times New Roman" w:cs="Times New Roman"/>
          <w:sz w:val="24"/>
          <w:szCs w:val="24"/>
          <w:lang w:val="es-PE"/>
        </w:rPr>
      </w:pPr>
      <w:r w:rsidRPr="00AD1D42">
        <w:rPr>
          <w:rFonts w:ascii="Times New Roman" w:hAnsi="Times New Roman" w:cs="Times New Roman"/>
          <w:b/>
          <w:sz w:val="24"/>
          <w:szCs w:val="24"/>
          <w:u w:val="single"/>
          <w:lang w:val="es-PE"/>
        </w:rPr>
        <w:t>TERCERO</w:t>
      </w:r>
      <w:r w:rsidRPr="00AD1D42">
        <w:rPr>
          <w:rFonts w:ascii="Times New Roman" w:hAnsi="Times New Roman" w:cs="Times New Roman"/>
          <w:b/>
          <w:sz w:val="24"/>
          <w:szCs w:val="24"/>
          <w:lang w:val="es-PE"/>
        </w:rPr>
        <w:t>:</w:t>
      </w:r>
      <w:r w:rsidRPr="00AD1D42">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AD1D42" w:rsidR="00AD1D42" w:rsidP="00AD1D42" w:rsidRDefault="00AD1D42" w14:paraId="0A6D81EE" w14:textId="77777777">
      <w:pPr>
        <w:jc w:val="both"/>
        <w:rPr>
          <w:rFonts w:ascii="Times New Roman" w:hAnsi="Times New Roman" w:cs="Times New Roman"/>
          <w:sz w:val="24"/>
          <w:szCs w:val="24"/>
          <w:lang w:val="es-PE"/>
        </w:rPr>
      </w:pPr>
    </w:p>
    <w:p w:rsidRPr="00AD1D42" w:rsidR="00AD1D42" w:rsidP="00AD1D42" w:rsidRDefault="00AD1D42" w14:paraId="261E4EB8" w14:textId="77777777">
      <w:pPr>
        <w:jc w:val="both"/>
        <w:rPr>
          <w:rFonts w:ascii="Times New Roman" w:hAnsi="Times New Roman" w:cs="Times New Roman"/>
          <w:b/>
          <w:sz w:val="24"/>
          <w:szCs w:val="24"/>
          <w:lang w:val="es-PE"/>
        </w:rPr>
      </w:pPr>
      <w:r w:rsidRPr="00AD1D42">
        <w:rPr>
          <w:rFonts w:ascii="Times New Roman" w:hAnsi="Times New Roman" w:cs="Times New Roman"/>
          <w:b/>
          <w:sz w:val="24"/>
          <w:szCs w:val="24"/>
          <w:lang w:val="es-PE"/>
        </w:rPr>
        <w:t>RESUELVE:</w:t>
      </w:r>
    </w:p>
    <w:p w:rsidRPr="00AD1D42" w:rsidR="00AD1D42" w:rsidP="00AD1D42" w:rsidRDefault="00AD1D42" w14:paraId="73BEB8B7" w14:textId="77777777">
      <w:pPr>
        <w:jc w:val="both"/>
        <w:rPr>
          <w:rFonts w:ascii="Times New Roman" w:hAnsi="Times New Roman" w:cs="Times New Roman"/>
          <w:sz w:val="24"/>
          <w:szCs w:val="24"/>
          <w:lang w:val="es-PE"/>
        </w:rPr>
      </w:pPr>
    </w:p>
    <w:p w:rsidRPr="00AD1D42" w:rsidR="00AD1D42" w:rsidP="00AD1D42" w:rsidRDefault="00AD1D42" w14:paraId="76C13672" w14:textId="77777777">
      <w:pPr>
        <w:jc w:val="both"/>
        <w:rPr>
          <w:rFonts w:ascii="Times New Roman" w:hAnsi="Times New Roman" w:cs="Times New Roman"/>
          <w:sz w:val="24"/>
          <w:szCs w:val="24"/>
          <w:lang w:val="es-PE"/>
        </w:rPr>
      </w:pPr>
      <w:r w:rsidRPr="00AD1D42">
        <w:rPr>
          <w:rFonts w:ascii="Times New Roman" w:hAnsi="Times New Roman" w:eastAsia="Arial Unicode MS" w:cs="Times New Roman"/>
          <w:b/>
          <w:sz w:val="24"/>
          <w:szCs w:val="24"/>
          <w:lang w:val="es-PE"/>
        </w:rPr>
        <w:t>Declarar INFUNDADO el recurso de impugnación interpuesto y, por consiguiente, CONFIRMAR la Resolución Nro. 012/2022</w:t>
      </w:r>
      <w:r w:rsidRPr="00AD1D42">
        <w:rPr>
          <w:rFonts w:ascii="Times New Roman" w:hAnsi="Times New Roman" w:cs="Times New Roman"/>
          <w:sz w:val="24"/>
          <w:szCs w:val="24"/>
          <w:lang w:val="es-PE"/>
        </w:rPr>
        <w:t>.</w:t>
      </w:r>
    </w:p>
    <w:p w:rsidRPr="00AD1D42" w:rsidR="008F6175" w:rsidP="008F6175" w:rsidRDefault="008F6175" w14:paraId="66577634" w14:textId="77777777">
      <w:pPr>
        <w:jc w:val="both"/>
        <w:rPr>
          <w:rFonts w:ascii="Times New Roman" w:hAnsi="Times New Roman" w:cs="Times New Roman"/>
          <w:b/>
          <w:sz w:val="24"/>
          <w:szCs w:val="24"/>
          <w:lang w:val="es-PE"/>
        </w:rPr>
      </w:pPr>
    </w:p>
    <w:p w:rsidRPr="00AD1D42" w:rsidR="0000335D" w:rsidP="0000335D" w:rsidRDefault="0000335D" w14:paraId="066E0C16" w14:textId="77777777">
      <w:pPr>
        <w:spacing w:after="0" w:line="240" w:lineRule="auto"/>
        <w:jc w:val="both"/>
        <w:rPr>
          <w:rFonts w:ascii="Times New Roman" w:hAnsi="Times New Roman" w:eastAsia="Times New Roman" w:cs="Times New Roman"/>
          <w:sz w:val="24"/>
          <w:szCs w:val="24"/>
          <w:lang w:val="es-PE" w:eastAsia="ar-SA"/>
        </w:rPr>
      </w:pPr>
    </w:p>
    <w:p w:rsidRPr="00AD1D42" w:rsidR="00077B6F" w:rsidP="00C671F5" w:rsidRDefault="0091528B" w14:paraId="78A39B5B" w14:textId="19562EB6">
      <w:pPr>
        <w:suppressAutoHyphens/>
        <w:spacing w:after="0" w:line="240" w:lineRule="auto"/>
        <w:jc w:val="right"/>
        <w:outlineLvl w:val="0"/>
        <w:rPr>
          <w:rFonts w:ascii="Times New Roman" w:hAnsi="Times New Roman" w:eastAsia="Arial Unicode MS" w:cs="Times New Roman"/>
          <w:sz w:val="24"/>
          <w:szCs w:val="24"/>
          <w:lang w:val="es-PE" w:eastAsia="ar-SA"/>
        </w:rPr>
      </w:pPr>
      <w:r w:rsidRPr="00AD1D42">
        <w:rPr>
          <w:rFonts w:ascii="Times New Roman" w:hAnsi="Times New Roman" w:eastAsia="Arial Unicode MS" w:cs="Times New Roman"/>
          <w:sz w:val="24"/>
          <w:szCs w:val="24"/>
          <w:lang w:val="es-PE" w:eastAsia="ar-SA"/>
        </w:rPr>
        <w:t xml:space="preserve">Lima, </w:t>
      </w:r>
      <w:r w:rsidRPr="00AD1D42" w:rsidR="00BF1E0E">
        <w:rPr>
          <w:rFonts w:ascii="Times New Roman" w:hAnsi="Times New Roman" w:eastAsia="Arial Unicode MS" w:cs="Times New Roman"/>
          <w:sz w:val="24"/>
          <w:szCs w:val="24"/>
          <w:lang w:val="es-PE" w:eastAsia="ar-SA"/>
        </w:rPr>
        <w:t>07</w:t>
      </w:r>
      <w:r w:rsidRPr="00AD1D42" w:rsidR="00707C99">
        <w:rPr>
          <w:rFonts w:ascii="Times New Roman" w:hAnsi="Times New Roman" w:eastAsia="Arial Unicode MS" w:cs="Times New Roman"/>
          <w:sz w:val="24"/>
          <w:szCs w:val="24"/>
          <w:lang w:val="es-PE" w:eastAsia="ar-SA"/>
        </w:rPr>
        <w:t xml:space="preserve"> de </w:t>
      </w:r>
      <w:r w:rsidRPr="00AD1D42" w:rsidR="00BF1E0E">
        <w:rPr>
          <w:rFonts w:ascii="Times New Roman" w:hAnsi="Times New Roman" w:eastAsia="Arial Unicode MS" w:cs="Times New Roman"/>
          <w:sz w:val="24"/>
          <w:szCs w:val="24"/>
          <w:lang w:val="es-PE" w:eastAsia="ar-SA"/>
        </w:rPr>
        <w:t>marzo</w:t>
      </w:r>
      <w:r w:rsidRPr="00AD1D42" w:rsidR="00F06498">
        <w:rPr>
          <w:rFonts w:ascii="Times New Roman" w:hAnsi="Times New Roman" w:eastAsia="Arial Unicode MS" w:cs="Times New Roman"/>
          <w:sz w:val="24"/>
          <w:szCs w:val="24"/>
          <w:lang w:val="es-PE" w:eastAsia="ar-SA"/>
        </w:rPr>
        <w:t xml:space="preserve"> de 202</w:t>
      </w:r>
      <w:r w:rsidRPr="00AD1D42" w:rsidR="00B93C7A">
        <w:rPr>
          <w:rFonts w:ascii="Times New Roman" w:hAnsi="Times New Roman" w:eastAsia="Arial Unicode MS" w:cs="Times New Roman"/>
          <w:sz w:val="24"/>
          <w:szCs w:val="24"/>
          <w:lang w:val="es-PE" w:eastAsia="ar-SA"/>
        </w:rPr>
        <w:t>2</w:t>
      </w:r>
      <w:r w:rsidRPr="00AD1D42" w:rsidR="00707C99">
        <w:rPr>
          <w:rFonts w:ascii="Times New Roman" w:hAnsi="Times New Roman" w:eastAsia="Times New Roman" w:cs="Times New Roman"/>
          <w:sz w:val="24"/>
          <w:szCs w:val="24"/>
          <w:lang w:val="es-PE" w:eastAsia="ar-SA"/>
        </w:rPr>
        <w:t xml:space="preserve"> </w:t>
      </w:r>
    </w:p>
    <w:p w:rsidRPr="00AD1D42"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AD1D42"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D1D42"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AD1D42">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D1D42"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AD1D42" w:rsidR="001233F2" w:rsidP="003B3512" w:rsidRDefault="001233F2" w14:paraId="6DC8A5AA" w14:textId="1A3A33FB">
      <w:pPr>
        <w:spacing w:after="0" w:line="360" w:lineRule="auto"/>
        <w:jc w:val="center"/>
        <w:rPr>
          <w:rFonts w:ascii="Times New Roman" w:hAnsi="Times New Roman" w:cs="Times New Roman"/>
          <w:b/>
          <w:bCs/>
          <w:sz w:val="24"/>
          <w:szCs w:val="24"/>
          <w:lang w:val="es-PE"/>
        </w:rPr>
      </w:pPr>
      <w:r w:rsidRPr="00AD1D42">
        <w:rPr>
          <w:rFonts w:ascii="Times New Roman" w:hAnsi="Times New Roman" w:cs="Times New Roman"/>
          <w:b/>
          <w:bCs/>
          <w:sz w:val="24"/>
          <w:szCs w:val="24"/>
          <w:lang w:val="es-PE"/>
        </w:rPr>
        <w:t xml:space="preserve">María Eugenia Valdez Fernández Baca – </w:t>
      </w:r>
      <w:proofErr w:type="gramStart"/>
      <w:r w:rsidRPr="00AD1D42">
        <w:rPr>
          <w:rFonts w:ascii="Times New Roman" w:hAnsi="Times New Roman" w:cs="Times New Roman"/>
          <w:b/>
          <w:bCs/>
          <w:sz w:val="24"/>
          <w:szCs w:val="24"/>
          <w:lang w:val="es-PE"/>
        </w:rPr>
        <w:t>Presidente</w:t>
      </w:r>
      <w:proofErr w:type="gramEnd"/>
    </w:p>
    <w:p w:rsidRPr="0000335D" w:rsidR="00DA29A7" w:rsidP="00DA29A7" w:rsidRDefault="00DA29A7" w14:paraId="1003ECFC" w14:textId="77777777">
      <w:pPr>
        <w:spacing w:after="0" w:line="360" w:lineRule="auto"/>
        <w:jc w:val="center"/>
        <w:rPr>
          <w:rFonts w:ascii="Times New Roman" w:hAnsi="Times New Roman" w:cs="Times New Roman"/>
          <w:b/>
          <w:bCs/>
          <w:sz w:val="24"/>
          <w:szCs w:val="24"/>
          <w:lang w:val="es-PE"/>
        </w:rPr>
      </w:pPr>
      <w:r w:rsidRPr="0000335D">
        <w:rPr>
          <w:rFonts w:ascii="Times New Roman" w:hAnsi="Times New Roman" w:cs="Times New Roman"/>
          <w:b/>
          <w:bCs/>
          <w:sz w:val="24"/>
          <w:szCs w:val="24"/>
          <w:lang w:val="es-PE"/>
        </w:rPr>
        <w:t xml:space="preserve">Rolando Eyzaguirre </w:t>
      </w:r>
      <w:proofErr w:type="spellStart"/>
      <w:r w:rsidRPr="0000335D">
        <w:rPr>
          <w:rFonts w:ascii="Times New Roman" w:hAnsi="Times New Roman" w:cs="Times New Roman"/>
          <w:b/>
          <w:bCs/>
          <w:sz w:val="24"/>
          <w:szCs w:val="24"/>
          <w:lang w:val="es-PE"/>
        </w:rPr>
        <w:t>Maccan</w:t>
      </w:r>
      <w:proofErr w:type="spellEnd"/>
      <w:r w:rsidRPr="0000335D">
        <w:rPr>
          <w:rFonts w:ascii="Times New Roman" w:hAnsi="Times New Roman" w:cs="Times New Roman"/>
          <w:b/>
          <w:bCs/>
          <w:sz w:val="24"/>
          <w:szCs w:val="24"/>
          <w:lang w:val="es-PE"/>
        </w:rPr>
        <w:t xml:space="preserve"> – Vocal</w:t>
      </w:r>
    </w:p>
    <w:p w:rsidRPr="00AD1D42" w:rsidR="001233F2" w:rsidP="001233F2" w:rsidRDefault="001233F2" w14:paraId="1D4E3330" w14:textId="77777777">
      <w:pPr>
        <w:spacing w:after="0" w:line="360" w:lineRule="auto"/>
        <w:jc w:val="center"/>
        <w:rPr>
          <w:rFonts w:ascii="Times New Roman" w:hAnsi="Times New Roman" w:cs="Times New Roman"/>
          <w:sz w:val="24"/>
          <w:szCs w:val="24"/>
          <w:lang w:val="es-PE"/>
        </w:rPr>
      </w:pPr>
      <w:r w:rsidRPr="00AD1D42">
        <w:rPr>
          <w:rFonts w:ascii="Times New Roman" w:hAnsi="Times New Roman" w:cs="Times New Roman"/>
          <w:b/>
          <w:bCs/>
          <w:sz w:val="24"/>
          <w:szCs w:val="24"/>
          <w:lang w:val="es-PE"/>
        </w:rPr>
        <w:t>Gonzalo Abad del Busto – Vocal</w:t>
      </w:r>
    </w:p>
    <w:p w:rsidRPr="00AD1D42"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364CA5" w:rsidR="00C671F5" w:rsidP="00C671F5" w:rsidRDefault="00C671F5" w14:paraId="2C3A0205" w14:textId="77777777">
      <w:pPr>
        <w:rPr>
          <w:rFonts w:ascii="Times New Roman" w:hAnsi="Times New Roman" w:eastAsia="Arial Unicode MS" w:cs="Times New Roman"/>
          <w:sz w:val="24"/>
          <w:szCs w:val="24"/>
          <w:lang w:val="es-PE" w:eastAsia="ar-SA"/>
        </w:rPr>
      </w:pPr>
    </w:p>
    <w:sectPr w:rsidRPr="00364CA5"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703A6" w:rsidP="00784355" w:rsidRDefault="00B703A6" w14:paraId="64FDA738" w14:textId="77777777">
      <w:pPr>
        <w:spacing w:after="0" w:line="240" w:lineRule="auto"/>
      </w:pPr>
      <w:r>
        <w:separator/>
      </w:r>
    </w:p>
  </w:endnote>
  <w:endnote w:type="continuationSeparator" w:id="0">
    <w:p w:rsidR="00B703A6" w:rsidP="00784355" w:rsidRDefault="00B703A6" w14:paraId="42FF2FE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703A6" w:rsidP="00784355" w:rsidRDefault="00B703A6" w14:paraId="2E1E9E2E" w14:textId="77777777">
      <w:pPr>
        <w:spacing w:after="0" w:line="240" w:lineRule="auto"/>
      </w:pPr>
      <w:r>
        <w:separator/>
      </w:r>
    </w:p>
  </w:footnote>
  <w:footnote w:type="continuationSeparator" w:id="0">
    <w:p w:rsidR="00B703A6" w:rsidP="00784355" w:rsidRDefault="00B703A6" w14:paraId="0D977BE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33F2"/>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75B"/>
    <w:rsid w:val="001D59D9"/>
    <w:rsid w:val="001D6136"/>
    <w:rsid w:val="001E119C"/>
    <w:rsid w:val="001E4337"/>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CA5"/>
    <w:rsid w:val="00364E0F"/>
    <w:rsid w:val="00366842"/>
    <w:rsid w:val="00367746"/>
    <w:rsid w:val="0038290F"/>
    <w:rsid w:val="00391F72"/>
    <w:rsid w:val="00392259"/>
    <w:rsid w:val="003A3F8C"/>
    <w:rsid w:val="003B348C"/>
    <w:rsid w:val="003B3512"/>
    <w:rsid w:val="003B3A93"/>
    <w:rsid w:val="003B41F7"/>
    <w:rsid w:val="003B798E"/>
    <w:rsid w:val="003C27C8"/>
    <w:rsid w:val="003D09A9"/>
    <w:rsid w:val="003D4684"/>
    <w:rsid w:val="003D4687"/>
    <w:rsid w:val="003D64A9"/>
    <w:rsid w:val="003E0CC2"/>
    <w:rsid w:val="003E450C"/>
    <w:rsid w:val="003F0C97"/>
    <w:rsid w:val="003F1149"/>
    <w:rsid w:val="003F1B5F"/>
    <w:rsid w:val="004018F8"/>
    <w:rsid w:val="00403814"/>
    <w:rsid w:val="004049B9"/>
    <w:rsid w:val="00417E23"/>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21DED"/>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8F6175"/>
    <w:rsid w:val="008F7C83"/>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362B"/>
    <w:rsid w:val="00A077D2"/>
    <w:rsid w:val="00A16942"/>
    <w:rsid w:val="00A17A72"/>
    <w:rsid w:val="00A25F51"/>
    <w:rsid w:val="00A30393"/>
    <w:rsid w:val="00A32246"/>
    <w:rsid w:val="00A328C0"/>
    <w:rsid w:val="00A3714C"/>
    <w:rsid w:val="00A427D6"/>
    <w:rsid w:val="00A44E53"/>
    <w:rsid w:val="00A46E96"/>
    <w:rsid w:val="00A52030"/>
    <w:rsid w:val="00A57F06"/>
    <w:rsid w:val="00A62BEC"/>
    <w:rsid w:val="00A658C1"/>
    <w:rsid w:val="00A734AD"/>
    <w:rsid w:val="00A837A0"/>
    <w:rsid w:val="00A90926"/>
    <w:rsid w:val="00A97287"/>
    <w:rsid w:val="00AA2DED"/>
    <w:rsid w:val="00AB1C66"/>
    <w:rsid w:val="00AC5A9E"/>
    <w:rsid w:val="00AD1D42"/>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03A6"/>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29D0"/>
    <w:rsid w:val="00BD797F"/>
    <w:rsid w:val="00BE1470"/>
    <w:rsid w:val="00BE7C72"/>
    <w:rsid w:val="00BF1421"/>
    <w:rsid w:val="00BF1E0E"/>
    <w:rsid w:val="00BF414E"/>
    <w:rsid w:val="00BF4646"/>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92C44"/>
    <w:rsid w:val="00DA0540"/>
    <w:rsid w:val="00DA2840"/>
    <w:rsid w:val="00DA29A7"/>
    <w:rsid w:val="00DA4030"/>
    <w:rsid w:val="00DB15FD"/>
    <w:rsid w:val="00DB58EC"/>
    <w:rsid w:val="00DC399B"/>
    <w:rsid w:val="00DD5E2B"/>
    <w:rsid w:val="00DE24FD"/>
    <w:rsid w:val="00DF3781"/>
    <w:rsid w:val="00DF6E69"/>
    <w:rsid w:val="00E107CA"/>
    <w:rsid w:val="00E1216B"/>
    <w:rsid w:val="00E1477F"/>
    <w:rsid w:val="00E16C63"/>
    <w:rsid w:val="00E25348"/>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09B6"/>
    <w:rsid w:val="00ED38AF"/>
    <w:rsid w:val="00ED60A1"/>
    <w:rsid w:val="00ED6123"/>
    <w:rsid w:val="00EE1C4A"/>
    <w:rsid w:val="00EE6D21"/>
    <w:rsid w:val="00F01B55"/>
    <w:rsid w:val="00F0237B"/>
    <w:rsid w:val="00F06498"/>
    <w:rsid w:val="00F11E0A"/>
    <w:rsid w:val="00F13013"/>
    <w:rsid w:val="00F14F22"/>
    <w:rsid w:val="00F16540"/>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 w:val="0493A807"/>
    <w:rsid w:val="088F6E56"/>
    <w:rsid w:val="0986CB21"/>
    <w:rsid w:val="09D6328E"/>
    <w:rsid w:val="0E6914A4"/>
    <w:rsid w:val="11CC0CFA"/>
    <w:rsid w:val="4E9C5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02423392">
      <w:bodyDiv w:val="1"/>
      <w:marLeft w:val="0"/>
      <w:marRight w:val="0"/>
      <w:marTop w:val="0"/>
      <w:marBottom w:val="0"/>
      <w:divBdr>
        <w:top w:val="none" w:sz="0" w:space="0" w:color="auto"/>
        <w:left w:val="none" w:sz="0" w:space="0" w:color="auto"/>
        <w:bottom w:val="none" w:sz="0" w:space="0" w:color="auto"/>
        <w:right w:val="none" w:sz="0" w:space="0" w:color="auto"/>
      </w:divBdr>
    </w:div>
    <w:div w:id="1735084466">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F94F57E-CC39-431B-A5C4-78E71F6C6A3F}"/>
</file>

<file path=customXml/itemProps3.xml><?xml version="1.0" encoding="utf-8"?>
<ds:datastoreItem xmlns:ds="http://schemas.openxmlformats.org/officeDocument/2006/customXml" ds:itemID="{8E2A3ED3-71E3-423F-95AA-052B41698B38}"/>
</file>

<file path=customXml/itemProps4.xml><?xml version="1.0" encoding="utf-8"?>
<ds:datastoreItem xmlns:ds="http://schemas.openxmlformats.org/officeDocument/2006/customXml" ds:itemID="{5B2725A7-4353-4B2D-B9FA-4FF633CBAD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42</cp:revision>
  <cp:lastPrinted>2022-03-07T16:38:00Z</cp:lastPrinted>
  <dcterms:created xsi:type="dcterms:W3CDTF">2020-12-18T20:17:00Z</dcterms:created>
  <dcterms:modified xsi:type="dcterms:W3CDTF">2025-11-25T21:05:50Z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