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B4CAB" w:rsidR="00707C99" w:rsidP="00272F4F" w:rsidRDefault="00201C0D" w14:paraId="19FE0E96" w14:textId="49A8A881">
      <w:pPr>
        <w:spacing w:after="0" w:line="240" w:lineRule="auto"/>
        <w:jc w:val="center"/>
        <w:rPr>
          <w:rFonts w:ascii="Times New Roman" w:hAnsi="Times New Roman" w:cs="Times New Roman"/>
          <w:b/>
          <w:sz w:val="24"/>
          <w:szCs w:val="24"/>
          <w:lang w:val="es-PE" w:eastAsia="ar-SA"/>
        </w:rPr>
      </w:pPr>
      <w:r w:rsidRPr="00FB4CAB">
        <w:rPr>
          <w:rFonts w:ascii="Times New Roman" w:hAnsi="Times New Roman" w:cs="Times New Roman"/>
          <w:b/>
          <w:sz w:val="24"/>
          <w:szCs w:val="24"/>
          <w:lang w:val="es-PE" w:eastAsia="ar-SA"/>
        </w:rPr>
        <w:t xml:space="preserve">RESOLUCIÓN DE RECURSO IMPUGNATIVO </w:t>
      </w:r>
      <w:proofErr w:type="spellStart"/>
      <w:r w:rsidRPr="00FB4CAB" w:rsidR="00707C99">
        <w:rPr>
          <w:rFonts w:ascii="Times New Roman" w:hAnsi="Times New Roman" w:cs="Times New Roman"/>
          <w:b/>
          <w:sz w:val="24"/>
          <w:szCs w:val="24"/>
          <w:lang w:val="es-PE" w:eastAsia="ar-SA"/>
        </w:rPr>
        <w:t>N°</w:t>
      </w:r>
      <w:proofErr w:type="spellEnd"/>
      <w:r w:rsidRPr="00FB4CAB" w:rsidR="00707C99">
        <w:rPr>
          <w:rFonts w:ascii="Times New Roman" w:hAnsi="Times New Roman" w:cs="Times New Roman"/>
          <w:b/>
          <w:sz w:val="24"/>
          <w:szCs w:val="24"/>
          <w:lang w:val="es-PE" w:eastAsia="ar-SA"/>
        </w:rPr>
        <w:t xml:space="preserve"> </w:t>
      </w:r>
      <w:r w:rsidRPr="00FB4CAB" w:rsidR="00C671F5">
        <w:rPr>
          <w:rFonts w:ascii="Times New Roman" w:hAnsi="Times New Roman" w:cs="Times New Roman"/>
          <w:b/>
          <w:sz w:val="24"/>
          <w:szCs w:val="24"/>
          <w:lang w:val="es-PE" w:eastAsia="ar-SA"/>
        </w:rPr>
        <w:t>0</w:t>
      </w:r>
      <w:r w:rsidRPr="00FB4CAB" w:rsidR="0000335D">
        <w:rPr>
          <w:rFonts w:ascii="Times New Roman" w:hAnsi="Times New Roman" w:cs="Times New Roman"/>
          <w:b/>
          <w:sz w:val="24"/>
          <w:szCs w:val="24"/>
          <w:lang w:val="es-PE" w:eastAsia="ar-SA"/>
        </w:rPr>
        <w:t>1</w:t>
      </w:r>
      <w:r w:rsidRPr="00FB4CAB" w:rsidR="000C3D6F">
        <w:rPr>
          <w:rFonts w:ascii="Times New Roman" w:hAnsi="Times New Roman" w:cs="Times New Roman"/>
          <w:b/>
          <w:sz w:val="24"/>
          <w:szCs w:val="24"/>
          <w:lang w:val="es-PE" w:eastAsia="ar-SA"/>
        </w:rPr>
        <w:t>6</w:t>
      </w:r>
      <w:r w:rsidRPr="00FB4CAB" w:rsidR="00C671F5">
        <w:rPr>
          <w:rFonts w:ascii="Times New Roman" w:hAnsi="Times New Roman" w:cs="Times New Roman"/>
          <w:b/>
          <w:sz w:val="24"/>
          <w:szCs w:val="24"/>
          <w:lang w:val="es-PE" w:eastAsia="ar-SA"/>
        </w:rPr>
        <w:t>/2</w:t>
      </w:r>
      <w:r w:rsidRPr="00FB4CAB" w:rsidR="00B93C7A">
        <w:rPr>
          <w:rFonts w:ascii="Times New Roman" w:hAnsi="Times New Roman" w:cs="Times New Roman"/>
          <w:b/>
          <w:sz w:val="24"/>
          <w:szCs w:val="24"/>
          <w:lang w:val="es-PE" w:eastAsia="ar-SA"/>
        </w:rPr>
        <w:t>2</w:t>
      </w:r>
    </w:p>
    <w:p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00FB4CAB" w:rsidP="00FB4CAB" w:rsidRDefault="00FB4CAB" w14:paraId="5F381A0F" w14:textId="77777777">
      <w:pPr>
        <w:suppressAutoHyphens/>
        <w:jc w:val="both"/>
        <w:outlineLvl w:val="0"/>
        <w:rPr>
          <w:rFonts w:ascii="Times New Roman" w:hAnsi="Times New Roman" w:eastAsia="Times New Roman" w:cs="Times New Roman"/>
          <w:b/>
          <w:bCs/>
          <w:sz w:val="24"/>
          <w:szCs w:val="24"/>
          <w:lang w:val="es-MX" w:eastAsia="ar-SA"/>
        </w:rPr>
      </w:pPr>
      <w:r w:rsidRPr="00FB4CAB">
        <w:rPr>
          <w:rFonts w:ascii="Times New Roman" w:hAnsi="Times New Roman" w:eastAsia="Times New Roman" w:cs="Times New Roman"/>
          <w:b/>
          <w:bCs/>
          <w:sz w:val="24"/>
          <w:szCs w:val="24"/>
          <w:lang w:val="es-MX" w:eastAsia="ar-SA"/>
        </w:rPr>
        <w:t>Vistos:</w:t>
      </w:r>
    </w:p>
    <w:p w:rsidRPr="00FB4CAB" w:rsidR="00FB4CAB" w:rsidP="00FB4CAB" w:rsidRDefault="00FB4CAB" w14:paraId="04588CB2" w14:textId="28C9F5B6">
      <w:pPr>
        <w:suppressAutoHyphens/>
        <w:jc w:val="both"/>
        <w:outlineLvl w:val="0"/>
        <w:rPr>
          <w:rFonts w:ascii="Times New Roman" w:hAnsi="Times New Roman" w:eastAsia="Times New Roman" w:cs="Times New Roman"/>
          <w:b w:val="1"/>
          <w:bCs w:val="1"/>
          <w:sz w:val="24"/>
          <w:szCs w:val="24"/>
          <w:lang w:val="es-MX" w:eastAsia="ar-SA"/>
        </w:rPr>
      </w:pPr>
      <w:r w:rsidRPr="7FABD873" w:rsidR="00FB4CAB">
        <w:rPr>
          <w:rFonts w:ascii="Times New Roman" w:hAnsi="Times New Roman" w:eastAsia="Times New Roman" w:cs="Times New Roman"/>
          <w:sz w:val="24"/>
          <w:szCs w:val="24"/>
          <w:lang w:val="es-ES" w:eastAsia="ar-SA"/>
        </w:rPr>
        <w:t xml:space="preserve">El recurso de impugnación presentado </w:t>
      </w:r>
      <w:r w:rsidRPr="7FABD873" w:rsidR="00FB4CAB">
        <w:rPr>
          <w:rFonts w:ascii="Times New Roman" w:hAnsi="Times New Roman" w:eastAsia="Times New Roman" w:cs="Times New Roman"/>
          <w:sz w:val="24"/>
          <w:szCs w:val="24"/>
          <w:lang w:val="es-ES" w:eastAsia="ar-SA"/>
        </w:rPr>
        <w:t>por  doña</w:t>
      </w:r>
      <w:r w:rsidRPr="7FABD873" w:rsidR="00FB4CAB">
        <w:rPr>
          <w:rFonts w:ascii="Times New Roman" w:hAnsi="Times New Roman" w:eastAsia="Times New Roman" w:cs="Times New Roman"/>
          <w:sz w:val="24"/>
          <w:szCs w:val="24"/>
          <w:lang w:val="es-ES" w:eastAsia="ar-SA"/>
        </w:rPr>
        <w:t xml:space="preserve"> </w:t>
      </w:r>
      <w:r w:rsidRPr="7FABD873" w:rsidR="3FCC6FC6">
        <w:rPr>
          <w:rFonts w:ascii="Times New Roman" w:hAnsi="Times New Roman" w:eastAsia="Times New Roman" w:cs="Times New Roman"/>
          <w:sz w:val="24"/>
          <w:szCs w:val="24"/>
          <w:lang w:val="es-ES" w:eastAsia="ar-SA"/>
        </w:rPr>
        <w:t>..........................................................</w:t>
      </w:r>
      <w:r w:rsidRPr="7FABD873" w:rsidR="00FB4CAB">
        <w:rPr>
          <w:rFonts w:ascii="Times New Roman" w:hAnsi="Times New Roman" w:eastAsia="Times New Roman" w:cs="Times New Roman"/>
          <w:sz w:val="24"/>
          <w:szCs w:val="24"/>
          <w:lang w:val="es-ES" w:eastAsia="ar-SA"/>
        </w:rPr>
        <w:t xml:space="preserve"> respecto de la Resolución Nro. 020/22, que declaró IMPROCEDENTE la </w:t>
      </w:r>
      <w:r w:rsidRPr="7FABD873" w:rsidR="00FB4CAB">
        <w:rPr>
          <w:rFonts w:ascii="Times New Roman" w:hAnsi="Times New Roman" w:eastAsia="Arial Unicode MS" w:cs="Times New Roman"/>
          <w:sz w:val="24"/>
          <w:szCs w:val="24"/>
          <w:lang w:val="es-PE"/>
        </w:rPr>
        <w:t>la reclamación interpuesta</w:t>
      </w:r>
      <w:bookmarkStart w:name="OLE_LINK2" w:id="0"/>
      <w:r w:rsidRPr="7FABD873" w:rsidR="00FB4CAB">
        <w:rPr>
          <w:rFonts w:ascii="Times New Roman" w:hAnsi="Times New Roman" w:eastAsia="Arial Unicode MS" w:cs="Times New Roman"/>
          <w:sz w:val="24"/>
          <w:szCs w:val="24"/>
          <w:lang w:val="es-PE"/>
        </w:rPr>
        <w:t xml:space="preserve"> contra </w:t>
      </w:r>
      <w:r w:rsidRPr="7FABD873" w:rsidR="5BD19BA3">
        <w:rPr>
          <w:rFonts w:ascii="Times New Roman" w:hAnsi="Times New Roman" w:eastAsia="Arial Unicode MS" w:cs="Times New Roman"/>
          <w:sz w:val="24"/>
          <w:szCs w:val="24"/>
          <w:lang w:val="es-PE"/>
        </w:rPr>
        <w:t>..........................................</w:t>
      </w:r>
      <w:r w:rsidRPr="7FABD873" w:rsidR="00FB4CAB">
        <w:rPr>
          <w:rFonts w:ascii="Times New Roman" w:hAnsi="Times New Roman" w:eastAsia="Arial Unicode MS" w:cs="Times New Roman"/>
          <w:sz w:val="24"/>
          <w:szCs w:val="24"/>
          <w:lang w:val="es-PE"/>
        </w:rPr>
        <w:t xml:space="preserve"> respecto del seguro de desgravamen </w:t>
      </w:r>
      <w:r w:rsidRPr="7FABD873" w:rsidR="58C0D989">
        <w:rPr>
          <w:rFonts w:ascii="Times New Roman" w:hAnsi="Times New Roman" w:eastAsia="Arial Unicode MS" w:cs="Times New Roman"/>
          <w:sz w:val="24"/>
          <w:szCs w:val="24"/>
          <w:lang w:val="es-PE"/>
        </w:rPr>
        <w:t>.......................................</w:t>
      </w:r>
      <w:r w:rsidRPr="7FABD873" w:rsidR="00FB4CAB">
        <w:rPr>
          <w:rFonts w:ascii="Times New Roman" w:hAnsi="Times New Roman" w:eastAsia="Arial Unicode MS" w:cs="Times New Roman"/>
          <w:sz w:val="24"/>
          <w:szCs w:val="24"/>
          <w:lang w:val="es-PE"/>
        </w:rPr>
        <w:t xml:space="preserve"> por nulidad del contrato de seguro debido a reticencia.</w:t>
      </w:r>
    </w:p>
    <w:bookmarkEnd w:id="0"/>
    <w:p w:rsidRPr="00FB4CAB" w:rsidR="00FB4CAB" w:rsidP="00FB4CAB" w:rsidRDefault="00FB4CAB" w14:paraId="0EBE3487" w14:textId="77777777">
      <w:pPr>
        <w:pStyle w:val="Default"/>
        <w:jc w:val="both"/>
        <w:rPr>
          <w:rFonts w:ascii="Times New Roman" w:hAnsi="Times New Roman" w:cs="Times New Roman"/>
          <w:bCs/>
          <w:lang w:val="es-MX" w:eastAsia="ar-SA"/>
        </w:rPr>
      </w:pPr>
      <w:r w:rsidRPr="00FB4CAB">
        <w:rPr>
          <w:rFonts w:ascii="Times New Roman" w:hAnsi="Times New Roman" w:cs="Times New Roman"/>
          <w:bCs/>
          <w:lang w:val="es-MX" w:eastAsia="ar-SA"/>
        </w:rPr>
        <w:t xml:space="preserve">Que, a través del señalado recurso, la recurrente discrepa de lo resulto pues considera que en este caso no medió dolo del asegurado, ya que su no se ha acreditado que la declaración inexacta brindada haya tenido dicha calidad, es decir la voluntad de querer causar daño a la aseguradora; que los textos referidos a la declaración de salud son </w:t>
      </w:r>
      <w:proofErr w:type="spellStart"/>
      <w:r w:rsidRPr="00FB4CAB">
        <w:rPr>
          <w:rFonts w:ascii="Times New Roman" w:hAnsi="Times New Roman" w:cs="Times New Roman"/>
          <w:bCs/>
          <w:lang w:val="es-MX" w:eastAsia="ar-SA"/>
        </w:rPr>
        <w:t>pre-impresos</w:t>
      </w:r>
      <w:proofErr w:type="spellEnd"/>
      <w:r w:rsidRPr="00FB4CAB">
        <w:rPr>
          <w:rFonts w:ascii="Times New Roman" w:hAnsi="Times New Roman" w:cs="Times New Roman"/>
          <w:bCs/>
          <w:lang w:val="es-MX" w:eastAsia="ar-SA"/>
        </w:rPr>
        <w:t xml:space="preserve"> y no </w:t>
      </w:r>
      <w:proofErr w:type="spellStart"/>
      <w:r w:rsidRPr="00FB4CAB">
        <w:rPr>
          <w:rFonts w:ascii="Times New Roman" w:hAnsi="Times New Roman" w:cs="Times New Roman"/>
          <w:bCs/>
          <w:lang w:val="es-MX" w:eastAsia="ar-SA"/>
        </w:rPr>
        <w:t>respnden</w:t>
      </w:r>
      <w:proofErr w:type="spellEnd"/>
      <w:r w:rsidRPr="00FB4CAB">
        <w:rPr>
          <w:rFonts w:ascii="Times New Roman" w:hAnsi="Times New Roman" w:cs="Times New Roman"/>
          <w:bCs/>
          <w:lang w:val="es-MX" w:eastAsia="ar-SA"/>
        </w:rPr>
        <w:t xml:space="preserve"> a una manifestación de voluntad real por lo que no se le pueden atribuir al asegurado; que no está probado que el episodio de hipertensión haya sido el desencadenante de su </w:t>
      </w:r>
      <w:proofErr w:type="spellStart"/>
      <w:r w:rsidRPr="00FB4CAB">
        <w:rPr>
          <w:rFonts w:ascii="Times New Roman" w:hAnsi="Times New Roman" w:cs="Times New Roman"/>
          <w:bCs/>
          <w:lang w:val="es-MX" w:eastAsia="ar-SA"/>
        </w:rPr>
        <w:t>fallecimietno</w:t>
      </w:r>
      <w:proofErr w:type="spellEnd"/>
      <w:r w:rsidRPr="00FB4CAB">
        <w:rPr>
          <w:rFonts w:ascii="Times New Roman" w:hAnsi="Times New Roman" w:cs="Times New Roman"/>
          <w:bCs/>
          <w:lang w:val="es-MX" w:eastAsia="ar-SA"/>
        </w:rPr>
        <w:t>, el cual ocurrió debido al Covid-19; que debe aplicarse el artículo 15 inciso b) de la Ley del Contrato de Seguro.</w:t>
      </w:r>
    </w:p>
    <w:p w:rsidRPr="00FB4CAB" w:rsidR="00FB4CAB" w:rsidP="00FB4CAB" w:rsidRDefault="00FB4CAB" w14:paraId="31F1D91D" w14:textId="77777777">
      <w:pPr>
        <w:pStyle w:val="Default"/>
        <w:jc w:val="both"/>
        <w:rPr>
          <w:rFonts w:ascii="Times New Roman" w:hAnsi="Times New Roman" w:cs="Times New Roman"/>
          <w:bCs/>
          <w:lang w:val="es-MX" w:eastAsia="ar-SA"/>
        </w:rPr>
      </w:pPr>
    </w:p>
    <w:p w:rsidRPr="00FB4CAB" w:rsidR="00FB4CAB" w:rsidP="00FB4CAB" w:rsidRDefault="00FB4CAB" w14:paraId="2622FE9C" w14:textId="77777777">
      <w:pPr>
        <w:suppressAutoHyphens/>
        <w:jc w:val="both"/>
        <w:rPr>
          <w:rFonts w:ascii="Times New Roman" w:hAnsi="Times New Roman" w:eastAsia="Times New Roman" w:cs="Times New Roman"/>
          <w:bCs/>
          <w:sz w:val="24"/>
          <w:szCs w:val="24"/>
          <w:lang w:val="es-MX" w:eastAsia="ar-SA"/>
        </w:rPr>
      </w:pPr>
      <w:r w:rsidRPr="00FB4CAB">
        <w:rPr>
          <w:rFonts w:ascii="Times New Roman" w:hAnsi="Times New Roman" w:eastAsia="Times New Roman" w:cs="Times New Roman"/>
          <w:bCs/>
          <w:sz w:val="24"/>
          <w:szCs w:val="24"/>
          <w:lang w:val="es-MX" w:eastAsia="ar-SA"/>
        </w:rPr>
        <w:t>Que, habiéndosele corrido traslado de la señalada impugnación, la aseguradora señaló que estamos ante una declaración dolosa, toda vez que el asegurado tenía conocimiento de sus enfermedades y antecedentes clínicos y sin embargo no los declaró; para que existe dolo se requiere conocimiento y voluntad, lo cual se plasma en una declaración falsa, más allá de la intención de causar o no daño a la compañía; que, en lo que respecto a la existencia de un formato preimpreso, el formato también contiene preguntas preimpresas que debían ser respondidas de forma libre con la verdad, marcando los casilleros que correspondía, lo que no ocurrió en este caso; y por ende se ha producido la nulidad del contrato. Finalmente, en lo que respecta a que no existe prueba de que la hipertensión haya sido la causante del fallecimiento del asegurado, la materia controvertida no es determinar la causa de fallecimiento sino demostrar si se incurrió o no en declaración reticente dolosa.</w:t>
      </w:r>
    </w:p>
    <w:p w:rsidRPr="00FB4CAB" w:rsidR="00FB4CAB" w:rsidP="00FB4CAB" w:rsidRDefault="00FB4CAB" w14:paraId="04DEB8C1" w14:textId="77777777">
      <w:pPr>
        <w:suppressAutoHyphens/>
        <w:jc w:val="both"/>
        <w:rPr>
          <w:rFonts w:ascii="Times New Roman" w:hAnsi="Times New Roman" w:eastAsia="Times New Roman" w:cs="Times New Roman"/>
          <w:bCs/>
          <w:sz w:val="24"/>
          <w:szCs w:val="24"/>
          <w:lang w:val="es-MX" w:eastAsia="ar-SA"/>
        </w:rPr>
      </w:pPr>
      <w:r w:rsidRPr="00FB4CAB">
        <w:rPr>
          <w:rFonts w:ascii="Times New Roman" w:hAnsi="Times New Roman" w:eastAsia="Times New Roman" w:cs="Times New Roman"/>
          <w:b/>
          <w:bCs/>
          <w:sz w:val="24"/>
          <w:szCs w:val="24"/>
          <w:lang w:val="es-MX" w:eastAsia="ar-SA"/>
        </w:rPr>
        <w:t>Considerando:</w:t>
      </w:r>
    </w:p>
    <w:p w:rsidRPr="00FB4CAB" w:rsidR="00FB4CAB" w:rsidP="00FB4CAB" w:rsidRDefault="00FB4CAB" w14:paraId="31B7B4D4" w14:textId="77777777">
      <w:pPr>
        <w:jc w:val="both"/>
        <w:rPr>
          <w:rFonts w:ascii="Times New Roman" w:hAnsi="Times New Roman" w:cs="Times New Roman"/>
          <w:sz w:val="24"/>
          <w:szCs w:val="24"/>
          <w:lang w:val="es-PE"/>
        </w:rPr>
      </w:pPr>
      <w:r w:rsidRPr="00FB4CAB">
        <w:rPr>
          <w:rFonts w:ascii="Times New Roman" w:hAnsi="Times New Roman" w:cs="Times New Roman"/>
          <w:b/>
          <w:sz w:val="24"/>
          <w:szCs w:val="24"/>
          <w:u w:val="single"/>
          <w:lang w:val="es-PE"/>
        </w:rPr>
        <w:t>Primero</w:t>
      </w:r>
      <w:r w:rsidRPr="00FB4CAB">
        <w:rPr>
          <w:rFonts w:ascii="Times New Roman" w:hAnsi="Times New Roman" w:cs="Times New Roman"/>
          <w:b/>
          <w:sz w:val="24"/>
          <w:szCs w:val="24"/>
          <w:lang w:val="es-PE"/>
        </w:rPr>
        <w:t>:</w:t>
      </w:r>
      <w:r w:rsidRPr="00FB4CAB">
        <w:rPr>
          <w:rFonts w:ascii="Times New Roman" w:hAnsi="Times New Roman" w:cs="Times New Roman"/>
          <w:sz w:val="24"/>
          <w:szCs w:val="24"/>
          <w:lang w:val="es-PE"/>
        </w:rPr>
        <w:t xml:space="preserve"> El Reglamento de la DEFASEG </w:t>
      </w:r>
      <w:r w:rsidRPr="00FB4CAB">
        <w:rPr>
          <w:rFonts w:ascii="Times New Roman" w:hAnsi="Times New Roman" w:eastAsia="Arial Unicode MS" w:cs="Times New Roman"/>
          <w:sz w:val="24"/>
          <w:szCs w:val="24"/>
          <w:lang w:val="es-PE"/>
        </w:rPr>
        <w:t xml:space="preserve">(http://www.defaseg.com.pe/reglamento), en su artículo 10, </w:t>
      </w:r>
      <w:r w:rsidRPr="00FB4CAB">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w:t>
      </w:r>
    </w:p>
    <w:p w:rsidRPr="00FB4CAB" w:rsidR="00FB4CAB" w:rsidP="00FB4CAB" w:rsidRDefault="00FB4CAB" w14:paraId="0BEF4027" w14:textId="77777777">
      <w:pPr>
        <w:jc w:val="both"/>
        <w:rPr>
          <w:rFonts w:ascii="Times New Roman" w:hAnsi="Times New Roman" w:cs="Times New Roman"/>
          <w:sz w:val="24"/>
          <w:szCs w:val="24"/>
          <w:lang w:val="es-PE"/>
        </w:rPr>
      </w:pPr>
      <w:r w:rsidRPr="00FB4CAB">
        <w:rPr>
          <w:rFonts w:ascii="Times New Roman" w:hAnsi="Times New Roman" w:cs="Times New Roman"/>
          <w:sz w:val="24"/>
          <w:szCs w:val="24"/>
          <w:lang w:val="es-PE"/>
        </w:rPr>
        <w:t xml:space="preserve">De manera complementaria, el artículo 11 del indicado reglamento dispone que, el </w:t>
      </w:r>
      <w:r w:rsidRPr="00FB4CAB">
        <w:rPr>
          <w:rFonts w:ascii="Times New Roman" w:hAnsi="Times New Roman" w:cs="Times New Roman"/>
          <w:sz w:val="24"/>
          <w:szCs w:val="24"/>
          <w:lang w:val="es-ES"/>
        </w:rPr>
        <w:t>usuario de seguro recurre en forma voluntaria a la Defensoría, siendo que la presentación de una reclamación n</w:t>
      </w:r>
      <w:r w:rsidRPr="00FB4CAB">
        <w:rPr>
          <w:rFonts w:ascii="Times New Roman" w:hAnsi="Times New Roman" w:cs="Times New Roman"/>
          <w:sz w:val="24"/>
          <w:szCs w:val="24"/>
          <w:lang w:val="es-PE"/>
        </w:rPr>
        <w:t xml:space="preserve">o limita su derecho a recurrir posteriormente ante el órgano administrativo o jurisdiccional que considere pertinente.  </w:t>
      </w:r>
    </w:p>
    <w:p w:rsidRPr="00FB4CAB" w:rsidR="00FB4CAB" w:rsidP="00FB4CAB" w:rsidRDefault="00FB4CAB" w14:paraId="7291CB21" w14:textId="77777777">
      <w:pPr>
        <w:jc w:val="both"/>
        <w:rPr>
          <w:rFonts w:ascii="Times New Roman" w:hAnsi="Times New Roman" w:cs="Times New Roman"/>
          <w:sz w:val="24"/>
          <w:szCs w:val="24"/>
          <w:lang w:val="es-PE"/>
        </w:rPr>
      </w:pPr>
      <w:proofErr w:type="gramStart"/>
      <w:r w:rsidRPr="00FB4CAB">
        <w:rPr>
          <w:rFonts w:ascii="Times New Roman" w:hAnsi="Times New Roman" w:cs="Times New Roman"/>
          <w:sz w:val="24"/>
          <w:szCs w:val="24"/>
          <w:lang w:val="es-PE"/>
        </w:rPr>
        <w:t>De acuerdo a</w:t>
      </w:r>
      <w:proofErr w:type="gramEnd"/>
      <w:r w:rsidRPr="00FB4CAB">
        <w:rPr>
          <w:rFonts w:ascii="Times New Roman" w:hAnsi="Times New Roman" w:cs="Times New Roman"/>
          <w:sz w:val="24"/>
          <w:szCs w:val="24"/>
          <w:lang w:val="es-PE"/>
        </w:rPr>
        <w:t xml:space="preserve"> lo anterior, si el reclamante no se encuentra conforme con lo resuelto, esto último no limita la posibilidad de poder recurrir a las instancias correspondientes, a diferencia de la aseguradora que sí queda comprometida con lo resuelto por la DEFASEG.</w:t>
      </w:r>
    </w:p>
    <w:p w:rsidRPr="00FB4CAB" w:rsidR="00FB4CAB" w:rsidP="00FB4CAB" w:rsidRDefault="00FB4CAB" w14:paraId="5E2A9B03" w14:textId="77777777">
      <w:pPr>
        <w:jc w:val="both"/>
        <w:rPr>
          <w:rFonts w:ascii="Times New Roman" w:hAnsi="Times New Roman" w:cs="Times New Roman"/>
          <w:sz w:val="24"/>
          <w:szCs w:val="24"/>
          <w:lang w:val="es-PE"/>
        </w:rPr>
      </w:pPr>
    </w:p>
    <w:p w:rsidRPr="00FB4CAB" w:rsidR="00FB4CAB" w:rsidP="00FB4CAB" w:rsidRDefault="00FB4CAB" w14:paraId="23899CD4" w14:textId="77777777">
      <w:pPr>
        <w:tabs>
          <w:tab w:val="left" w:pos="0"/>
          <w:tab w:val="left" w:pos="2160"/>
        </w:tabs>
        <w:jc w:val="both"/>
        <w:rPr>
          <w:rFonts w:ascii="Times New Roman" w:hAnsi="Times New Roman" w:cs="Times New Roman"/>
          <w:sz w:val="24"/>
          <w:szCs w:val="24"/>
          <w:lang w:val="es-ES"/>
        </w:rPr>
      </w:pPr>
      <w:r w:rsidRPr="00FB4CAB">
        <w:rPr>
          <w:rFonts w:ascii="Times New Roman" w:hAnsi="Times New Roman" w:cs="Times New Roman"/>
          <w:b/>
          <w:sz w:val="24"/>
          <w:szCs w:val="24"/>
          <w:u w:val="single"/>
          <w:lang w:val="es-PE"/>
        </w:rPr>
        <w:lastRenderedPageBreak/>
        <w:t>Segundo</w:t>
      </w:r>
      <w:r w:rsidRPr="00FB4CAB">
        <w:rPr>
          <w:rFonts w:ascii="Times New Roman" w:hAnsi="Times New Roman" w:cs="Times New Roman"/>
          <w:b/>
          <w:sz w:val="24"/>
          <w:szCs w:val="24"/>
          <w:lang w:val="es-PE"/>
        </w:rPr>
        <w:t>:</w:t>
      </w:r>
      <w:r w:rsidRPr="00FB4CAB">
        <w:rPr>
          <w:rFonts w:ascii="Times New Roman" w:hAnsi="Times New Roman" w:cs="Times New Roman"/>
          <w:sz w:val="24"/>
          <w:szCs w:val="24"/>
          <w:lang w:val="es-PE"/>
        </w:rPr>
        <w:t xml:space="preserve"> Atendiendo a los fundamentos de la impugnación interpuesta, se advierte que más allá de sostener que la declaración inexacta no fue dolosa, no se</w:t>
      </w:r>
      <w:r w:rsidRPr="00FB4CAB">
        <w:rPr>
          <w:rFonts w:ascii="Times New Roman" w:hAnsi="Times New Roman" w:cs="Times New Roman"/>
          <w:bCs/>
          <w:sz w:val="24"/>
          <w:szCs w:val="24"/>
          <w:lang w:val="es-PE"/>
        </w:rPr>
        <w:t xml:space="preserve"> ha presentado prueba documental adicional alguna que desautorice lo resuelto, de manera que el </w:t>
      </w:r>
      <w:r w:rsidRPr="00FB4CAB">
        <w:rPr>
          <w:rFonts w:ascii="Times New Roman" w:hAnsi="Times New Roman" w:cs="Times New Roman"/>
          <w:sz w:val="24"/>
          <w:szCs w:val="24"/>
          <w:lang w:val="es-ES"/>
        </w:rPr>
        <w:t xml:space="preserve">recurso impugnativo interpuesto puede ser categorizado, por su contenido mismo, como una solicitud de revisión general, sustentada exclusivamente en el criterio de la reclamante, que esta Defensoría </w:t>
      </w:r>
      <w:proofErr w:type="gramStart"/>
      <w:r w:rsidRPr="00FB4CAB">
        <w:rPr>
          <w:rFonts w:ascii="Times New Roman" w:hAnsi="Times New Roman" w:cs="Times New Roman"/>
          <w:sz w:val="24"/>
          <w:szCs w:val="24"/>
          <w:lang w:val="es-ES"/>
        </w:rPr>
        <w:t>respeta</w:t>
      </w:r>
      <w:proofErr w:type="gramEnd"/>
      <w:r w:rsidRPr="00FB4CAB">
        <w:rPr>
          <w:rFonts w:ascii="Times New Roman" w:hAnsi="Times New Roman" w:cs="Times New Roman"/>
          <w:sz w:val="24"/>
          <w:szCs w:val="24"/>
          <w:lang w:val="es-ES"/>
        </w:rPr>
        <w:t xml:space="preserve"> pero no comparte,  </w:t>
      </w:r>
    </w:p>
    <w:p w:rsidRPr="00FB4CAB" w:rsidR="00FB4CAB" w:rsidP="00FB4CAB" w:rsidRDefault="00FB4CAB" w14:paraId="7CDDA76D" w14:textId="77777777">
      <w:pPr>
        <w:tabs>
          <w:tab w:val="left" w:pos="0"/>
          <w:tab w:val="left" w:pos="2160"/>
        </w:tabs>
        <w:jc w:val="both"/>
        <w:rPr>
          <w:rFonts w:ascii="Times New Roman" w:hAnsi="Times New Roman" w:cs="Times New Roman"/>
          <w:sz w:val="24"/>
          <w:szCs w:val="24"/>
          <w:lang w:val="es-ES"/>
        </w:rPr>
      </w:pPr>
      <w:r w:rsidRPr="00FB4CAB">
        <w:rPr>
          <w:rFonts w:ascii="Times New Roman" w:hAnsi="Times New Roman" w:cs="Times New Roman"/>
          <w:sz w:val="24"/>
          <w:szCs w:val="24"/>
          <w:lang w:val="es-ES"/>
        </w:rPr>
        <w:t>En efecto, es un hecho objetivo que el asegurado no brindó información correcta sobre sus antecedentes de salud; siendo que existían preguntas expresas con casilleros en los que el asegurado podía marcar SI o NO, según correspondiera.</w:t>
      </w:r>
    </w:p>
    <w:p w:rsidRPr="00FB4CAB" w:rsidR="00FB4CAB" w:rsidP="00FB4CAB" w:rsidRDefault="00FB4CAB" w14:paraId="15B65661" w14:textId="77777777">
      <w:pPr>
        <w:tabs>
          <w:tab w:val="left" w:pos="0"/>
          <w:tab w:val="left" w:pos="2160"/>
        </w:tabs>
        <w:jc w:val="both"/>
        <w:rPr>
          <w:rFonts w:ascii="Times New Roman" w:hAnsi="Times New Roman" w:cs="Times New Roman"/>
          <w:sz w:val="24"/>
          <w:szCs w:val="24"/>
          <w:lang w:val="es-ES"/>
        </w:rPr>
      </w:pPr>
      <w:r w:rsidRPr="00FB4CAB">
        <w:rPr>
          <w:rFonts w:ascii="Times New Roman" w:hAnsi="Times New Roman" w:cs="Times New Roman"/>
          <w:sz w:val="24"/>
          <w:szCs w:val="24"/>
          <w:lang w:val="es-ES"/>
        </w:rPr>
        <w:t>Lo que se espera de un asegurado es que proporcione información fidedigna sobre sus antecedentes de salud, no siendo admisible que se invoque que no leyó lo que suscribía, pues el contrato de seguro es uno de máxima buena fe, donde la compañía de seguros asume un riesgo partiendo de la información proporcionada por el propio asegurado. Distinto hubiera sido el caso si la aseguradora no hubiera solicitado un cuestionario de salud.</w:t>
      </w:r>
    </w:p>
    <w:p w:rsidRPr="00FB4CAB" w:rsidR="00FB4CAB" w:rsidP="00FB4CAB" w:rsidRDefault="00FB4CAB" w14:paraId="54265E6F" w14:textId="77777777">
      <w:pPr>
        <w:tabs>
          <w:tab w:val="left" w:pos="0"/>
          <w:tab w:val="left" w:pos="2160"/>
        </w:tabs>
        <w:jc w:val="both"/>
        <w:rPr>
          <w:rFonts w:ascii="Times New Roman" w:hAnsi="Times New Roman" w:cs="Times New Roman"/>
          <w:sz w:val="24"/>
          <w:szCs w:val="24"/>
          <w:lang w:val="es-ES"/>
        </w:rPr>
      </w:pPr>
      <w:r w:rsidRPr="00FB4CAB">
        <w:rPr>
          <w:rFonts w:ascii="Times New Roman" w:hAnsi="Times New Roman" w:cs="Times New Roman"/>
          <w:sz w:val="24"/>
          <w:szCs w:val="24"/>
          <w:lang w:val="es-ES"/>
        </w:rPr>
        <w:t xml:space="preserve">No haber completado adecuadamente el formulario, constituye una actitud dolosa, pues se tuvo la intención de declarar algo que no correspondía a la realidad. Ahora bien, no es por cualquier inexactitud que se puede declarar la nulidad de un contrato de seguro, sino solo tratándose de información inexacta relevante, como es el padecer de hipertensión arterial, y es por ello </w:t>
      </w:r>
      <w:proofErr w:type="gramStart"/>
      <w:r w:rsidRPr="00FB4CAB">
        <w:rPr>
          <w:rFonts w:ascii="Times New Roman" w:hAnsi="Times New Roman" w:cs="Times New Roman"/>
          <w:sz w:val="24"/>
          <w:szCs w:val="24"/>
          <w:lang w:val="es-ES"/>
        </w:rPr>
        <w:t>que</w:t>
      </w:r>
      <w:proofErr w:type="gramEnd"/>
      <w:r w:rsidRPr="00FB4CAB">
        <w:rPr>
          <w:rFonts w:ascii="Times New Roman" w:hAnsi="Times New Roman" w:cs="Times New Roman"/>
          <w:sz w:val="24"/>
          <w:szCs w:val="24"/>
          <w:lang w:val="es-ES"/>
        </w:rPr>
        <w:t xml:space="preserve"> el cuestionario consulta expresamente sobre si se ha requerido atención médica de presión arterial.</w:t>
      </w:r>
    </w:p>
    <w:p w:rsidRPr="00FB4CAB" w:rsidR="00FB4CAB" w:rsidP="00FB4CAB" w:rsidRDefault="00FB4CAB" w14:paraId="5E4684F4" w14:textId="77777777">
      <w:pPr>
        <w:tabs>
          <w:tab w:val="left" w:pos="0"/>
          <w:tab w:val="left" w:pos="2160"/>
        </w:tabs>
        <w:jc w:val="both"/>
        <w:rPr>
          <w:rFonts w:ascii="Times New Roman" w:hAnsi="Times New Roman" w:cs="Times New Roman"/>
          <w:sz w:val="24"/>
          <w:szCs w:val="24"/>
          <w:lang w:val="es-ES"/>
        </w:rPr>
      </w:pPr>
      <w:r w:rsidRPr="00FB4CAB">
        <w:rPr>
          <w:rFonts w:ascii="Times New Roman" w:hAnsi="Times New Roman" w:cs="Times New Roman"/>
          <w:sz w:val="24"/>
          <w:szCs w:val="24"/>
          <w:lang w:val="es-ES"/>
        </w:rPr>
        <w:t>Tan importante es la declaración de un asegurado, que el propio artículo 8 señala que el contrato es nulo no solo cuando existe dolo sino incluso cuando existe culpa inexcusable.</w:t>
      </w:r>
    </w:p>
    <w:p w:rsidRPr="00FB4CAB" w:rsidR="00FB4CAB" w:rsidP="00FB4CAB" w:rsidRDefault="00FB4CAB" w14:paraId="3C7D8947" w14:textId="35BD863E">
      <w:pPr>
        <w:tabs>
          <w:tab w:val="left" w:pos="0"/>
          <w:tab w:val="left" w:pos="2160"/>
        </w:tabs>
        <w:jc w:val="both"/>
        <w:rPr>
          <w:rFonts w:ascii="Times New Roman" w:hAnsi="Times New Roman" w:cs="Times New Roman"/>
          <w:sz w:val="24"/>
          <w:szCs w:val="24"/>
          <w:lang w:val="es-ES"/>
        </w:rPr>
      </w:pPr>
      <w:r w:rsidRPr="00FB4CAB">
        <w:rPr>
          <w:rFonts w:ascii="Times New Roman" w:hAnsi="Times New Roman" w:cs="Times New Roman"/>
          <w:sz w:val="24"/>
          <w:szCs w:val="24"/>
          <w:lang w:val="es-ES"/>
        </w:rPr>
        <w:t>Ahora bien, la recurrente invoca el artículo 15, lo que fue analizado en la resolución impugnada, por lo que a continuación nos remitimos a la misma:</w:t>
      </w:r>
    </w:p>
    <w:p w:rsidRPr="00FB4CAB" w:rsidR="00FB4CAB" w:rsidP="00FB4CAB" w:rsidRDefault="00FB4CAB" w14:paraId="370841E2" w14:textId="77777777">
      <w:pPr>
        <w:tabs>
          <w:tab w:val="left" w:pos="0"/>
          <w:tab w:val="left" w:pos="2160"/>
        </w:tabs>
        <w:ind w:left="720"/>
        <w:jc w:val="both"/>
        <w:rPr>
          <w:rFonts w:ascii="Times New Roman" w:hAnsi="Times New Roman" w:cs="Times New Roman"/>
          <w:sz w:val="24"/>
          <w:szCs w:val="24"/>
          <w:lang w:val="es-ES"/>
        </w:rPr>
      </w:pPr>
      <w:r w:rsidRPr="00FB4CAB">
        <w:rPr>
          <w:rFonts w:ascii="Times New Roman" w:hAnsi="Times New Roman" w:cs="Times New Roman"/>
          <w:sz w:val="24"/>
          <w:szCs w:val="24"/>
          <w:lang w:val="es-PE"/>
        </w:rPr>
        <w:t xml:space="preserve">“Respecto al artículo 15 invocado por </w:t>
      </w:r>
      <w:proofErr w:type="gramStart"/>
      <w:r w:rsidRPr="00FB4CAB">
        <w:rPr>
          <w:rFonts w:ascii="Times New Roman" w:hAnsi="Times New Roman" w:cs="Times New Roman"/>
          <w:sz w:val="24"/>
          <w:szCs w:val="24"/>
          <w:lang w:val="es-PE"/>
        </w:rPr>
        <w:t>la reclamante referido</w:t>
      </w:r>
      <w:proofErr w:type="gramEnd"/>
      <w:r w:rsidRPr="00FB4CAB">
        <w:rPr>
          <w:rFonts w:ascii="Times New Roman" w:hAnsi="Times New Roman" w:cs="Times New Roman"/>
          <w:sz w:val="24"/>
          <w:szCs w:val="24"/>
          <w:lang w:val="es-PE"/>
        </w:rPr>
        <w:t xml:space="preserve"> a la subsistencia del contrato de seguro, el mismo solo aplica cuando no media dolo o cuando la declaración inexacta no dolosa no influyó en la producción del siniestro. Cabe señalar que en este caso el asegurado fallece lamentablemente de covid-19, siendo que la hipertensión arterial que presentaba pudo haber influido en el lamentable desenlace, pues ha sido referida por varios estudios como una de las condiciones que influyen en un desenlace fatal de Covid-19, empeorando su pronóstico.””</w:t>
      </w:r>
    </w:p>
    <w:p w:rsidRPr="00FB4CAB" w:rsidR="00FB4CAB" w:rsidP="00FB4CAB" w:rsidRDefault="00FB4CAB" w14:paraId="36A0552A" w14:textId="77777777">
      <w:pPr>
        <w:tabs>
          <w:tab w:val="left" w:pos="0"/>
          <w:tab w:val="left" w:pos="2160"/>
        </w:tabs>
        <w:jc w:val="both"/>
        <w:rPr>
          <w:rFonts w:ascii="Times New Roman" w:hAnsi="Times New Roman" w:cs="Times New Roman"/>
          <w:sz w:val="24"/>
          <w:szCs w:val="24"/>
          <w:lang w:val="es-ES"/>
        </w:rPr>
      </w:pPr>
      <w:r w:rsidRPr="00FB4CAB">
        <w:rPr>
          <w:rFonts w:ascii="Times New Roman" w:hAnsi="Times New Roman" w:cs="Times New Roman"/>
          <w:sz w:val="24"/>
          <w:szCs w:val="24"/>
          <w:lang w:val="es-ES"/>
        </w:rPr>
        <w:t xml:space="preserve">Este colegiado, considera que existió dolo, entendido como el haber brindado conscientemente información que no se correspondía a la realidad ante la existencia de una pregunta expresa; lo que impidió que la aseguradora pueda evaluar adecuadamente el riesgo y en su caso modificar las condiciones del seguro o no otorgarlo. No obstante, aun en el supuesto que se hubiera concluido que existió culpa inexcusable, está documentado que la hipertensión arterial sí es un elemento que agrava el riesgo de mortalidad en los pacientes con Covid-19. </w:t>
      </w:r>
    </w:p>
    <w:p w:rsidRPr="00FB4CAB" w:rsidR="00FB4CAB" w:rsidP="00FB4CAB" w:rsidRDefault="00FB4CAB" w14:paraId="73D97943" w14:textId="77777777">
      <w:pPr>
        <w:tabs>
          <w:tab w:val="left" w:pos="2160"/>
        </w:tabs>
        <w:jc w:val="both"/>
        <w:rPr>
          <w:rFonts w:ascii="Times New Roman" w:hAnsi="Times New Roman" w:cs="Times New Roman"/>
          <w:sz w:val="24"/>
          <w:szCs w:val="24"/>
          <w:lang w:val="es-ES"/>
        </w:rPr>
      </w:pPr>
      <w:r w:rsidRPr="00FB4CAB">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para revocar la resolución recurrida; por lo tanto,</w:t>
      </w:r>
    </w:p>
    <w:p w:rsidRPr="00FB4CAB" w:rsidR="00FB4CAB" w:rsidP="00FB4CAB" w:rsidRDefault="00FB4CAB" w14:paraId="790DFFEA" w14:textId="77777777">
      <w:pPr>
        <w:jc w:val="both"/>
        <w:rPr>
          <w:rFonts w:ascii="Times New Roman" w:hAnsi="Times New Roman" w:eastAsia="Times New Roman" w:cs="Times New Roman"/>
          <w:bCs/>
          <w:sz w:val="24"/>
          <w:szCs w:val="24"/>
          <w:lang w:val="es-ES" w:eastAsia="ar-SA"/>
        </w:rPr>
      </w:pPr>
    </w:p>
    <w:p w:rsidRPr="00A446D0" w:rsidR="00FB4CAB" w:rsidP="00FB4CAB" w:rsidRDefault="00FB4CAB" w14:paraId="291FA886" w14:textId="77777777">
      <w:pPr>
        <w:jc w:val="both"/>
        <w:rPr>
          <w:rFonts w:ascii="Times New Roman" w:hAnsi="Times New Roman" w:cs="Times New Roman"/>
          <w:b/>
          <w:sz w:val="24"/>
          <w:szCs w:val="24"/>
          <w:lang w:val="es-PE"/>
        </w:rPr>
      </w:pPr>
      <w:r w:rsidRPr="00FB4CAB">
        <w:rPr>
          <w:rFonts w:ascii="Times New Roman" w:hAnsi="Times New Roman" w:cs="Times New Roman"/>
          <w:b/>
          <w:sz w:val="24"/>
          <w:szCs w:val="24"/>
          <w:lang w:val="es-PE"/>
        </w:rPr>
        <w:lastRenderedPageBreak/>
        <w:t>Ate</w:t>
      </w:r>
      <w:r w:rsidRPr="00A446D0">
        <w:rPr>
          <w:rFonts w:ascii="Times New Roman" w:hAnsi="Times New Roman" w:cs="Times New Roman"/>
          <w:b/>
          <w:sz w:val="24"/>
          <w:szCs w:val="24"/>
          <w:lang w:val="es-PE"/>
        </w:rPr>
        <w:t>ndiendo a lo expresado, conforme a su reglamento, este colegiado resuelve:</w:t>
      </w:r>
    </w:p>
    <w:p w:rsidRPr="00A446D0" w:rsidR="00FB4CAB" w:rsidP="00FB4CAB" w:rsidRDefault="00FB4CAB" w14:paraId="57294233" w14:textId="699314EE">
      <w:pPr>
        <w:jc w:val="both"/>
        <w:rPr>
          <w:rFonts w:ascii="Times New Roman" w:hAnsi="Times New Roman" w:eastAsia="Arial Unicode MS" w:cs="Times New Roman"/>
          <w:sz w:val="24"/>
          <w:szCs w:val="24"/>
          <w:lang w:val="es-PE"/>
        </w:rPr>
      </w:pPr>
      <w:r w:rsidRPr="7FABD873" w:rsidR="00FB4CAB">
        <w:rPr>
          <w:rFonts w:ascii="Times New Roman" w:hAnsi="Times New Roman" w:eastAsia="Arial Unicode MS" w:cs="Times New Roman"/>
          <w:b w:val="1"/>
          <w:bCs w:val="1"/>
          <w:sz w:val="24"/>
          <w:szCs w:val="24"/>
          <w:lang w:val="es-PE"/>
        </w:rPr>
        <w:t xml:space="preserve">Declarar INFUNDADO el recurso impugnativo </w:t>
      </w:r>
      <w:r w:rsidRPr="7FABD873" w:rsidR="00FB4CAB">
        <w:rPr>
          <w:rFonts w:ascii="Times New Roman" w:hAnsi="Times New Roman" w:eastAsia="Arial Unicode MS" w:cs="Times New Roman"/>
          <w:sz w:val="24"/>
          <w:szCs w:val="24"/>
          <w:lang w:val="es-PE"/>
        </w:rPr>
        <w:t xml:space="preserve">interpuesto por doña </w:t>
      </w:r>
      <w:r w:rsidRPr="7FABD873" w:rsidR="3FCC6FC6">
        <w:rPr>
          <w:rFonts w:ascii="Times New Roman" w:hAnsi="Times New Roman" w:eastAsia="Arial Unicode MS" w:cs="Times New Roman"/>
          <w:sz w:val="24"/>
          <w:szCs w:val="24"/>
          <w:lang w:val="es-PE"/>
        </w:rPr>
        <w:t>..........................................................</w:t>
      </w:r>
      <w:r w:rsidRPr="7FABD873" w:rsidR="00FB4CAB">
        <w:rPr>
          <w:rFonts w:ascii="Times New Roman" w:hAnsi="Times New Roman" w:eastAsia="Arial Unicode MS" w:cs="Times New Roman"/>
          <w:sz w:val="24"/>
          <w:szCs w:val="24"/>
          <w:lang w:val="es-PE"/>
        </w:rPr>
        <w:t xml:space="preserve"> y</w:t>
      </w:r>
      <w:r w:rsidRPr="7FABD873" w:rsidR="00FB4CAB">
        <w:rPr>
          <w:rFonts w:ascii="Times New Roman" w:hAnsi="Times New Roman" w:cs="Times New Roman"/>
          <w:sz w:val="24"/>
          <w:szCs w:val="24"/>
          <w:lang w:val="es-ES"/>
        </w:rPr>
        <w:t>, por consiguiente, ratificar</w:t>
      </w:r>
      <w:r w:rsidRPr="7FABD873" w:rsidR="00FB4CAB">
        <w:rPr>
          <w:rFonts w:ascii="Times New Roman" w:hAnsi="Times New Roman" w:eastAsia="Times New Roman" w:cs="Times New Roman"/>
          <w:sz w:val="24"/>
          <w:szCs w:val="24"/>
          <w:lang w:val="es-ES" w:eastAsia="ar-SA"/>
        </w:rPr>
        <w:t xml:space="preserve"> la Resolución Nro. 020/22 de fecha 09 de febrero de 2022, dejando a salvo el derecho de la reclamante de recurrir ante las instancias que estime convenientes.</w:t>
      </w:r>
    </w:p>
    <w:p w:rsidRPr="00A446D0" w:rsidR="00077B6F" w:rsidP="00C671F5" w:rsidRDefault="0091528B" w14:paraId="78A39B5B" w14:textId="02E9B4D1">
      <w:pPr>
        <w:suppressAutoHyphens/>
        <w:spacing w:after="0" w:line="240" w:lineRule="auto"/>
        <w:jc w:val="right"/>
        <w:outlineLvl w:val="0"/>
        <w:rPr>
          <w:rFonts w:ascii="Times New Roman" w:hAnsi="Times New Roman" w:eastAsia="Arial Unicode MS" w:cs="Times New Roman"/>
          <w:sz w:val="24"/>
          <w:szCs w:val="24"/>
          <w:lang w:val="es-PE" w:eastAsia="ar-SA"/>
        </w:rPr>
      </w:pPr>
      <w:r w:rsidRPr="00A446D0">
        <w:rPr>
          <w:rFonts w:ascii="Times New Roman" w:hAnsi="Times New Roman" w:eastAsia="Arial Unicode MS" w:cs="Times New Roman"/>
          <w:sz w:val="24"/>
          <w:szCs w:val="24"/>
          <w:lang w:val="es-PE" w:eastAsia="ar-SA"/>
        </w:rPr>
        <w:t xml:space="preserve">Lima, </w:t>
      </w:r>
      <w:r w:rsidRPr="00A446D0" w:rsidR="00A244A1">
        <w:rPr>
          <w:rFonts w:ascii="Times New Roman" w:hAnsi="Times New Roman" w:eastAsia="Arial Unicode MS" w:cs="Times New Roman"/>
          <w:sz w:val="24"/>
          <w:szCs w:val="24"/>
          <w:lang w:val="es-PE" w:eastAsia="ar-SA"/>
        </w:rPr>
        <w:t>14</w:t>
      </w:r>
      <w:r w:rsidRPr="00A446D0" w:rsidR="00707C99">
        <w:rPr>
          <w:rFonts w:ascii="Times New Roman" w:hAnsi="Times New Roman" w:eastAsia="Arial Unicode MS" w:cs="Times New Roman"/>
          <w:sz w:val="24"/>
          <w:szCs w:val="24"/>
          <w:lang w:val="es-PE" w:eastAsia="ar-SA"/>
        </w:rPr>
        <w:t xml:space="preserve"> de </w:t>
      </w:r>
      <w:r w:rsidRPr="00A446D0" w:rsidR="002C1B87">
        <w:rPr>
          <w:rFonts w:ascii="Times New Roman" w:hAnsi="Times New Roman" w:eastAsia="Arial Unicode MS" w:cs="Times New Roman"/>
          <w:sz w:val="24"/>
          <w:szCs w:val="24"/>
          <w:lang w:val="es-PE" w:eastAsia="ar-SA"/>
        </w:rPr>
        <w:t>marzo</w:t>
      </w:r>
      <w:r w:rsidRPr="00A446D0" w:rsidR="00F06498">
        <w:rPr>
          <w:rFonts w:ascii="Times New Roman" w:hAnsi="Times New Roman" w:eastAsia="Arial Unicode MS" w:cs="Times New Roman"/>
          <w:sz w:val="24"/>
          <w:szCs w:val="24"/>
          <w:lang w:val="es-PE" w:eastAsia="ar-SA"/>
        </w:rPr>
        <w:t xml:space="preserve"> de 202</w:t>
      </w:r>
      <w:r w:rsidRPr="00A446D0" w:rsidR="00B93C7A">
        <w:rPr>
          <w:rFonts w:ascii="Times New Roman" w:hAnsi="Times New Roman" w:eastAsia="Arial Unicode MS" w:cs="Times New Roman"/>
          <w:sz w:val="24"/>
          <w:szCs w:val="24"/>
          <w:lang w:val="es-PE" w:eastAsia="ar-SA"/>
        </w:rPr>
        <w:t>2</w:t>
      </w:r>
      <w:r w:rsidRPr="00A446D0" w:rsidR="00707C99">
        <w:rPr>
          <w:rFonts w:ascii="Times New Roman" w:hAnsi="Times New Roman" w:eastAsia="Times New Roman" w:cs="Times New Roman"/>
          <w:sz w:val="24"/>
          <w:szCs w:val="24"/>
          <w:lang w:val="es-PE" w:eastAsia="ar-SA"/>
        </w:rPr>
        <w:t xml:space="preserve"> </w:t>
      </w:r>
    </w:p>
    <w:p w:rsidRPr="00A446D0"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A446D0"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446D0"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A446D0">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446D0"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A446D0"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A446D0">
        <w:rPr>
          <w:rFonts w:ascii="Times New Roman" w:hAnsi="Times New Roman" w:cs="Times New Roman"/>
          <w:b/>
          <w:bCs/>
          <w:sz w:val="24"/>
          <w:szCs w:val="24"/>
          <w:lang w:val="es-PE"/>
        </w:rPr>
        <w:t xml:space="preserve">María Eugenia Valdez Fernández Baca – </w:t>
      </w:r>
      <w:proofErr w:type="gramStart"/>
      <w:r w:rsidRPr="00A446D0">
        <w:rPr>
          <w:rFonts w:ascii="Times New Roman" w:hAnsi="Times New Roman" w:cs="Times New Roman"/>
          <w:b/>
          <w:bCs/>
          <w:sz w:val="24"/>
          <w:szCs w:val="24"/>
          <w:lang w:val="es-PE"/>
        </w:rPr>
        <w:t>Presidente</w:t>
      </w:r>
      <w:proofErr w:type="gramEnd"/>
    </w:p>
    <w:p w:rsidRPr="00A446D0"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A446D0">
        <w:rPr>
          <w:rFonts w:ascii="Times New Roman" w:hAnsi="Times New Roman" w:cs="Times New Roman"/>
          <w:b/>
          <w:bCs/>
          <w:sz w:val="24"/>
          <w:szCs w:val="24"/>
          <w:lang w:val="es-PE"/>
        </w:rPr>
        <w:t xml:space="preserve">Rolando Eyzaguirre </w:t>
      </w:r>
      <w:proofErr w:type="spellStart"/>
      <w:r w:rsidRPr="00A446D0">
        <w:rPr>
          <w:rFonts w:ascii="Times New Roman" w:hAnsi="Times New Roman" w:cs="Times New Roman"/>
          <w:b/>
          <w:bCs/>
          <w:sz w:val="24"/>
          <w:szCs w:val="24"/>
          <w:lang w:val="es-PE"/>
        </w:rPr>
        <w:t>Maccan</w:t>
      </w:r>
      <w:proofErr w:type="spellEnd"/>
      <w:r w:rsidRPr="00A446D0">
        <w:rPr>
          <w:rFonts w:ascii="Times New Roman" w:hAnsi="Times New Roman" w:cs="Times New Roman"/>
          <w:b/>
          <w:bCs/>
          <w:sz w:val="24"/>
          <w:szCs w:val="24"/>
          <w:lang w:val="es-PE"/>
        </w:rPr>
        <w:t xml:space="preserve"> – Vocal</w:t>
      </w:r>
    </w:p>
    <w:p w:rsidRPr="00A446D0"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A446D0">
        <w:rPr>
          <w:rFonts w:ascii="Times New Roman" w:hAnsi="Times New Roman" w:cs="Times New Roman"/>
          <w:b/>
          <w:bCs/>
          <w:sz w:val="24"/>
          <w:szCs w:val="24"/>
          <w:lang w:val="es-PE"/>
        </w:rPr>
        <w:t>Marco Antonio Ortega Piana – Vocal</w:t>
      </w:r>
    </w:p>
    <w:p w:rsidRPr="00A446D0"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A446D0">
        <w:rPr>
          <w:rFonts w:ascii="Times New Roman" w:hAnsi="Times New Roman" w:cs="Times New Roman"/>
          <w:b/>
          <w:bCs/>
          <w:sz w:val="24"/>
          <w:szCs w:val="24"/>
          <w:lang w:val="es-PE"/>
        </w:rPr>
        <w:t>Gonzalo Abad del Busto – Vocal</w:t>
      </w:r>
    </w:p>
    <w:p w:rsidRPr="00A446D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6BA4" w:rsidP="00784355" w:rsidRDefault="007F6BA4" w14:paraId="1EA97A97" w14:textId="77777777">
      <w:pPr>
        <w:spacing w:after="0" w:line="240" w:lineRule="auto"/>
      </w:pPr>
      <w:r>
        <w:separator/>
      </w:r>
    </w:p>
  </w:endnote>
  <w:endnote w:type="continuationSeparator" w:id="0">
    <w:p w:rsidR="007F6BA4" w:rsidP="00784355" w:rsidRDefault="007F6BA4" w14:paraId="6D6A3D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F6BA4" w:rsidP="00784355" w:rsidRDefault="007F6BA4" w14:paraId="49433928" w14:textId="77777777">
      <w:pPr>
        <w:spacing w:after="0" w:line="240" w:lineRule="auto"/>
      </w:pPr>
      <w:r>
        <w:separator/>
      </w:r>
    </w:p>
  </w:footnote>
  <w:footnote w:type="continuationSeparator" w:id="0">
    <w:p w:rsidR="007F6BA4" w:rsidP="00784355" w:rsidRDefault="007F6BA4" w14:paraId="6B19C49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1"/>
  </w:num>
  <w:num w:numId="2">
    <w:abstractNumId w:val="6"/>
  </w:num>
  <w:num w:numId="3">
    <w:abstractNumId w:val="3"/>
  </w:num>
  <w:num w:numId="4">
    <w:abstractNumId w:val="2"/>
  </w:num>
  <w:num w:numId="5">
    <w:abstractNumId w:val="4"/>
  </w:num>
  <w:num w:numId="6">
    <w:abstractNumId w:val="0"/>
  </w:num>
  <w:num w:numId="7">
    <w:abstractNumId w:val="7"/>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65E3"/>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3D6F"/>
    <w:rsid w:val="000F6340"/>
    <w:rsid w:val="0011308C"/>
    <w:rsid w:val="001230C6"/>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7E2E"/>
    <w:rsid w:val="002B726E"/>
    <w:rsid w:val="002C1B87"/>
    <w:rsid w:val="002C2A0F"/>
    <w:rsid w:val="002D0DB0"/>
    <w:rsid w:val="002D3B01"/>
    <w:rsid w:val="002E1221"/>
    <w:rsid w:val="002E17F9"/>
    <w:rsid w:val="002F09CA"/>
    <w:rsid w:val="002F35F0"/>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52030"/>
    <w:rsid w:val="00A57F06"/>
    <w:rsid w:val="00A62BEC"/>
    <w:rsid w:val="00A658C1"/>
    <w:rsid w:val="00A734AD"/>
    <w:rsid w:val="00A837A0"/>
    <w:rsid w:val="00A90926"/>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24FD"/>
    <w:rsid w:val="00DF3781"/>
    <w:rsid w:val="00DF6E69"/>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B4CAB"/>
    <w:rsid w:val="00FC0D10"/>
    <w:rsid w:val="00FC1934"/>
    <w:rsid w:val="00FC619D"/>
    <w:rsid w:val="00FE38F0"/>
    <w:rsid w:val="00FE43A9"/>
    <w:rsid w:val="00FF41F3"/>
    <w:rsid w:val="3FCC6FC6"/>
    <w:rsid w:val="44B4061B"/>
    <w:rsid w:val="58C0D989"/>
    <w:rsid w:val="5BD19BA3"/>
    <w:rsid w:val="7FABD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4E02D6A-FE00-4A9E-A7A9-3EB04EFA3A4B}"/>
</file>

<file path=customXml/itemProps3.xml><?xml version="1.0" encoding="utf-8"?>
<ds:datastoreItem xmlns:ds="http://schemas.openxmlformats.org/officeDocument/2006/customXml" ds:itemID="{C0F767C0-27BD-4C2E-A33C-6E543463E2C0}"/>
</file>

<file path=customXml/itemProps4.xml><?xml version="1.0" encoding="utf-8"?>
<ds:datastoreItem xmlns:ds="http://schemas.openxmlformats.org/officeDocument/2006/customXml" ds:itemID="{BA398EB5-1F5C-4703-894F-5A670CE6DD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51</cp:revision>
  <cp:lastPrinted>2022-03-14T21:34:00Z</cp:lastPrinted>
  <dcterms:created xsi:type="dcterms:W3CDTF">2020-12-18T20:17:00Z</dcterms:created>
  <dcterms:modified xsi:type="dcterms:W3CDTF">2025-11-25T21:20:52Z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