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2C4A" w:rsidR="00707C99" w:rsidP="00272F4F" w:rsidRDefault="00201C0D" w14:paraId="19FE0E96" w14:textId="2114ED44">
      <w:pPr>
        <w:spacing w:after="0" w:line="240" w:lineRule="auto"/>
        <w:jc w:val="center"/>
        <w:rPr>
          <w:rFonts w:ascii="Times New Roman" w:hAnsi="Times New Roman" w:cs="Times New Roman"/>
          <w:b/>
          <w:sz w:val="24"/>
          <w:szCs w:val="24"/>
          <w:lang w:val="es-PE" w:eastAsia="ar-SA"/>
        </w:rPr>
      </w:pPr>
      <w:r w:rsidRPr="00E02C4A">
        <w:rPr>
          <w:rFonts w:ascii="Times New Roman" w:hAnsi="Times New Roman" w:cs="Times New Roman"/>
          <w:b/>
          <w:sz w:val="24"/>
          <w:szCs w:val="24"/>
          <w:lang w:val="es-PE" w:eastAsia="ar-SA"/>
        </w:rPr>
        <w:t xml:space="preserve">RESOLUCIÓN DE RECURSO IMPUGNATIVO </w:t>
      </w:r>
      <w:r w:rsidRPr="00E02C4A" w:rsidR="00707C99">
        <w:rPr>
          <w:rFonts w:ascii="Times New Roman" w:hAnsi="Times New Roman" w:cs="Times New Roman"/>
          <w:b/>
          <w:sz w:val="24"/>
          <w:szCs w:val="24"/>
          <w:lang w:val="es-PE" w:eastAsia="ar-SA"/>
        </w:rPr>
        <w:t xml:space="preserve">N° </w:t>
      </w:r>
      <w:r w:rsidRPr="00E02C4A" w:rsidR="00C671F5">
        <w:rPr>
          <w:rFonts w:ascii="Times New Roman" w:hAnsi="Times New Roman" w:cs="Times New Roman"/>
          <w:b/>
          <w:sz w:val="24"/>
          <w:szCs w:val="24"/>
          <w:lang w:val="es-PE" w:eastAsia="ar-SA"/>
        </w:rPr>
        <w:t>0</w:t>
      </w:r>
      <w:r w:rsidRPr="00E02C4A" w:rsidR="0000335D">
        <w:rPr>
          <w:rFonts w:ascii="Times New Roman" w:hAnsi="Times New Roman" w:cs="Times New Roman"/>
          <w:b/>
          <w:sz w:val="24"/>
          <w:szCs w:val="24"/>
          <w:lang w:val="es-PE" w:eastAsia="ar-SA"/>
        </w:rPr>
        <w:t>1</w:t>
      </w:r>
      <w:r w:rsidR="00F73EC5">
        <w:rPr>
          <w:rFonts w:ascii="Times New Roman" w:hAnsi="Times New Roman" w:cs="Times New Roman"/>
          <w:b/>
          <w:sz w:val="24"/>
          <w:szCs w:val="24"/>
          <w:lang w:val="es-PE" w:eastAsia="ar-SA"/>
        </w:rPr>
        <w:t>8</w:t>
      </w:r>
      <w:r w:rsidRPr="00E02C4A" w:rsidR="00C671F5">
        <w:rPr>
          <w:rFonts w:ascii="Times New Roman" w:hAnsi="Times New Roman" w:cs="Times New Roman"/>
          <w:b/>
          <w:sz w:val="24"/>
          <w:szCs w:val="24"/>
          <w:lang w:val="es-PE" w:eastAsia="ar-SA"/>
        </w:rPr>
        <w:t>/2</w:t>
      </w:r>
      <w:r w:rsidRPr="00E02C4A" w:rsidR="00B93C7A">
        <w:rPr>
          <w:rFonts w:ascii="Times New Roman" w:hAnsi="Times New Roman" w:cs="Times New Roman"/>
          <w:b/>
          <w:sz w:val="24"/>
          <w:szCs w:val="24"/>
          <w:lang w:val="es-PE" w:eastAsia="ar-SA"/>
        </w:rPr>
        <w:t>2</w:t>
      </w:r>
    </w:p>
    <w:p w:rsidRPr="00E02C4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002A481F" w:rsidP="002A481F" w:rsidRDefault="002A481F" w14:paraId="058EBFEF"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2A481F" w:rsidP="002A481F" w:rsidRDefault="002A481F" w14:paraId="5065E580" w14:textId="24029342">
      <w:pPr>
        <w:pStyle w:val="Default"/>
        <w:jc w:val="both"/>
        <w:rPr>
          <w:rFonts w:ascii="Times New Roman" w:hAnsi="Times New Roman" w:cs="Times New Roman"/>
          <w:b w:val="1"/>
          <w:bCs w:val="1"/>
        </w:rPr>
      </w:pPr>
      <w:r w:rsidRPr="59B7D58A" w:rsidR="002A481F">
        <w:rPr>
          <w:rFonts w:ascii="Times New Roman" w:hAnsi="Times New Roman" w:cs="Times New Roman"/>
        </w:rPr>
        <w:t xml:space="preserve">El recurso de impugnación presentado por </w:t>
      </w:r>
      <w:r w:rsidRPr="59B7D58A" w:rsidR="52696D8E">
        <w:rPr>
          <w:rFonts w:ascii="Times New Roman" w:hAnsi="Times New Roman" w:cs="Times New Roman"/>
          <w:b w:val="1"/>
          <w:bCs w:val="1"/>
        </w:rPr>
        <w:t>.............................................................</w:t>
      </w:r>
      <w:r w:rsidRPr="59B7D58A" w:rsidR="002A481F">
        <w:rPr>
          <w:b w:val="1"/>
          <w:bCs w:val="1"/>
        </w:rPr>
        <w:t xml:space="preserve"> </w:t>
      </w:r>
      <w:r w:rsidRPr="59B7D58A" w:rsidR="002A481F">
        <w:rPr>
          <w:rFonts w:ascii="Times New Roman" w:hAnsi="Times New Roman" w:cs="Times New Roman"/>
        </w:rPr>
        <w:t>respecto de la Resolución Nro. 022/2022, expedida por la Defensoría del Asegurado y, conforme a la cual se declaró INFUNDADA la reclamación interpuesta contra</w:t>
      </w:r>
      <w:r w:rsidRPr="59B7D58A" w:rsidR="002A481F">
        <w:rPr>
          <w:rFonts w:ascii="Times New Roman" w:hAnsi="Times New Roman" w:cs="Times New Roman"/>
          <w:b w:val="1"/>
          <w:bCs w:val="1"/>
          <w:lang w:val="es-MX"/>
        </w:rPr>
        <w:t xml:space="preserve"> </w:t>
      </w:r>
      <w:r w:rsidRPr="59B7D58A" w:rsidR="67E16D2C">
        <w:rPr>
          <w:rFonts w:ascii="Times New Roman" w:hAnsi="Times New Roman" w:cs="Times New Roman"/>
          <w:b w:val="1"/>
          <w:bCs w:val="1"/>
          <w:lang w:val="es-MX"/>
        </w:rPr>
        <w:t>...........................................</w:t>
      </w:r>
      <w:r w:rsidRPr="59B7D58A" w:rsidR="002A481F">
        <w:rPr>
          <w:rFonts w:ascii="Times New Roman" w:hAnsi="Times New Roman" w:cs="Times New Roman"/>
          <w:lang w:val="es-MX"/>
        </w:rPr>
        <w:t xml:space="preserve"> </w:t>
      </w:r>
      <w:r w:rsidRPr="59B7D58A" w:rsidR="002A481F">
        <w:rPr>
          <w:rFonts w:ascii="Times New Roman" w:hAnsi="Times New Roman" w:cs="Times New Roman"/>
        </w:rPr>
        <w:t>en relación con el</w:t>
      </w:r>
      <w:r w:rsidRPr="59B7D58A" w:rsidR="002A481F">
        <w:rPr>
          <w:rFonts w:ascii="Times New Roman" w:hAnsi="Times New Roman" w:cs="Times New Roman"/>
          <w:b w:val="1"/>
          <w:bCs w:val="1"/>
          <w:lang w:val="es-MX"/>
        </w:rPr>
        <w:t xml:space="preserve"> </w:t>
      </w:r>
      <w:r w:rsidRPr="59B7D58A" w:rsidR="002A481F">
        <w:rPr>
          <w:rFonts w:ascii="Times New Roman" w:hAnsi="Times New Roman" w:cs="Times New Roman"/>
          <w:b w:val="1"/>
          <w:bCs w:val="1"/>
        </w:rPr>
        <w:t>SEGURO DE PROTECCIÓN DE TARJETAS.</w:t>
      </w:r>
    </w:p>
    <w:p w:rsidR="002A481F" w:rsidP="002A481F" w:rsidRDefault="002A481F" w14:paraId="702249BF" w14:textId="77777777">
      <w:pPr>
        <w:pStyle w:val="Default"/>
        <w:jc w:val="both"/>
        <w:rPr>
          <w:rFonts w:ascii="Times New Roman" w:hAnsi="Times New Roman" w:cs="Times New Roman"/>
        </w:rPr>
      </w:pPr>
    </w:p>
    <w:p w:rsidR="002A481F" w:rsidP="002A481F" w:rsidRDefault="002A481F" w14:paraId="6E7413F4" w14:textId="227A0FEA">
      <w:pPr>
        <w:pStyle w:val="Textoindependiente"/>
        <w:rPr>
          <w:lang w:val="es-PE"/>
        </w:rPr>
      </w:pPr>
      <w:r w:rsidR="002A481F">
        <w:rPr/>
        <w:t xml:space="preserve">Que, el indicado recurso se sustenta resumidamente en lo siguiente: a) señala que el </w:t>
      </w:r>
      <w:r w:rsidRPr="59B7D58A" w:rsidR="002A481F">
        <w:rPr>
          <w:lang w:val="es-PE"/>
        </w:rPr>
        <w:t xml:space="preserve">contrato del seguro de Protección de Tarjeta Plus presentado se lo entregó el mismo banco y no fue descargado de la web como indica </w:t>
      </w:r>
      <w:r w:rsidRPr="59B7D58A" w:rsidR="67E16D2C">
        <w:rPr>
          <w:lang w:val="es-PE"/>
        </w:rPr>
        <w:t>...........................................</w:t>
      </w:r>
      <w:r w:rsidRPr="59B7D58A" w:rsidR="002A481F">
        <w:rPr>
          <w:lang w:val="es-PE"/>
        </w:rPr>
        <w:t xml:space="preserve">, el cual contiene más beneficios; b)  de acuerdo al aplicativo móvil </w:t>
      </w:r>
      <w:r w:rsidRPr="59B7D58A" w:rsidR="4F9E8EBA">
        <w:rPr>
          <w:lang w:val="es-PE"/>
        </w:rPr>
        <w:t>.................</w:t>
      </w:r>
      <w:r w:rsidRPr="59B7D58A" w:rsidR="002A481F">
        <w:rPr>
          <w:lang w:val="es-PE"/>
        </w:rPr>
        <w:t>, no</w:t>
      </w:r>
      <w:r w:rsidRPr="59B7D58A" w:rsidR="002A481F">
        <w:rPr>
          <w:b w:val="1"/>
          <w:bCs w:val="1"/>
          <w:lang w:val="es-PE"/>
        </w:rPr>
        <w:t xml:space="preserve"> </w:t>
      </w:r>
      <w:r w:rsidRPr="59B7D58A" w:rsidR="002A481F">
        <w:rPr>
          <w:lang w:val="es-PE"/>
        </w:rPr>
        <w:t>figura la póliza Nº</w:t>
      </w:r>
      <w:r w:rsidRPr="59B7D58A" w:rsidR="218B6E6F">
        <w:rPr>
          <w:lang w:val="es-PE"/>
        </w:rPr>
        <w:t>.................</w:t>
      </w:r>
      <w:r w:rsidRPr="59B7D58A" w:rsidR="002A481F">
        <w:rPr>
          <w:lang w:val="es-PE"/>
        </w:rPr>
        <w:t>, pero sí la Póliza Protección de Tarjeta Plus y ambas tienen el mismo costo, lo cual contribuye a que crezca más la poca claridad en dichos contratos; c) centrándose en la póliza Nº</w:t>
      </w:r>
      <w:r w:rsidRPr="59B7D58A" w:rsidR="218B6E6F">
        <w:rPr>
          <w:lang w:val="es-PE"/>
        </w:rPr>
        <w:t>.................</w:t>
      </w:r>
      <w:r w:rsidRPr="59B7D58A" w:rsidR="002A481F">
        <w:rPr>
          <w:lang w:val="es-PE"/>
        </w:rPr>
        <w:t xml:space="preserve">, </w:t>
      </w:r>
      <w:r w:rsidRPr="59B7D58A" w:rsidR="67E16D2C">
        <w:rPr>
          <w:lang w:val="es-PE"/>
        </w:rPr>
        <w:t>...........................................</w:t>
      </w:r>
      <w:r w:rsidRPr="59B7D58A" w:rsidR="002A481F">
        <w:rPr>
          <w:lang w:val="es-PE"/>
        </w:rPr>
        <w:t xml:space="preserve"> tiene un error en su cálculo de medición de distancia.  El vehículo agresor con fachada de mototaxi fue abordado por su persona en el cruce de las avenidas Alfredo Mendiola y Av. El Zinc. La distancia del cajero debe ser medida desde que abordo el vehículo agresor y no cuando le expulsan de él. Adjunta el metraje de la distancia y demuestra que se encuentra dentro de los límites establecidos (200mt) en el contrato de la póliza </w:t>
      </w:r>
      <w:r w:rsidRPr="59B7D58A" w:rsidR="002A481F">
        <w:rPr>
          <w:lang w:val="es-PE"/>
        </w:rPr>
        <w:t>Nº</w:t>
      </w:r>
      <w:r w:rsidRPr="59B7D58A" w:rsidR="002A481F">
        <w:rPr>
          <w:lang w:val="es-PE"/>
        </w:rPr>
        <w:t xml:space="preserve"> </w:t>
      </w:r>
      <w:r w:rsidRPr="59B7D58A" w:rsidR="218B6E6F">
        <w:rPr>
          <w:lang w:val="es-PE"/>
        </w:rPr>
        <w:t>.................</w:t>
      </w:r>
      <w:r w:rsidRPr="59B7D58A" w:rsidR="002A481F">
        <w:rPr>
          <w:lang w:val="es-PE"/>
        </w:rPr>
        <w:t xml:space="preserve"> el cual asciende a 82.12 metros.</w:t>
      </w:r>
    </w:p>
    <w:p w:rsidR="002A481F" w:rsidP="002A481F" w:rsidRDefault="002A481F" w14:paraId="762E634F" w14:textId="77777777">
      <w:pPr>
        <w:pStyle w:val="Textoindependiente"/>
      </w:pPr>
    </w:p>
    <w:p w:rsidR="002A481F" w:rsidP="002A481F" w:rsidRDefault="002A481F" w14:paraId="6CA4CEA6" w14:textId="060792BC">
      <w:pPr>
        <w:pStyle w:val="Textoindependiente"/>
        <w:rPr>
          <w:color w:val="000000"/>
          <w:lang w:val="es-PE" w:eastAsia="es-PE"/>
        </w:rPr>
      </w:pPr>
      <w:r w:rsidR="002A481F">
        <w:rPr/>
        <w:t xml:space="preserve">Que, la aseguradora absolvió el traslado del recurso impugnatorio indicando, en síntesis, lo siguiente: a) </w:t>
      </w:r>
      <w:r w:rsidRPr="59B7D58A" w:rsidR="002A481F">
        <w:rPr>
          <w:color w:val="000000" w:themeColor="text1" w:themeTint="FF" w:themeShade="FF"/>
          <w:lang w:val="es-PE" w:eastAsia="es-PE"/>
        </w:rPr>
        <w:t xml:space="preserve">Respecto a su primer argumento reiteran que la señora </w:t>
      </w:r>
      <w:r w:rsidRPr="59B7D58A" w:rsidR="7322D1A1">
        <w:rPr>
          <w:color w:val="000000" w:themeColor="text1" w:themeTint="FF" w:themeShade="FF"/>
          <w:lang w:val="es-PE" w:eastAsia="es-PE"/>
        </w:rPr>
        <w:t>.................</w:t>
      </w:r>
      <w:r w:rsidRPr="59B7D58A" w:rsidR="002A481F">
        <w:rPr>
          <w:color w:val="000000" w:themeColor="text1" w:themeTint="FF" w:themeShade="FF"/>
          <w:lang w:val="es-PE" w:eastAsia="es-PE"/>
        </w:rPr>
        <w:t xml:space="preserve"> tiene contratado con </w:t>
      </w:r>
      <w:r w:rsidRPr="59B7D58A" w:rsidR="67E16D2C">
        <w:rPr>
          <w:color w:val="000000" w:themeColor="text1" w:themeTint="FF" w:themeShade="FF"/>
          <w:lang w:val="es-PE" w:eastAsia="es-PE"/>
        </w:rPr>
        <w:t>...........................................</w:t>
      </w:r>
      <w:r w:rsidRPr="59B7D58A" w:rsidR="002A481F">
        <w:rPr>
          <w:color w:val="000000" w:themeColor="text1" w:themeTint="FF" w:themeShade="FF"/>
          <w:lang w:val="es-PE" w:eastAsia="es-PE"/>
        </w:rPr>
        <w:t xml:space="preserve"> solamente el seguro de protección de tarjetas con póliza </w:t>
      </w:r>
      <w:r w:rsidRPr="59B7D58A" w:rsidR="002A481F">
        <w:rPr>
          <w:color w:val="000000" w:themeColor="text1" w:themeTint="FF" w:themeShade="FF"/>
          <w:lang w:val="es-PE" w:eastAsia="es-PE"/>
        </w:rPr>
        <w:t>N°</w:t>
      </w:r>
      <w:r w:rsidRPr="59B7D58A" w:rsidR="002A481F">
        <w:rPr>
          <w:color w:val="000000" w:themeColor="text1" w:themeTint="FF" w:themeShade="FF"/>
          <w:lang w:val="es-PE" w:eastAsia="es-PE"/>
        </w:rPr>
        <w:t xml:space="preserve"> </w:t>
      </w:r>
      <w:r w:rsidRPr="59B7D58A" w:rsidR="52A8EB57">
        <w:rPr>
          <w:color w:val="000000" w:themeColor="text1" w:themeTint="FF" w:themeShade="FF"/>
          <w:lang w:val="es-PE" w:eastAsia="es-PE"/>
        </w:rPr>
        <w:t>.................</w:t>
      </w:r>
      <w:r w:rsidRPr="59B7D58A" w:rsidR="002A481F">
        <w:rPr>
          <w:color w:val="000000" w:themeColor="text1" w:themeTint="FF" w:themeShade="FF"/>
          <w:lang w:val="es-PE" w:eastAsia="es-PE"/>
        </w:rPr>
        <w:t xml:space="preserve"> y no tiene el seguro de protección de tarjetas plus, lo cual se encuentra acreditado con el certificado que obra en el expediente y con el registro de nuestros sistemas que muestra la póliza que está contratada por la reclamante y que se renueva mensualmente; b) la reclamante no ha adjuntado la primera página de dicho certificado de seguro presentado, puesto que esta es la única página que no fue presentada y es en esta en la cual se puede apreciar las condiciones particulares, es decir, el nombre y datos de la titular del seguro; c) la reclamante tampoco ha acreditado que haya sido el </w:t>
      </w:r>
      <w:r w:rsidRPr="59B7D58A" w:rsidR="4F9E8EBA">
        <w:rPr>
          <w:color w:val="000000" w:themeColor="text1" w:themeTint="FF" w:themeShade="FF"/>
          <w:lang w:val="es-PE" w:eastAsia="es-PE"/>
        </w:rPr>
        <w:t>.................</w:t>
      </w:r>
      <w:r w:rsidRPr="59B7D58A" w:rsidR="002A481F">
        <w:rPr>
          <w:color w:val="000000" w:themeColor="text1" w:themeTint="FF" w:themeShade="FF"/>
          <w:lang w:val="es-PE" w:eastAsia="es-PE"/>
        </w:rPr>
        <w:t xml:space="preserve"> quiénes le hayan entregado el certificado de seguro del Seguro de Protección de Tarjetas Plus de manera incompleta (sin las condiciones particulares), pese a ser este todo el</w:t>
      </w:r>
    </w:p>
    <w:p w:rsidR="002A481F" w:rsidP="002A481F" w:rsidRDefault="002A481F" w14:paraId="0998A760" w14:textId="42E75420">
      <w:pPr>
        <w:pStyle w:val="Textoindependiente"/>
        <w:rPr>
          <w:color w:val="000000"/>
          <w:lang w:val="es-PE" w:eastAsia="es-PE"/>
        </w:rPr>
      </w:pPr>
      <w:r w:rsidRPr="59B7D58A" w:rsidR="002A481F">
        <w:rPr>
          <w:color w:val="000000" w:themeColor="text1" w:themeTint="FF" w:themeShade="FF"/>
          <w:lang w:val="es-PE" w:eastAsia="es-PE"/>
        </w:rPr>
        <w:t xml:space="preserve">sustento de su reclamo; d) la asegurada retiró los S/ 3,000.00 de un cajero automático </w:t>
      </w:r>
      <w:r w:rsidRPr="59B7D58A" w:rsidR="4F9E8EBA">
        <w:rPr>
          <w:color w:val="000000" w:themeColor="text1" w:themeTint="FF" w:themeShade="FF"/>
          <w:lang w:val="es-PE" w:eastAsia="es-PE"/>
        </w:rPr>
        <w:t>.................</w:t>
      </w:r>
      <w:r w:rsidRPr="59B7D58A" w:rsidR="002A481F">
        <w:rPr>
          <w:color w:val="000000" w:themeColor="text1" w:themeTint="FF" w:themeShade="FF"/>
          <w:lang w:val="es-PE" w:eastAsia="es-PE"/>
        </w:rPr>
        <w:t xml:space="preserve"> ubicado en el C.C. Tottus </w:t>
      </w:r>
      <w:r w:rsidRPr="59B7D58A" w:rsidR="002A481F">
        <w:rPr>
          <w:color w:val="000000" w:themeColor="text1" w:themeTint="FF" w:themeShade="FF"/>
          <w:lang w:val="es-PE" w:eastAsia="es-PE"/>
        </w:rPr>
        <w:t>Guipor</w:t>
      </w:r>
      <w:r w:rsidRPr="59B7D58A" w:rsidR="002A481F">
        <w:rPr>
          <w:color w:val="000000" w:themeColor="text1" w:themeTint="FF" w:themeShade="FF"/>
          <w:lang w:val="es-PE" w:eastAsia="es-PE"/>
        </w:rPr>
        <w:t xml:space="preserve"> (Av. Panamericana Norte), siendo que dicho monto le fue robado en la Av. Zinc </w:t>
      </w:r>
      <w:r w:rsidRPr="59B7D58A" w:rsidR="002A481F">
        <w:rPr>
          <w:color w:val="000000" w:themeColor="text1" w:themeTint="FF" w:themeShade="FF"/>
          <w:lang w:val="es-PE" w:eastAsia="es-PE"/>
        </w:rPr>
        <w:t>N°</w:t>
      </w:r>
      <w:r w:rsidRPr="59B7D58A" w:rsidR="002A481F">
        <w:rPr>
          <w:color w:val="000000" w:themeColor="text1" w:themeTint="FF" w:themeShade="FF"/>
          <w:lang w:val="es-PE" w:eastAsia="es-PE"/>
        </w:rPr>
        <w:t xml:space="preserve"> 141 - Urb. Industrial Infantas; e) entre dichos dos puntos (cajero automático y lugar del robo), nuestra representada pudo constatar que existía una distancia de 406 metros aproximadamente, superándose ampliamente la distancia que la póliza establece para gozar de cobertura para este riesgo</w:t>
      </w:r>
    </w:p>
    <w:p w:rsidR="002A481F" w:rsidP="002A481F" w:rsidRDefault="002A481F" w14:paraId="4059C519" w14:textId="77777777">
      <w:pPr>
        <w:pStyle w:val="Textoindependiente"/>
        <w:rPr>
          <w:color w:val="000000"/>
          <w:lang w:val="es-PE" w:eastAsia="es-PE"/>
        </w:rPr>
      </w:pPr>
    </w:p>
    <w:p w:rsidR="002A481F" w:rsidP="002A481F" w:rsidRDefault="002A481F" w14:paraId="4EEB24E6" w14:textId="7D4EBA34">
      <w:pPr>
        <w:pStyle w:val="Textoindependiente"/>
        <w:rPr>
          <w:color w:val="000000"/>
          <w:lang w:val="es-PE" w:eastAsia="es-PE"/>
        </w:rPr>
      </w:pPr>
      <w:r w:rsidRPr="59B7D58A" w:rsidR="002A481F">
        <w:rPr>
          <w:color w:val="000000" w:themeColor="text1" w:themeTint="FF" w:themeShade="FF"/>
          <w:lang w:val="es-PE" w:eastAsia="es-PE"/>
        </w:rPr>
        <w:t xml:space="preserve">Que, la reclamante absolvió lo señalado por </w:t>
      </w:r>
      <w:r w:rsidRPr="59B7D58A" w:rsidR="67E16D2C">
        <w:rPr>
          <w:color w:val="000000" w:themeColor="text1" w:themeTint="FF" w:themeShade="FF"/>
          <w:lang w:val="es-PE" w:eastAsia="es-PE"/>
        </w:rPr>
        <w:t>...........................................</w:t>
      </w:r>
      <w:r w:rsidRPr="59B7D58A" w:rsidR="002A481F">
        <w:rPr>
          <w:color w:val="000000" w:themeColor="text1" w:themeTint="FF" w:themeShade="FF"/>
          <w:lang w:val="es-PE" w:eastAsia="es-PE"/>
        </w:rPr>
        <w:t>, reiterando lo ya manifestado en su recurso impugnatorio.</w:t>
      </w:r>
    </w:p>
    <w:p w:rsidR="002A481F" w:rsidP="002A481F" w:rsidRDefault="002A481F" w14:paraId="2DF37D13" w14:textId="77777777">
      <w:pPr>
        <w:pStyle w:val="Textoindependiente"/>
      </w:pPr>
    </w:p>
    <w:p w:rsidR="002A481F" w:rsidP="002A481F" w:rsidRDefault="002A481F" w14:paraId="7111FC7E" w14:textId="77777777">
      <w:pPr>
        <w:pStyle w:val="Textoindependiente"/>
        <w:tabs>
          <w:tab w:val="left" w:pos="930"/>
        </w:tabs>
      </w:pPr>
      <w:r>
        <w:t>Que, atendiendo a lo expuesto, esta Defensoría resuelve finalmente lo siguiente:</w:t>
      </w:r>
    </w:p>
    <w:p w:rsidR="002A481F" w:rsidP="002A481F" w:rsidRDefault="002A481F" w14:paraId="00B299A6" w14:textId="77777777">
      <w:pPr>
        <w:jc w:val="both"/>
        <w:rPr>
          <w:rFonts w:ascii="Times New Roman" w:hAnsi="Times New Roman" w:cs="Times New Roman"/>
          <w:b/>
          <w:sz w:val="24"/>
          <w:szCs w:val="24"/>
          <w:u w:val="single"/>
          <w:lang w:val="es-PE"/>
        </w:rPr>
      </w:pPr>
    </w:p>
    <w:p w:rsidR="002A481F" w:rsidP="002A481F" w:rsidRDefault="002A481F" w14:paraId="43971EB9" w14:textId="6EE27515">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Reglamento de la DEFASEG </w:t>
      </w:r>
      <w:r>
        <w:rPr>
          <w:rFonts w:ascii="Times New Roman" w:hAnsi="Times New Roman" w:eastAsia="Arial Unicode MS" w:cs="Times New Roman"/>
          <w:sz w:val="24"/>
          <w:szCs w:val="24"/>
          <w:lang w:val="es-PE"/>
        </w:rPr>
        <w:t xml:space="preserve">(http://www.defaseg.com.pe/reglamento), en su artículo 10, </w:t>
      </w:r>
      <w:r>
        <w:rPr>
          <w:rFonts w:ascii="Times New Roman" w:hAnsi="Times New Roman" w:cs="Times New Roman"/>
          <w:sz w:val="24"/>
          <w:szCs w:val="24"/>
          <w:lang w:val="es-PE"/>
        </w:rPr>
        <w:t xml:space="preserve">establece que la parte que no se encuentre de acuerdo con lo resuelto en su </w:t>
      </w:r>
      <w:r>
        <w:rPr>
          <w:rFonts w:ascii="Times New Roman" w:hAnsi="Times New Roman" w:cs="Times New Roman"/>
          <w:sz w:val="24"/>
          <w:szCs w:val="24"/>
          <w:lang w:val="es-PE"/>
        </w:rPr>
        <w:lastRenderedPageBreak/>
        <w:t xml:space="preserve">oportunidad podrá impugnarlo, interponiendo el correspondiente recurso. De manera complementaria, el artículo 11 del indicado reglamento dispone que, el </w:t>
      </w:r>
      <w:r>
        <w:rPr>
          <w:rFonts w:ascii="Times New Roman" w:hAnsi="Times New Roman" w:cs="Times New Roman"/>
          <w:sz w:val="24"/>
          <w:szCs w:val="24"/>
          <w:lang w:val="es-ES"/>
        </w:rPr>
        <w:t>usuario de seguro recurre en forma voluntaria a la Defensoría, siendo que la presentación de una reclamación n</w:t>
      </w:r>
      <w:r>
        <w:rPr>
          <w:rFonts w:ascii="Times New Roman" w:hAnsi="Times New Roman" w:cs="Times New Roman"/>
          <w:sz w:val="24"/>
          <w:szCs w:val="24"/>
          <w:lang w:val="es-PE"/>
        </w:rPr>
        <w:t>o limita su derecho a recurrir posteriormente ante el órgano administrativo o jurisdiccional que considere pertinente.  De acuerdo a lo anterior, si el asegurado no se encuentra conforme con lo resuelto, esto último no limita la posibilidad de poder recurrir a las instancias correspondientes, a diferencia de la aseguradora que sí queda comprometida con lo resuelto por la DEFASEG.</w:t>
      </w:r>
    </w:p>
    <w:p w:rsidR="002A481F" w:rsidP="002A481F" w:rsidRDefault="002A481F" w14:paraId="178271A2" w14:textId="07E18060">
      <w:pPr>
        <w:jc w:val="both"/>
        <w:rPr>
          <w:rFonts w:ascii="Times New Roman" w:hAnsi="Times New Roman" w:cs="Times New Roman"/>
          <w:sz w:val="24"/>
          <w:szCs w:val="24"/>
          <w:lang w:val="es-PE"/>
        </w:rPr>
      </w:pPr>
      <w:r w:rsidRPr="59B7D58A" w:rsidR="002A481F">
        <w:rPr>
          <w:rFonts w:ascii="Times New Roman" w:hAnsi="Times New Roman" w:cs="Times New Roman"/>
          <w:b w:val="1"/>
          <w:bCs w:val="1"/>
          <w:sz w:val="24"/>
          <w:szCs w:val="24"/>
          <w:u w:val="single"/>
          <w:lang w:val="es-PE"/>
        </w:rPr>
        <w:t>SEGUNDO</w:t>
      </w:r>
      <w:r w:rsidRPr="59B7D58A" w:rsidR="002A481F">
        <w:rPr>
          <w:rFonts w:ascii="Times New Roman" w:hAnsi="Times New Roman" w:cs="Times New Roman"/>
          <w:b w:val="1"/>
          <w:bCs w:val="1"/>
          <w:sz w:val="24"/>
          <w:szCs w:val="24"/>
          <w:lang w:val="es-PE"/>
        </w:rPr>
        <w:t>:</w:t>
      </w:r>
      <w:r w:rsidRPr="59B7D58A" w:rsidR="002A481F">
        <w:rPr>
          <w:rFonts w:ascii="Times New Roman" w:hAnsi="Times New Roman" w:cs="Times New Roman"/>
          <w:sz w:val="24"/>
          <w:szCs w:val="24"/>
          <w:lang w:val="es-PE"/>
        </w:rPr>
        <w:t xml:space="preserve"> Conforme al sexto considerando de la resolución impugnada, la reclamación fue desestimada por cuanto, </w:t>
      </w:r>
      <w:r w:rsidRPr="59B7D58A" w:rsidR="002A481F">
        <w:rPr>
          <w:rFonts w:ascii="Times New Roman" w:hAnsi="Times New Roman" w:cs="Times New Roman"/>
          <w:sz w:val="24"/>
          <w:szCs w:val="24"/>
          <w:lang w:val="es-PE"/>
        </w:rPr>
        <w:t xml:space="preserve">en el presente caso, no se demostró que la reclamante tuviera contratado el Seguro de Protección de Tarjetas Plus con </w:t>
      </w:r>
      <w:r w:rsidRPr="59B7D58A" w:rsidR="67E16D2C">
        <w:rPr>
          <w:rFonts w:ascii="Times New Roman" w:hAnsi="Times New Roman" w:cs="Times New Roman"/>
          <w:sz w:val="24"/>
          <w:szCs w:val="24"/>
          <w:lang w:val="es-PE"/>
        </w:rPr>
        <w:t>...........................................</w:t>
      </w:r>
      <w:r w:rsidRPr="59B7D58A" w:rsidR="002A481F">
        <w:rPr>
          <w:rFonts w:ascii="Times New Roman" w:hAnsi="Times New Roman" w:cs="Times New Roman"/>
          <w:sz w:val="24"/>
          <w:szCs w:val="24"/>
          <w:lang w:val="es-PE"/>
        </w:rPr>
        <w:t xml:space="preserve">, en el cual no se incluía el requisito de cobertura que se sustenta en el rechazo del siniestro. Asimismo, se acreditó </w:t>
      </w:r>
      <w:r w:rsidRPr="59B7D58A" w:rsidR="002A481F">
        <w:rPr>
          <w:rFonts w:ascii="Times New Roman" w:hAnsi="Times New Roman" w:cs="Times New Roman"/>
          <w:sz w:val="24"/>
          <w:szCs w:val="24"/>
          <w:lang w:val="es-419"/>
        </w:rPr>
        <w:t xml:space="preserve">sobre la base de lo expresado en la denuncia policial, siendo la manifestación de la señora </w:t>
      </w:r>
      <w:r w:rsidRPr="59B7D58A" w:rsidR="7322D1A1">
        <w:rPr>
          <w:rFonts w:ascii="Times New Roman" w:hAnsi="Times New Roman" w:cs="Times New Roman"/>
          <w:sz w:val="24"/>
          <w:szCs w:val="24"/>
          <w:lang w:val="es-419"/>
        </w:rPr>
        <w:t>.................</w:t>
      </w:r>
      <w:r w:rsidRPr="59B7D58A" w:rsidR="002A481F">
        <w:rPr>
          <w:rFonts w:ascii="Times New Roman" w:hAnsi="Times New Roman" w:cs="Times New Roman"/>
          <w:sz w:val="24"/>
          <w:szCs w:val="24"/>
          <w:lang w:val="es-419"/>
        </w:rPr>
        <w:t xml:space="preserve">, que entre el lugar de ocurrencia del sinestro (Av. Zinc </w:t>
      </w:r>
      <w:r w:rsidRPr="59B7D58A" w:rsidR="002A481F">
        <w:rPr>
          <w:rFonts w:ascii="Times New Roman" w:hAnsi="Times New Roman" w:cs="Times New Roman"/>
          <w:sz w:val="24"/>
          <w:szCs w:val="24"/>
          <w:lang w:val="es-419"/>
        </w:rPr>
        <w:t>N°</w:t>
      </w:r>
      <w:r w:rsidRPr="59B7D58A" w:rsidR="002A481F">
        <w:rPr>
          <w:rFonts w:ascii="Times New Roman" w:hAnsi="Times New Roman" w:cs="Times New Roman"/>
          <w:sz w:val="24"/>
          <w:szCs w:val="24"/>
          <w:lang w:val="es-419"/>
        </w:rPr>
        <w:t xml:space="preserve"> 141 - Urb. Industrial Infantas, Los Olivos) y el cajero automático donde el dinero fue retirado por la asegurada (C.C. Tottus </w:t>
      </w:r>
      <w:r w:rsidRPr="59B7D58A" w:rsidR="002A481F">
        <w:rPr>
          <w:rFonts w:ascii="Times New Roman" w:hAnsi="Times New Roman" w:cs="Times New Roman"/>
          <w:sz w:val="24"/>
          <w:szCs w:val="24"/>
          <w:lang w:val="es-419"/>
        </w:rPr>
        <w:t>Guipor</w:t>
      </w:r>
      <w:r w:rsidRPr="59B7D58A" w:rsidR="002A481F">
        <w:rPr>
          <w:rFonts w:ascii="Times New Roman" w:hAnsi="Times New Roman" w:cs="Times New Roman"/>
          <w:sz w:val="24"/>
          <w:szCs w:val="24"/>
          <w:lang w:val="es-419"/>
        </w:rPr>
        <w:t xml:space="preserve"> (Av. Panamericana Norte)), se excedió el radio de doscientos (200) metros establecidos por la aseguradora en el condicionado del contrato, concretamente fueron 406 metros.</w:t>
      </w:r>
    </w:p>
    <w:p w:rsidR="002A481F" w:rsidP="002A481F" w:rsidRDefault="002A481F" w14:paraId="024DFFD7" w14:textId="03B1B505">
      <w:pPr>
        <w:jc w:val="both"/>
        <w:rPr>
          <w:b w:val="1"/>
          <w:bCs w:val="1"/>
          <w:lang w:val="es-PE"/>
        </w:rPr>
      </w:pPr>
      <w:r w:rsidRPr="59B7D58A" w:rsidR="002A481F">
        <w:rPr>
          <w:rFonts w:ascii="Times New Roman" w:hAnsi="Times New Roman" w:cs="Times New Roman"/>
          <w:sz w:val="24"/>
          <w:szCs w:val="24"/>
          <w:lang w:val="es-PE"/>
        </w:rPr>
        <w:t xml:space="preserve">Atendiendo a los fundamentos de la impugnación interpuesta, se advierte que más allá de que la señora </w:t>
      </w:r>
      <w:r w:rsidRPr="59B7D58A" w:rsidR="7322D1A1">
        <w:rPr>
          <w:rFonts w:ascii="Times New Roman" w:hAnsi="Times New Roman" w:cs="Times New Roman"/>
          <w:sz w:val="24"/>
          <w:szCs w:val="24"/>
          <w:lang w:val="es-PE"/>
        </w:rPr>
        <w:t>.................</w:t>
      </w:r>
      <w:r w:rsidRPr="59B7D58A" w:rsidR="002A481F">
        <w:rPr>
          <w:rFonts w:ascii="Times New Roman" w:hAnsi="Times New Roman" w:cs="Times New Roman"/>
          <w:sz w:val="24"/>
          <w:szCs w:val="24"/>
          <w:lang w:val="es-PE"/>
        </w:rPr>
        <w:t xml:space="preserve"> sostenga que tenía contratado el Seguro de Protección de Tarjetas Plus y no el Seguro Protección de Tarjetas – Certificado de Seguro – Póliza </w:t>
      </w:r>
      <w:r w:rsidRPr="59B7D58A" w:rsidR="002A481F">
        <w:rPr>
          <w:rFonts w:ascii="Times New Roman" w:hAnsi="Times New Roman" w:cs="Times New Roman"/>
          <w:sz w:val="24"/>
          <w:szCs w:val="24"/>
          <w:lang w:val="es-PE"/>
        </w:rPr>
        <w:t>N°</w:t>
      </w:r>
      <w:r w:rsidRPr="59B7D58A" w:rsidR="002A481F">
        <w:rPr>
          <w:rFonts w:ascii="Times New Roman" w:hAnsi="Times New Roman" w:cs="Times New Roman"/>
          <w:sz w:val="24"/>
          <w:szCs w:val="24"/>
          <w:lang w:val="es-PE"/>
        </w:rPr>
        <w:t xml:space="preserve"> </w:t>
      </w:r>
      <w:r w:rsidRPr="59B7D58A" w:rsidR="52A8EB57">
        <w:rPr>
          <w:rFonts w:ascii="Times New Roman" w:hAnsi="Times New Roman" w:cs="Times New Roman"/>
          <w:sz w:val="24"/>
          <w:szCs w:val="24"/>
          <w:lang w:val="es-PE"/>
        </w:rPr>
        <w:t>.................</w:t>
      </w:r>
      <w:r w:rsidRPr="59B7D58A" w:rsidR="002A481F">
        <w:rPr>
          <w:rFonts w:ascii="Times New Roman" w:hAnsi="Times New Roman" w:cs="Times New Roman"/>
          <w:sz w:val="24"/>
          <w:szCs w:val="24"/>
          <w:lang w:val="es-PE"/>
        </w:rPr>
        <w:t>, y que la distancia entre el cajero automático donde retiró el dinero y la ocurrencia del siniestro es de 82.12 metros, no excediéndose el radio de doscientos (200) metros establecidos en el contrato, no se</w:t>
      </w:r>
      <w:r w:rsidRPr="59B7D58A" w:rsidR="002A481F">
        <w:rPr>
          <w:rFonts w:ascii="Times New Roman" w:hAnsi="Times New Roman" w:cs="Times New Roman"/>
          <w:sz w:val="24"/>
          <w:szCs w:val="24"/>
          <w:lang w:val="es-PE"/>
        </w:rPr>
        <w:t xml:space="preserve"> ha presentado prueba documental adicional alguna que desautorice lo resuelto, de manera que el </w:t>
      </w:r>
      <w:r w:rsidRPr="59B7D58A" w:rsidR="002A481F">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la reclamante, que esta Defensoría respeta pero no comparte,</w:t>
      </w:r>
      <w:r w:rsidRPr="59B7D58A" w:rsidR="002A481F">
        <w:rPr>
          <w:rFonts w:ascii="Times New Roman" w:hAnsi="Times New Roman" w:cs="Times New Roman"/>
          <w:sz w:val="23"/>
          <w:szCs w:val="23"/>
          <w:lang w:val="es-PE"/>
        </w:rPr>
        <w:t xml:space="preserve"> pero sin aportar argumento o medio probatorio alguno que permita objetivamente a este colegiado apreciar que habría incurrido efectivamente en un error o vicio al momento de resolver.</w:t>
      </w:r>
    </w:p>
    <w:p w:rsidR="002A481F" w:rsidP="002A481F" w:rsidRDefault="002A481F" w14:paraId="055C8020" w14:textId="77777777">
      <w:pPr>
        <w:jc w:val="both"/>
        <w:rPr>
          <w:rFonts w:ascii="Times New Roman" w:hAnsi="Times New Roman" w:cs="Times New Roman"/>
          <w:bCs/>
          <w:sz w:val="24"/>
          <w:szCs w:val="24"/>
          <w:lang w:val="es-ES"/>
        </w:rPr>
      </w:pPr>
      <w:r>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002A481F" w:rsidP="002A481F" w:rsidRDefault="002A481F" w14:paraId="48ABF4C3"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002A481F" w:rsidP="002A481F" w:rsidRDefault="002A481F" w14:paraId="07D9C2F6"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RESUELVE:</w:t>
      </w:r>
    </w:p>
    <w:p w:rsidR="002A481F" w:rsidP="002A481F" w:rsidRDefault="002A481F" w14:paraId="481911A9" w14:textId="77777777">
      <w:pPr>
        <w:jc w:val="both"/>
        <w:rPr>
          <w:rFonts w:ascii="Times New Roman" w:hAnsi="Times New Roman" w:cs="Times New Roman"/>
          <w:sz w:val="24"/>
          <w:szCs w:val="24"/>
          <w:lang w:val="es-PE"/>
        </w:rPr>
      </w:pPr>
      <w:r>
        <w:rPr>
          <w:rFonts w:ascii="Times New Roman" w:hAnsi="Times New Roman" w:eastAsia="Arial Unicode MS" w:cs="Times New Roman"/>
          <w:b/>
          <w:sz w:val="24"/>
          <w:szCs w:val="24"/>
          <w:lang w:val="es-PE"/>
        </w:rPr>
        <w:t>Declarar INFUNDADO el recurso de impugnación interpuesto y, por consiguiente, CONFIRMAR la Resolución Nro. 022/22</w:t>
      </w:r>
      <w:r>
        <w:rPr>
          <w:rFonts w:ascii="Times New Roman" w:hAnsi="Times New Roman" w:cs="Times New Roman"/>
          <w:sz w:val="24"/>
          <w:szCs w:val="24"/>
          <w:lang w:val="es-PE"/>
        </w:rPr>
        <w:t>.</w:t>
      </w:r>
    </w:p>
    <w:p w:rsidRPr="00E02C4A" w:rsidR="00077B6F" w:rsidP="00C671F5" w:rsidRDefault="0091528B" w14:paraId="78A39B5B" w14:textId="317F43BE">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00F73EC5">
        <w:rPr>
          <w:rFonts w:ascii="Times New Roman" w:hAnsi="Times New Roman" w:eastAsia="Arial Unicode MS" w:cs="Times New Roman"/>
          <w:sz w:val="24"/>
          <w:szCs w:val="24"/>
          <w:lang w:val="es-PE" w:eastAsia="ar-SA"/>
        </w:rPr>
        <w:t>28</w:t>
      </w:r>
      <w:r w:rsidRPr="00E02C4A" w:rsidR="00707C99">
        <w:rPr>
          <w:rFonts w:ascii="Times New Roman" w:hAnsi="Times New Roman" w:eastAsia="Arial Unicode MS" w:cs="Times New Roman"/>
          <w:sz w:val="24"/>
          <w:szCs w:val="24"/>
          <w:lang w:val="es-PE" w:eastAsia="ar-SA"/>
        </w:rPr>
        <w:t xml:space="preserve"> de </w:t>
      </w:r>
      <w:r w:rsidRPr="00E02C4A" w:rsidR="002C1B87">
        <w:rPr>
          <w:rFonts w:ascii="Times New Roman" w:hAnsi="Times New Roman" w:eastAsia="Arial Unicode MS" w:cs="Times New Roman"/>
          <w:sz w:val="24"/>
          <w:szCs w:val="24"/>
          <w:lang w:val="es-PE" w:eastAsia="ar-SA"/>
        </w:rPr>
        <w:t>marzo</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María Eugenia Valdez Fernández Baca – Presidente</w:t>
      </w:r>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Rolando Eyzaguirre Maccan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BD2" w:rsidP="00784355" w:rsidRDefault="00726BD2" w14:paraId="79B6D4E6" w14:textId="77777777">
      <w:pPr>
        <w:spacing w:after="0" w:line="240" w:lineRule="auto"/>
      </w:pPr>
      <w:r>
        <w:separator/>
      </w:r>
    </w:p>
  </w:endnote>
  <w:endnote w:type="continuationSeparator" w:id="0">
    <w:p w:rsidR="00726BD2" w:rsidP="00784355" w:rsidRDefault="00726BD2" w14:paraId="3B14B6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BD2" w:rsidP="00784355" w:rsidRDefault="00726BD2" w14:paraId="2F4213A8" w14:textId="77777777">
      <w:pPr>
        <w:spacing w:after="0" w:line="240" w:lineRule="auto"/>
      </w:pPr>
      <w:r>
        <w:separator/>
      </w:r>
    </w:p>
  </w:footnote>
  <w:footnote w:type="continuationSeparator" w:id="0">
    <w:p w:rsidR="00726BD2" w:rsidP="00784355" w:rsidRDefault="00726BD2" w14:paraId="2C90D8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7"/>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218B6E6F"/>
    <w:rsid w:val="4F9E8EBA"/>
    <w:rsid w:val="52696D8E"/>
    <w:rsid w:val="52A8EB57"/>
    <w:rsid w:val="55C5852B"/>
    <w:rsid w:val="59B7D58A"/>
    <w:rsid w:val="5BEDA2F0"/>
    <w:rsid w:val="67E16D2C"/>
    <w:rsid w:val="6AF635FA"/>
    <w:rsid w:val="7322D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10EF306-0D4F-4497-B753-305412E5849A}"/>
</file>

<file path=customXml/itemProps3.xml><?xml version="1.0" encoding="utf-8"?>
<ds:datastoreItem xmlns:ds="http://schemas.openxmlformats.org/officeDocument/2006/customXml" ds:itemID="{56826403-0C6C-478B-AE03-0A0502D08810}"/>
</file>

<file path=customXml/itemProps4.xml><?xml version="1.0" encoding="utf-8"?>
<ds:datastoreItem xmlns:ds="http://schemas.openxmlformats.org/officeDocument/2006/customXml" ds:itemID="{6275C548-A4B6-4B6C-A09F-879C482337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57</cp:revision>
  <cp:lastPrinted>2022-03-28T16:31:00Z</cp:lastPrinted>
  <dcterms:created xsi:type="dcterms:W3CDTF">2020-12-18T20:17:00Z</dcterms:created>
  <dcterms:modified xsi:type="dcterms:W3CDTF">2025-11-25T21:30:46Z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