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02C4A" w:rsidR="00707C99" w:rsidP="00272F4F" w:rsidRDefault="00201C0D" w14:paraId="19FE0E96" w14:textId="6DEEE380">
      <w:pPr>
        <w:spacing w:after="0" w:line="240" w:lineRule="auto"/>
        <w:jc w:val="center"/>
        <w:rPr>
          <w:rFonts w:ascii="Times New Roman" w:hAnsi="Times New Roman" w:cs="Times New Roman"/>
          <w:b/>
          <w:sz w:val="24"/>
          <w:szCs w:val="24"/>
          <w:lang w:val="es-PE" w:eastAsia="ar-SA"/>
        </w:rPr>
      </w:pPr>
      <w:r w:rsidRPr="00E02C4A">
        <w:rPr>
          <w:rFonts w:ascii="Times New Roman" w:hAnsi="Times New Roman" w:cs="Times New Roman"/>
          <w:b/>
          <w:sz w:val="24"/>
          <w:szCs w:val="24"/>
          <w:lang w:val="es-PE" w:eastAsia="ar-SA"/>
        </w:rPr>
        <w:t xml:space="preserve">RESOLUCIÓN DE RECURSO IMPUGNATIVO </w:t>
      </w:r>
      <w:proofErr w:type="spellStart"/>
      <w:r w:rsidRPr="00E02C4A" w:rsidR="00707C99">
        <w:rPr>
          <w:rFonts w:ascii="Times New Roman" w:hAnsi="Times New Roman" w:cs="Times New Roman"/>
          <w:b/>
          <w:sz w:val="24"/>
          <w:szCs w:val="24"/>
          <w:lang w:val="es-PE" w:eastAsia="ar-SA"/>
        </w:rPr>
        <w:t>N°</w:t>
      </w:r>
      <w:proofErr w:type="spellEnd"/>
      <w:r w:rsidRPr="00E02C4A" w:rsidR="00707C99">
        <w:rPr>
          <w:rFonts w:ascii="Times New Roman" w:hAnsi="Times New Roman" w:cs="Times New Roman"/>
          <w:b/>
          <w:sz w:val="24"/>
          <w:szCs w:val="24"/>
          <w:lang w:val="es-PE" w:eastAsia="ar-SA"/>
        </w:rPr>
        <w:t xml:space="preserve"> </w:t>
      </w:r>
      <w:r w:rsidRPr="00E02C4A" w:rsidR="00C671F5">
        <w:rPr>
          <w:rFonts w:ascii="Times New Roman" w:hAnsi="Times New Roman" w:cs="Times New Roman"/>
          <w:b/>
          <w:sz w:val="24"/>
          <w:szCs w:val="24"/>
          <w:lang w:val="es-PE" w:eastAsia="ar-SA"/>
        </w:rPr>
        <w:t>0</w:t>
      </w:r>
      <w:r w:rsidRPr="00E02C4A" w:rsidR="0000335D">
        <w:rPr>
          <w:rFonts w:ascii="Times New Roman" w:hAnsi="Times New Roman" w:cs="Times New Roman"/>
          <w:b/>
          <w:sz w:val="24"/>
          <w:szCs w:val="24"/>
          <w:lang w:val="es-PE" w:eastAsia="ar-SA"/>
        </w:rPr>
        <w:t>1</w:t>
      </w:r>
      <w:r w:rsidR="00D65AF1">
        <w:rPr>
          <w:rFonts w:ascii="Times New Roman" w:hAnsi="Times New Roman" w:cs="Times New Roman"/>
          <w:b/>
          <w:sz w:val="24"/>
          <w:szCs w:val="24"/>
          <w:lang w:val="es-PE" w:eastAsia="ar-SA"/>
        </w:rPr>
        <w:t>9</w:t>
      </w:r>
      <w:r w:rsidRPr="00E02C4A" w:rsidR="00C671F5">
        <w:rPr>
          <w:rFonts w:ascii="Times New Roman" w:hAnsi="Times New Roman" w:cs="Times New Roman"/>
          <w:b/>
          <w:sz w:val="24"/>
          <w:szCs w:val="24"/>
          <w:lang w:val="es-PE" w:eastAsia="ar-SA"/>
        </w:rPr>
        <w:t>/2</w:t>
      </w:r>
      <w:r w:rsidRPr="00E02C4A" w:rsidR="00B93C7A">
        <w:rPr>
          <w:rFonts w:ascii="Times New Roman" w:hAnsi="Times New Roman" w:cs="Times New Roman"/>
          <w:b/>
          <w:sz w:val="24"/>
          <w:szCs w:val="24"/>
          <w:lang w:val="es-PE" w:eastAsia="ar-SA"/>
        </w:rPr>
        <w:t>2</w:t>
      </w:r>
    </w:p>
    <w:p w:rsidRPr="00E02C4A" w:rsidR="00FB4CAB" w:rsidP="00FB4CAB" w:rsidRDefault="00FB4CAB" w14:paraId="337F97DA" w14:textId="77777777">
      <w:pPr>
        <w:suppressAutoHyphens/>
        <w:jc w:val="both"/>
        <w:outlineLvl w:val="0"/>
        <w:rPr>
          <w:rFonts w:ascii="Times New Roman" w:hAnsi="Times New Roman" w:eastAsia="Times New Roman" w:cs="Times New Roman"/>
          <w:b/>
          <w:bCs/>
          <w:sz w:val="24"/>
          <w:szCs w:val="24"/>
          <w:lang w:val="es-MX" w:eastAsia="ar-SA"/>
        </w:rPr>
      </w:pPr>
    </w:p>
    <w:p w:rsidRPr="00BC1DBC" w:rsidR="00BC1DBC" w:rsidP="00BC1DBC" w:rsidRDefault="00BC1DBC" w14:paraId="0F868DF7" w14:textId="77777777">
      <w:pPr>
        <w:spacing w:after="0" w:line="240" w:lineRule="auto"/>
        <w:jc w:val="both"/>
        <w:rPr>
          <w:rFonts w:ascii="Times New Roman" w:hAnsi="Times New Roman" w:cs="Times New Roman"/>
          <w:sz w:val="24"/>
          <w:szCs w:val="24"/>
          <w:lang w:val="es-PE"/>
        </w:rPr>
      </w:pPr>
      <w:r w:rsidRPr="00BC1DBC">
        <w:rPr>
          <w:rFonts w:ascii="Times New Roman" w:hAnsi="Times New Roman" w:cs="Times New Roman"/>
          <w:b/>
          <w:sz w:val="24"/>
          <w:szCs w:val="24"/>
          <w:lang w:val="es-PE"/>
        </w:rPr>
        <w:t xml:space="preserve">Vistos: </w:t>
      </w:r>
    </w:p>
    <w:p w:rsidRPr="00BC1DBC" w:rsidR="00BC1DBC" w:rsidP="00BC1DBC" w:rsidRDefault="00BC1DBC" w14:paraId="3800F59A" w14:textId="77777777">
      <w:pPr>
        <w:spacing w:after="0" w:line="240" w:lineRule="auto"/>
        <w:jc w:val="both"/>
        <w:rPr>
          <w:rFonts w:ascii="Times New Roman" w:hAnsi="Times New Roman" w:cs="Times New Roman"/>
          <w:sz w:val="24"/>
          <w:szCs w:val="24"/>
          <w:lang w:val="es-PE"/>
        </w:rPr>
      </w:pPr>
    </w:p>
    <w:p w:rsidRPr="00BC1DBC" w:rsidR="00BC1DBC" w:rsidP="00BC1DBC" w:rsidRDefault="00BC1DBC" w14:paraId="17DAE99E" w14:textId="52D58858">
      <w:pPr>
        <w:spacing w:line="240" w:lineRule="auto"/>
        <w:jc w:val="both"/>
        <w:rPr>
          <w:rFonts w:ascii="Times New Roman" w:hAnsi="Times New Roman" w:cs="Times New Roman"/>
          <w:sz w:val="24"/>
          <w:szCs w:val="24"/>
          <w:lang w:val="es-PE"/>
        </w:rPr>
      </w:pPr>
      <w:r w:rsidRPr="6696AEF5" w:rsidR="74D8FF37">
        <w:rPr>
          <w:rFonts w:ascii="Times New Roman" w:hAnsi="Times New Roman" w:cs="Times New Roman"/>
          <w:sz w:val="24"/>
          <w:szCs w:val="24"/>
          <w:lang w:val="es-PE"/>
        </w:rPr>
        <w:t xml:space="preserve">El Recurso Impugnativo presentado el 24 de febrero de 2022 por </w:t>
      </w:r>
      <w:r w:rsidRPr="6696AEF5" w:rsidR="041A96CA">
        <w:rPr>
          <w:rFonts w:ascii="Times New Roman" w:hAnsi="Times New Roman" w:cs="Times New Roman"/>
          <w:sz w:val="24"/>
          <w:szCs w:val="24"/>
          <w:lang w:val="es-PE"/>
        </w:rPr>
        <w:t>.....................................................</w:t>
      </w:r>
      <w:r w:rsidRPr="6696AEF5" w:rsidR="74D8FF37">
        <w:rPr>
          <w:rFonts w:ascii="Times New Roman" w:hAnsi="Times New Roman" w:cs="Times New Roman"/>
          <w:sz w:val="24"/>
          <w:szCs w:val="24"/>
          <w:lang w:val="es-PE"/>
        </w:rPr>
        <w:t xml:space="preserve">, respecto de la Resolución </w:t>
      </w:r>
      <w:r w:rsidRPr="6696AEF5" w:rsidR="74D8FF37">
        <w:rPr>
          <w:rFonts w:ascii="Times New Roman" w:hAnsi="Times New Roman" w:cs="Times New Roman"/>
          <w:sz w:val="24"/>
          <w:szCs w:val="24"/>
          <w:lang w:val="es-PE"/>
        </w:rPr>
        <w:t>N°</w:t>
      </w:r>
      <w:r w:rsidRPr="6696AEF5" w:rsidR="74D8FF37">
        <w:rPr>
          <w:rFonts w:ascii="Times New Roman" w:hAnsi="Times New Roman" w:cs="Times New Roman"/>
          <w:sz w:val="24"/>
          <w:szCs w:val="24"/>
          <w:lang w:val="es-PE"/>
        </w:rPr>
        <w:t xml:space="preserve"> 024/22 de fecha 17 de febrero de 2022, emitida por esta Defensoría del Asegurado (DEFASEG) que declaró INFUNDADA la reclamación, sobre sobre otorgamiento de cobertura al siniestro ocurrido bajo la Póliza de Seguro de Vehículos contratada</w:t>
      </w:r>
    </w:p>
    <w:p w:rsidRPr="00BC1DBC" w:rsidR="00BC1DBC" w:rsidP="00BC1DBC" w:rsidRDefault="00BC1DBC" w14:paraId="44410F9D" w14:textId="094A75AF">
      <w:pPr>
        <w:spacing w:line="240" w:lineRule="auto"/>
        <w:jc w:val="both"/>
        <w:rPr>
          <w:rFonts w:ascii="Times New Roman" w:hAnsi="Times New Roman" w:cs="Times New Roman"/>
          <w:sz w:val="24"/>
          <w:szCs w:val="24"/>
          <w:lang w:val="es-PE"/>
        </w:rPr>
      </w:pPr>
      <w:r w:rsidRPr="6696AEF5" w:rsidR="74D8FF37">
        <w:rPr>
          <w:rFonts w:ascii="Times New Roman" w:hAnsi="Times New Roman" w:cs="Times New Roman"/>
          <w:sz w:val="24"/>
          <w:szCs w:val="24"/>
          <w:lang w:val="es-PE"/>
        </w:rPr>
        <w:t xml:space="preserve">Que el señalado Recurso Impugnativo se fundamenta resumidamente en lo siguiente: 1) Que, como consideración previa, la asegurada confirma que </w:t>
      </w:r>
      <w:r w:rsidRPr="6696AEF5" w:rsidR="6C9D852B">
        <w:rPr>
          <w:rFonts w:ascii="Times New Roman" w:hAnsi="Times New Roman" w:cs="Times New Roman"/>
          <w:sz w:val="24"/>
          <w:szCs w:val="24"/>
          <w:lang w:val="es-PE"/>
        </w:rPr>
        <w:t>..................</w:t>
      </w:r>
      <w:r w:rsidRPr="6696AEF5" w:rsidR="74D8FF37">
        <w:rPr>
          <w:rFonts w:ascii="Times New Roman" w:hAnsi="Times New Roman" w:cs="Times New Roman"/>
          <w:sz w:val="24"/>
          <w:szCs w:val="24"/>
          <w:lang w:val="es-PE"/>
        </w:rPr>
        <w:t xml:space="preserve"> no ha entregado las Condiciones Generales de la Póliza, en consecuencia, solo debe ser motivo de análisis de la Defensoría, los artículos de la Ley del Contrato de Seguro, citados en la carta de rechazo, siendo el artículo 73° el único relacionado con el fraude en los seguros. 2) Que, </w:t>
      </w:r>
      <w:r w:rsidRPr="6696AEF5" w:rsidR="74D8FF37">
        <w:rPr>
          <w:rFonts w:ascii="Times New Roman" w:hAnsi="Times New Roman" w:cs="Times New Roman"/>
          <w:sz w:val="24"/>
          <w:szCs w:val="24"/>
          <w:lang w:val="es-PE"/>
        </w:rPr>
        <w:t>a pesar que</w:t>
      </w:r>
      <w:r w:rsidRPr="6696AEF5" w:rsidR="74D8FF37">
        <w:rPr>
          <w:rFonts w:ascii="Times New Roman" w:hAnsi="Times New Roman" w:cs="Times New Roman"/>
          <w:sz w:val="24"/>
          <w:szCs w:val="24"/>
          <w:lang w:val="es-PE"/>
        </w:rPr>
        <w:t xml:space="preserve"> en la redacción del Acta de Intervención Policial se dice que “está firmada por el conductor”, lo cierto es que no lleva la firma escrita del conductor, a diferencia de los dos policías que elaboraron este documento, que si firmaron de puño y letra. </w:t>
      </w:r>
      <w:r w:rsidRPr="6696AEF5" w:rsidR="74D8FF37">
        <w:rPr>
          <w:rFonts w:ascii="Times New Roman" w:hAnsi="Times New Roman" w:cs="Times New Roman"/>
          <w:sz w:val="24"/>
          <w:szCs w:val="24"/>
          <w:lang w:val="es-PE"/>
        </w:rPr>
        <w:t>Que, el Acta de Intervención Policial tiene evidentes errores, donde se confunde al conductor como denunciante, cuando en realidad es el intervenido.</w:t>
      </w:r>
      <w:r w:rsidRPr="6696AEF5" w:rsidR="74D8FF37">
        <w:rPr>
          <w:rFonts w:ascii="Times New Roman" w:hAnsi="Times New Roman" w:cs="Times New Roman"/>
          <w:sz w:val="24"/>
          <w:szCs w:val="24"/>
          <w:lang w:val="es-PE"/>
        </w:rPr>
        <w:t xml:space="preserve"> Que, el Acta dice que está firmada (</w:t>
      </w:r>
      <w:r w:rsidRPr="6696AEF5" w:rsidR="74D8FF37">
        <w:rPr>
          <w:rFonts w:ascii="Times New Roman" w:hAnsi="Times New Roman" w:cs="Times New Roman"/>
          <w:sz w:val="24"/>
          <w:szCs w:val="24"/>
          <w:lang w:val="es-PE"/>
        </w:rPr>
        <w:t>Fdo</w:t>
      </w:r>
      <w:r w:rsidRPr="6696AEF5" w:rsidR="74D8FF37">
        <w:rPr>
          <w:rFonts w:ascii="Times New Roman" w:hAnsi="Times New Roman" w:cs="Times New Roman"/>
          <w:sz w:val="24"/>
          <w:szCs w:val="24"/>
          <w:lang w:val="es-PE"/>
        </w:rPr>
        <w:t xml:space="preserve">) </w:t>
      </w:r>
      <w:r w:rsidRPr="6696AEF5" w:rsidR="74D8FF37">
        <w:rPr>
          <w:rFonts w:ascii="Times New Roman" w:hAnsi="Times New Roman" w:cs="Times New Roman"/>
          <w:sz w:val="24"/>
          <w:szCs w:val="24"/>
          <w:lang w:val="es-PE"/>
        </w:rPr>
        <w:t>poer</w:t>
      </w:r>
      <w:r w:rsidRPr="6696AEF5" w:rsidR="74D8FF37">
        <w:rPr>
          <w:rFonts w:ascii="Times New Roman" w:hAnsi="Times New Roman" w:cs="Times New Roman"/>
          <w:sz w:val="24"/>
          <w:szCs w:val="24"/>
          <w:lang w:val="es-PE"/>
        </w:rPr>
        <w:t xml:space="preserve"> el DENUNCIANTE, pero claramente se verifica que el conductor es el intervenido, por lo tanto, hay un error material que evidencia que el conductor no ha firmado el Acta. 3) Que, otro sustento de la aseguradora es que, luego de dicha declaración, el asegurado reportó el siniestro a </w:t>
      </w:r>
      <w:r w:rsidRPr="6696AEF5" w:rsidR="6C9D852B">
        <w:rPr>
          <w:rFonts w:ascii="Times New Roman" w:hAnsi="Times New Roman" w:cs="Times New Roman"/>
          <w:sz w:val="24"/>
          <w:szCs w:val="24"/>
          <w:lang w:val="es-PE"/>
        </w:rPr>
        <w:t>..................</w:t>
      </w:r>
      <w:r w:rsidRPr="6696AEF5" w:rsidR="74D8FF37">
        <w:rPr>
          <w:rFonts w:ascii="Times New Roman" w:hAnsi="Times New Roman" w:cs="Times New Roman"/>
          <w:sz w:val="24"/>
          <w:szCs w:val="24"/>
          <w:lang w:val="es-PE"/>
        </w:rPr>
        <w:t xml:space="preserve"> el mismo día, brindando una versión diferente e inverosímil. Que, la resolución apelada utiliza como argumento una opinión de carácter subjetivo, siendo que el adjetivo inverosímil se emplea para calificar a aquello que no resulta verosímil, es decir, se usa respecto a lo que no es creíble o no parece ser verdadero. Que, la versión que se brindó en llamada telefónica a </w:t>
      </w:r>
      <w:r w:rsidRPr="6696AEF5" w:rsidR="6C9D852B">
        <w:rPr>
          <w:rFonts w:ascii="Times New Roman" w:hAnsi="Times New Roman" w:cs="Times New Roman"/>
          <w:sz w:val="24"/>
          <w:szCs w:val="24"/>
          <w:lang w:val="es-PE"/>
        </w:rPr>
        <w:t>..................</w:t>
      </w:r>
      <w:r w:rsidRPr="6696AEF5" w:rsidR="74D8FF37">
        <w:rPr>
          <w:rFonts w:ascii="Times New Roman" w:hAnsi="Times New Roman" w:cs="Times New Roman"/>
          <w:sz w:val="24"/>
          <w:szCs w:val="24"/>
          <w:lang w:val="es-PE"/>
        </w:rPr>
        <w:t xml:space="preserve">, no la hizo el conductor sino el área de operaciones de la empresa, indicándose que: “se encontraba manejando el conductor en la Panamericana e hizo una mala maniobra por no chocar a un animal”. 4) Que, ante lo manifestado por </w:t>
      </w:r>
      <w:r w:rsidRPr="6696AEF5" w:rsidR="6C9D852B">
        <w:rPr>
          <w:rFonts w:ascii="Times New Roman" w:hAnsi="Times New Roman" w:cs="Times New Roman"/>
          <w:sz w:val="24"/>
          <w:szCs w:val="24"/>
          <w:lang w:val="es-PE"/>
        </w:rPr>
        <w:t>..................</w:t>
      </w:r>
      <w:r w:rsidRPr="6696AEF5" w:rsidR="74D8FF37">
        <w:rPr>
          <w:rFonts w:ascii="Times New Roman" w:hAnsi="Times New Roman" w:cs="Times New Roman"/>
          <w:sz w:val="24"/>
          <w:szCs w:val="24"/>
          <w:lang w:val="es-PE"/>
        </w:rPr>
        <w:t xml:space="preserve"> de que en los informes de ambas partes es evidente que la tolva no se puede levantar solo por un movimiento brusco del camión por la presencia de un perro, conforme la asegurada ha explicado en sus escritos, como consecuencia de la maniobra brusca que se realizó, el conductor involuntariamente accionó el interruptor que acciona el levantamiento de la tolva. Que, esta declaración guarda absoluta coherencia con el informe técnico que la asegurada ha presentado y que está suscrito por quien era el jefe de </w:t>
      </w:r>
      <w:r w:rsidRPr="6696AEF5" w:rsidR="713EC67F">
        <w:rPr>
          <w:rFonts w:ascii="Times New Roman" w:hAnsi="Times New Roman" w:cs="Times New Roman"/>
          <w:sz w:val="24"/>
          <w:szCs w:val="24"/>
          <w:lang w:val="es-PE"/>
        </w:rPr>
        <w:t>..................</w:t>
      </w:r>
      <w:r w:rsidRPr="6696AEF5" w:rsidR="74D8FF37">
        <w:rPr>
          <w:rFonts w:ascii="Times New Roman" w:hAnsi="Times New Roman" w:cs="Times New Roman"/>
          <w:sz w:val="24"/>
          <w:szCs w:val="24"/>
          <w:lang w:val="es-PE"/>
        </w:rPr>
        <w:t xml:space="preserve">, concesionario de la marca </w:t>
      </w:r>
      <w:r w:rsidRPr="6696AEF5" w:rsidR="0AC2562C">
        <w:rPr>
          <w:rFonts w:ascii="Times New Roman" w:hAnsi="Times New Roman" w:cs="Times New Roman"/>
          <w:sz w:val="24"/>
          <w:szCs w:val="24"/>
          <w:lang w:val="es-PE"/>
        </w:rPr>
        <w:t>..................</w:t>
      </w:r>
      <w:r w:rsidRPr="6696AEF5" w:rsidR="74D8FF37">
        <w:rPr>
          <w:rFonts w:ascii="Times New Roman" w:hAnsi="Times New Roman" w:cs="Times New Roman"/>
          <w:sz w:val="24"/>
          <w:szCs w:val="24"/>
          <w:lang w:val="es-PE"/>
        </w:rPr>
        <w:t>, quien en sus conclusiones señala lo siguiente:</w:t>
      </w:r>
    </w:p>
    <w:p w:rsidRPr="00BC1DBC" w:rsidR="00BC1DBC" w:rsidP="00BC1DBC" w:rsidRDefault="00BC1DBC" w14:paraId="0F00E33D" w14:textId="77777777">
      <w:pPr>
        <w:spacing w:line="240" w:lineRule="auto"/>
        <w:jc w:val="both"/>
        <w:rPr>
          <w:rFonts w:ascii="Times New Roman" w:hAnsi="Times New Roman" w:cs="Times New Roman"/>
          <w:sz w:val="24"/>
          <w:szCs w:val="24"/>
          <w:lang w:val="es-PE"/>
        </w:rPr>
      </w:pPr>
      <w:r w:rsidRPr="00BC1DBC">
        <w:rPr>
          <w:rFonts w:ascii="Times New Roman" w:hAnsi="Times New Roman" w:cs="Times New Roman"/>
          <w:sz w:val="24"/>
          <w:szCs w:val="24"/>
          <w:lang w:val="es-PE"/>
        </w:rPr>
        <w:t>“Para la explicación del accionamiento involuntario de la tolva, se podrían generar los siguientes supuestos:</w:t>
      </w:r>
    </w:p>
    <w:p w:rsidRPr="00BC1DBC" w:rsidR="00BC1DBC" w:rsidP="00BC1DBC" w:rsidRDefault="00BC1DBC" w14:paraId="301A4F89" w14:textId="77777777">
      <w:pPr>
        <w:pStyle w:val="Prrafodelista"/>
        <w:numPr>
          <w:ilvl w:val="0"/>
          <w:numId w:val="11"/>
        </w:numPr>
        <w:spacing w:after="200" w:line="240" w:lineRule="auto"/>
        <w:jc w:val="both"/>
        <w:rPr>
          <w:rFonts w:ascii="Times New Roman" w:hAnsi="Times New Roman" w:cs="Times New Roman"/>
          <w:sz w:val="24"/>
          <w:szCs w:val="24"/>
          <w:lang w:val="es-PE"/>
        </w:rPr>
      </w:pPr>
      <w:r w:rsidRPr="00BC1DBC">
        <w:rPr>
          <w:rFonts w:ascii="Times New Roman" w:hAnsi="Times New Roman" w:cs="Times New Roman"/>
          <w:sz w:val="24"/>
          <w:szCs w:val="24"/>
          <w:lang w:val="es-PE"/>
        </w:rPr>
        <w:t xml:space="preserve">La unidad durante su recorrido llevó accionada la PTO, la cual pudo haberse activado durante la limpieza del tablero e instrumentos, mientras la unidad se encontraba con el motor encendido esperando que este alcance su temperatura de trabajo, posteriormente, el conductor no se percató de este accionamiento y accionó el interruptor de la tolva el cual inició el levante de </w:t>
      </w:r>
      <w:proofErr w:type="gramStart"/>
      <w:r w:rsidRPr="00BC1DBC">
        <w:rPr>
          <w:rFonts w:ascii="Times New Roman" w:hAnsi="Times New Roman" w:cs="Times New Roman"/>
          <w:sz w:val="24"/>
          <w:szCs w:val="24"/>
          <w:lang w:val="es-PE"/>
        </w:rPr>
        <w:t>la misma</w:t>
      </w:r>
      <w:proofErr w:type="gramEnd"/>
      <w:r w:rsidRPr="00BC1DBC">
        <w:rPr>
          <w:rFonts w:ascii="Times New Roman" w:hAnsi="Times New Roman" w:cs="Times New Roman"/>
          <w:sz w:val="24"/>
          <w:szCs w:val="24"/>
          <w:lang w:val="es-PE"/>
        </w:rPr>
        <w:t>.</w:t>
      </w:r>
    </w:p>
    <w:p w:rsidRPr="00BC1DBC" w:rsidR="00BC1DBC" w:rsidP="00BC1DBC" w:rsidRDefault="00BC1DBC" w14:paraId="7C6A1355" w14:textId="77777777">
      <w:pPr>
        <w:pStyle w:val="Prrafodelista"/>
        <w:numPr>
          <w:ilvl w:val="0"/>
          <w:numId w:val="11"/>
        </w:numPr>
        <w:spacing w:after="200" w:line="240" w:lineRule="auto"/>
        <w:jc w:val="both"/>
        <w:rPr>
          <w:rFonts w:ascii="Times New Roman" w:hAnsi="Times New Roman" w:cs="Times New Roman"/>
          <w:sz w:val="24"/>
          <w:szCs w:val="24"/>
          <w:lang w:val="es-PE"/>
        </w:rPr>
      </w:pPr>
      <w:r w:rsidRPr="00BC1DBC">
        <w:rPr>
          <w:rFonts w:ascii="Times New Roman" w:hAnsi="Times New Roman" w:cs="Times New Roman"/>
          <w:sz w:val="24"/>
          <w:szCs w:val="24"/>
          <w:lang w:val="es-PE"/>
        </w:rPr>
        <w:t xml:space="preserve">Durante las acciones de limpieza de la cabina con el motor encendido o apagado, se dejó accionado el interruptor de levantamiento de tolva y, posteriormente durante la </w:t>
      </w:r>
      <w:r w:rsidRPr="00BC1DBC">
        <w:rPr>
          <w:rFonts w:ascii="Times New Roman" w:hAnsi="Times New Roman" w:cs="Times New Roman"/>
          <w:sz w:val="24"/>
          <w:szCs w:val="24"/>
          <w:lang w:val="es-PE"/>
        </w:rPr>
        <w:lastRenderedPageBreak/>
        <w:t>conducción, el conductor accionó de manera involuntaria el botón de accionamiento de PTO, sin percatarse del accionamiento de la tolva, la cual empezó a levantar.</w:t>
      </w:r>
    </w:p>
    <w:p w:rsidRPr="00BC1DBC" w:rsidR="00BC1DBC" w:rsidP="00BC1DBC" w:rsidRDefault="00BC1DBC" w14:paraId="0C74988C" w14:textId="7F764514">
      <w:pPr>
        <w:spacing w:line="240" w:lineRule="auto"/>
        <w:jc w:val="both"/>
        <w:rPr>
          <w:rFonts w:ascii="Times New Roman" w:hAnsi="Times New Roman" w:cs="Times New Roman"/>
          <w:sz w:val="24"/>
          <w:szCs w:val="24"/>
          <w:lang w:val="es-PE"/>
        </w:rPr>
      </w:pPr>
      <w:r w:rsidRPr="6696AEF5" w:rsidR="74D8FF37">
        <w:rPr>
          <w:rFonts w:ascii="Times New Roman" w:hAnsi="Times New Roman" w:cs="Times New Roman"/>
          <w:sz w:val="24"/>
          <w:szCs w:val="24"/>
          <w:lang w:val="es-PE"/>
        </w:rPr>
        <w:t xml:space="preserve">5) Que, </w:t>
      </w:r>
      <w:r w:rsidRPr="6696AEF5" w:rsidR="6C9D852B">
        <w:rPr>
          <w:rFonts w:ascii="Times New Roman" w:hAnsi="Times New Roman" w:cs="Times New Roman"/>
          <w:sz w:val="24"/>
          <w:szCs w:val="24"/>
          <w:lang w:val="es-PE"/>
        </w:rPr>
        <w:t>..................</w:t>
      </w:r>
      <w:r w:rsidRPr="6696AEF5" w:rsidR="74D8FF37">
        <w:rPr>
          <w:rFonts w:ascii="Times New Roman" w:hAnsi="Times New Roman" w:cs="Times New Roman"/>
          <w:sz w:val="24"/>
          <w:szCs w:val="24"/>
          <w:lang w:val="es-PE"/>
        </w:rPr>
        <w:t xml:space="preserve"> no ha aportado una declaración firmada por el conductor, pues decidió no enviar un procurador al lugar de los hechos a fin de tener acceso a todos los detalles del caso. Que, al no existir documentos firmados por el conductor, donde se acredite una declaración suya, no se puede señalar que el conductor ha incurrido en una mentira y, menos aún que la asegurada ha presentado una reclamación fraudulenta. 6) Que, el artículo 73° de la Ley habla de un fraude cometido por el asegurado, y en este caso, la empresa no ha cometido ni existe ninguna prueba donde se le impute un fraude. Que, hay que tener en cuenta que el artículo 73° no incluye como un fraude las declaraciones contradictorias de los trabajadores de las empresas aseguradas.</w:t>
      </w:r>
    </w:p>
    <w:p w:rsidRPr="00BC1DBC" w:rsidR="00BC1DBC" w:rsidP="00BC1DBC" w:rsidRDefault="00BC1DBC" w14:paraId="700CDF4A" w14:textId="4B8822E7">
      <w:pPr>
        <w:spacing w:line="240" w:lineRule="auto"/>
        <w:jc w:val="both"/>
        <w:rPr>
          <w:rFonts w:ascii="Times New Roman" w:hAnsi="Times New Roman" w:cs="Times New Roman"/>
          <w:sz w:val="24"/>
          <w:szCs w:val="24"/>
          <w:lang w:val="es-PE"/>
        </w:rPr>
      </w:pPr>
      <w:r w:rsidRPr="6696AEF5" w:rsidR="74D8FF37">
        <w:rPr>
          <w:rFonts w:ascii="Times New Roman" w:hAnsi="Times New Roman" w:cs="Times New Roman"/>
          <w:sz w:val="24"/>
          <w:szCs w:val="24"/>
          <w:lang w:val="es-PE"/>
        </w:rPr>
        <w:t xml:space="preserve">Que, con fecha 02 de marzo de 2002, </w:t>
      </w:r>
      <w:r w:rsidRPr="6696AEF5" w:rsidR="6C9D852B">
        <w:rPr>
          <w:rFonts w:ascii="Times New Roman" w:hAnsi="Times New Roman" w:cs="Times New Roman"/>
          <w:sz w:val="24"/>
          <w:szCs w:val="24"/>
          <w:lang w:val="es-PE"/>
        </w:rPr>
        <w:t>..................</w:t>
      </w:r>
      <w:r w:rsidRPr="6696AEF5" w:rsidR="74D8FF37">
        <w:rPr>
          <w:rFonts w:ascii="Times New Roman" w:hAnsi="Times New Roman" w:cs="Times New Roman"/>
          <w:sz w:val="24"/>
          <w:szCs w:val="24"/>
          <w:lang w:val="es-PE"/>
        </w:rPr>
        <w:t xml:space="preserve"> Seguros absolvió el mencionado recurso, indicando lo siguiente: 1) Que, en relación al Acta de Intervención Policial, la aseguradora no niega que haya existido una declaración por parte del conductor, ni cuestiona los alcances de la misma, ni mucho menos esgrime una versión diferente a la consignada en el Acta de Intervención Policial, sino que simplemente expone  de forma errada y con el único fin de que no se tenga en cuenta la declaración que no se contaría con la firma escrita del conductor. Que, sin embargo, conforme puede colegirse del referido documento policial, es el caso que los efectivos policiales dejan constancia de la firma del conductor ante personal PNP que certifica. 2) Que, el colegiado ha motivado y valorado debidamente los hechos vinculados al siniestro, siendo el caso que en atención a ello ha calificado que la asegurada brindó versiones diferentes y, así mismo su versión diferente resulta inverosímil en virtud de los hechos analizados y las pruebas actuadas dentro del procedimiento del reclamo. 3) Que, la mentira si se encuentra debidamente acreditada en este caso, y dicha acreditación se colige en las versiones contradictorias efectuadas por la apelante. 4) Que, </w:t>
      </w:r>
      <w:r w:rsidRPr="6696AEF5" w:rsidR="74D8FF37">
        <w:rPr>
          <w:rFonts w:ascii="Times New Roman" w:hAnsi="Times New Roman" w:cs="Times New Roman"/>
          <w:sz w:val="24"/>
          <w:szCs w:val="24"/>
          <w:lang w:val="es-PE"/>
        </w:rPr>
        <w:t>en relación a</w:t>
      </w:r>
      <w:r w:rsidRPr="6696AEF5" w:rsidR="74D8FF37">
        <w:rPr>
          <w:rFonts w:ascii="Times New Roman" w:hAnsi="Times New Roman" w:cs="Times New Roman"/>
          <w:sz w:val="24"/>
          <w:szCs w:val="24"/>
          <w:lang w:val="es-PE"/>
        </w:rPr>
        <w:t xml:space="preserve"> lo manifestado por la asegurada d</w:t>
      </w:r>
      <w:r w:rsidRPr="6696AEF5" w:rsidR="74D8FF37">
        <w:rPr>
          <w:rFonts w:ascii="Times New Roman" w:hAnsi="Times New Roman" w:cs="Times New Roman"/>
          <w:sz w:val="24"/>
          <w:szCs w:val="24"/>
          <w:lang w:val="es-PE"/>
        </w:rPr>
        <w:t>e que en todo</w:t>
      </w:r>
      <w:r w:rsidRPr="6696AEF5" w:rsidR="74D8FF37">
        <w:rPr>
          <w:rFonts w:ascii="Times New Roman" w:hAnsi="Times New Roman" w:cs="Times New Roman"/>
          <w:sz w:val="24"/>
          <w:szCs w:val="24"/>
          <w:lang w:val="es-PE"/>
        </w:rPr>
        <w:t xml:space="preserve"> caso la declaración fraudulenta no fue cometida por la empresa sino por un trabajador de </w:t>
      </w:r>
      <w:r w:rsidRPr="6696AEF5" w:rsidR="74D8FF37">
        <w:rPr>
          <w:rFonts w:ascii="Times New Roman" w:hAnsi="Times New Roman" w:cs="Times New Roman"/>
          <w:sz w:val="24"/>
          <w:szCs w:val="24"/>
          <w:lang w:val="es-PE"/>
        </w:rPr>
        <w:t>la misma</w:t>
      </w:r>
      <w:r w:rsidRPr="6696AEF5" w:rsidR="74D8FF37">
        <w:rPr>
          <w:rFonts w:ascii="Times New Roman" w:hAnsi="Times New Roman" w:cs="Times New Roman"/>
          <w:sz w:val="24"/>
          <w:szCs w:val="24"/>
          <w:lang w:val="es-PE"/>
        </w:rPr>
        <w:t>, dicho argumento resulta falaz y no at</w:t>
      </w:r>
      <w:r w:rsidRPr="6696AEF5" w:rsidR="74D8FF37">
        <w:rPr>
          <w:rFonts w:ascii="Times New Roman" w:hAnsi="Times New Roman" w:cs="Times New Roman"/>
          <w:sz w:val="24"/>
          <w:szCs w:val="24"/>
          <w:lang w:val="es-PE"/>
        </w:rPr>
        <w:t>endible,</w:t>
      </w:r>
      <w:r w:rsidRPr="6696AEF5" w:rsidR="74D8FF37">
        <w:rPr>
          <w:rFonts w:ascii="Times New Roman" w:hAnsi="Times New Roman" w:cs="Times New Roman"/>
          <w:sz w:val="24"/>
          <w:szCs w:val="24"/>
          <w:lang w:val="es-PE"/>
        </w:rPr>
        <w:t xml:space="preserve"> ya que una persona jurídica no se expresa por sí misma (al ser una construcción jurídica) sino que lo hace a través de sus representantes o trabajadores. 5) Que, se debe señalar que resulta impertinente o por lo menos no atendible que la apelante cite disposiciones del Derecho Penal sobre el carácter personalísimo de los delitos, cuando en este caso no existe una controversia de carácter penal, sino una vinculada al Derecho de Seguros. 6) Que, conviene recordar que existe una presunción que no admite prueba en contrario, respecto a que toda persona tiene conocimiento de la ley, en este caso en particular, del artículo 73° de la Ley de Contrato de Seguro, en el cual se sanciona a la mentira con la pérdida de la cobertura indemnizatoria y, en ese sentido la asegurada no puede alegar que por no habérsele entregado la póliza completa no se encontraría en la obligación de cumplir con dicho dispositivo legal.</w:t>
      </w:r>
    </w:p>
    <w:p w:rsidRPr="00BC1DBC" w:rsidR="00BC1DBC" w:rsidP="00BC1DBC" w:rsidRDefault="00BC1DBC" w14:paraId="38DF0F12" w14:textId="77777777">
      <w:pPr>
        <w:spacing w:line="240" w:lineRule="auto"/>
        <w:jc w:val="both"/>
        <w:rPr>
          <w:rFonts w:ascii="Times New Roman" w:hAnsi="Times New Roman" w:cs="Times New Roman"/>
          <w:sz w:val="24"/>
          <w:szCs w:val="24"/>
          <w:lang w:val="es-PE"/>
        </w:rPr>
      </w:pPr>
      <w:r w:rsidRPr="00BC1DBC">
        <w:rPr>
          <w:rFonts w:ascii="Times New Roman" w:hAnsi="Times New Roman" w:cs="Times New Roman"/>
          <w:sz w:val="24"/>
          <w:szCs w:val="24"/>
          <w:lang w:val="es-PE"/>
        </w:rPr>
        <w:t>Que, atendiendo a lo expuesto, esta Defensoría resuelve finalmente lo siguiente:</w:t>
      </w:r>
    </w:p>
    <w:p w:rsidRPr="00BC1DBC" w:rsidR="00BC1DBC" w:rsidP="00BC1DBC" w:rsidRDefault="00BC1DBC" w14:paraId="605202AC" w14:textId="001010FE">
      <w:pPr>
        <w:spacing w:line="240" w:lineRule="auto"/>
        <w:jc w:val="both"/>
        <w:rPr>
          <w:rFonts w:ascii="Times New Roman" w:hAnsi="Times New Roman" w:cs="Times New Roman"/>
          <w:sz w:val="24"/>
          <w:szCs w:val="24"/>
          <w:lang w:val="es-PE"/>
        </w:rPr>
      </w:pPr>
      <w:r w:rsidRPr="6696AEF5" w:rsidR="74D8FF37">
        <w:rPr>
          <w:rFonts w:ascii="Times New Roman" w:hAnsi="Times New Roman" w:cs="Times New Roman"/>
          <w:b w:val="1"/>
          <w:bCs w:val="1"/>
          <w:sz w:val="24"/>
          <w:szCs w:val="24"/>
          <w:lang w:val="es-PE"/>
        </w:rPr>
        <w:t>PRIMERO:</w:t>
      </w:r>
      <w:r w:rsidRPr="6696AEF5" w:rsidR="74D8FF37">
        <w:rPr>
          <w:rFonts w:ascii="Times New Roman" w:hAnsi="Times New Roman" w:cs="Times New Roman"/>
          <w:sz w:val="24"/>
          <w:szCs w:val="24"/>
          <w:lang w:val="es-PE"/>
        </w:rPr>
        <w:t xml:space="preserve"> Que el artículo 10 (Procedimiento) del Reglamento de la DEFASEG (</w:t>
      </w:r>
      <w:hyperlink r:id="R5c85c5002e8c4e21">
        <w:r w:rsidRPr="6696AEF5" w:rsidR="74D8FF37">
          <w:rPr>
            <w:rStyle w:val="Hipervnculo"/>
            <w:rFonts w:ascii="Times New Roman" w:hAnsi="Times New Roman" w:cs="Times New Roman"/>
            <w:sz w:val="24"/>
            <w:szCs w:val="24"/>
            <w:lang w:val="es-PE"/>
          </w:rPr>
          <w:t>http://www.defaseg.com.pe/reglamento</w:t>
        </w:r>
      </w:hyperlink>
      <w:r w:rsidRPr="6696AEF5" w:rsidR="74D8FF37">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6696AEF5" w:rsidR="041A96CA">
        <w:rPr>
          <w:rFonts w:ascii="Times New Roman" w:hAnsi="Times New Roman" w:cs="Times New Roman"/>
          <w:sz w:val="24"/>
          <w:szCs w:val="24"/>
          <w:lang w:val="es-PE"/>
        </w:rPr>
        <w:t>.....................................................</w:t>
      </w:r>
      <w:r w:rsidRPr="6696AEF5" w:rsidR="74D8FF37">
        <w:rPr>
          <w:rFonts w:ascii="Times New Roman" w:hAnsi="Times New Roman" w:cs="Times New Roman"/>
          <w:sz w:val="24"/>
          <w:szCs w:val="24"/>
          <w:lang w:val="es-PE"/>
        </w:rPr>
        <w:t xml:space="preserve"> al interponer el Recurso Impugnativo, ha ejercido formalmente su derecho a contradecir lo resuelto por la Defensoría, aunque se espera razonablemente que sustente objetivamente la razón de su desacuerdo, </w:t>
      </w:r>
      <w:r w:rsidRPr="6696AEF5" w:rsidR="74D8FF37">
        <w:rPr>
          <w:rFonts w:ascii="Times New Roman" w:hAnsi="Times New Roman" w:cs="Times New Roman"/>
          <w:sz w:val="24"/>
          <w:szCs w:val="24"/>
          <w:lang w:val="es-PE"/>
        </w:rPr>
        <w:t>destacando el vicio o error en que se habría incurrido y que permitiría fundamentar que lo resuelto no se ajusta a derecho ni a los correspondientes actuados.</w:t>
      </w:r>
    </w:p>
    <w:p w:rsidRPr="00BC1DBC" w:rsidR="00BC1DBC" w:rsidP="00BC1DBC" w:rsidRDefault="00BC1DBC" w14:paraId="453D7838" w14:textId="77777777">
      <w:pPr>
        <w:spacing w:line="240" w:lineRule="auto"/>
        <w:jc w:val="both"/>
        <w:rPr>
          <w:rFonts w:ascii="Times New Roman" w:hAnsi="Times New Roman" w:cs="Times New Roman"/>
          <w:sz w:val="24"/>
          <w:szCs w:val="24"/>
          <w:lang w:val="es-PE"/>
        </w:rPr>
      </w:pPr>
      <w:r w:rsidRPr="00BC1DBC">
        <w:rPr>
          <w:rFonts w:ascii="Times New Roman" w:hAnsi="Times New Roman" w:cs="Times New Roman"/>
          <w:b/>
          <w:sz w:val="24"/>
          <w:szCs w:val="24"/>
          <w:lang w:val="es-PE"/>
        </w:rPr>
        <w:t>SEGUNDO:</w:t>
      </w:r>
      <w:r w:rsidRPr="00BC1DBC">
        <w:rPr>
          <w:rFonts w:ascii="Times New Roman" w:hAnsi="Times New Roman" w:cs="Times New Roman"/>
          <w:sz w:val="24"/>
          <w:szCs w:val="24"/>
          <w:lang w:val="es-PE"/>
        </w:rPr>
        <w:t xml:space="preserve"> Que, de la lectura del Recurso Impugnativo interpuesto se aprecia que el asegurado insiste en lo ya expresado con ocasión de presentar su escrito de reclamación, argumentos que ya fueron debidamente analizados en los Considerandos, Sétimo, Octavo, Noveno y Décimo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rsidRPr="00BC1DBC" w:rsidR="00BC1DBC" w:rsidP="00BC1DBC" w:rsidRDefault="00BC1DBC" w14:paraId="6239E039" w14:textId="77777777">
      <w:pPr>
        <w:spacing w:line="240" w:lineRule="auto"/>
        <w:jc w:val="both"/>
        <w:rPr>
          <w:rFonts w:ascii="Times New Roman" w:hAnsi="Times New Roman" w:cs="Times New Roman"/>
          <w:sz w:val="24"/>
          <w:szCs w:val="24"/>
          <w:lang w:val="es-PE"/>
        </w:rPr>
      </w:pPr>
      <w:r w:rsidRPr="00BC1DBC">
        <w:rPr>
          <w:rFonts w:ascii="Times New Roman" w:hAnsi="Times New Roman" w:cs="Times New Roman"/>
          <w:sz w:val="24"/>
          <w:szCs w:val="24"/>
          <w:lang w:val="es-PE"/>
        </w:rPr>
        <w:t>Que, atendiendo a las consideraciones manifestadas por la asegurada en el presente Recurso Impugnativo, las mismas que ya fueron analizadas y valoradas en le Resolución recurrida, este colegiado no aprecia mérito ni razón objetiva para revocar la resolución recurrida y, por lo tanto, reitera su análisis contenido en la mencionada resolución y, por lo tanto:</w:t>
      </w:r>
    </w:p>
    <w:p w:rsidRPr="00BC1DBC" w:rsidR="00BC1DBC" w:rsidP="00BC1DBC" w:rsidRDefault="00BC1DBC" w14:paraId="615BC96A" w14:textId="77777777">
      <w:pPr>
        <w:spacing w:line="240" w:lineRule="auto"/>
        <w:jc w:val="both"/>
        <w:rPr>
          <w:rFonts w:ascii="Times New Roman" w:hAnsi="Times New Roman" w:cs="Times New Roman"/>
          <w:b/>
          <w:sz w:val="24"/>
          <w:szCs w:val="24"/>
          <w:lang w:val="es-PE"/>
        </w:rPr>
      </w:pPr>
      <w:r w:rsidRPr="00BC1DBC">
        <w:rPr>
          <w:rFonts w:ascii="Times New Roman" w:hAnsi="Times New Roman" w:cs="Times New Roman"/>
          <w:b/>
          <w:sz w:val="24"/>
          <w:szCs w:val="24"/>
          <w:lang w:val="es-PE"/>
        </w:rPr>
        <w:t xml:space="preserve">RESUELVE: </w:t>
      </w:r>
    </w:p>
    <w:p w:rsidR="00BC1DBC" w:rsidP="00BC1DBC" w:rsidRDefault="00BC1DBC" w14:paraId="67521DB0" w14:textId="725740FA">
      <w:pPr>
        <w:spacing w:line="240" w:lineRule="auto"/>
        <w:jc w:val="both"/>
        <w:rPr>
          <w:rFonts w:ascii="Times New Roman" w:hAnsi="Times New Roman" w:cs="Times New Roman"/>
          <w:sz w:val="24"/>
          <w:szCs w:val="24"/>
          <w:lang w:val="es-PE"/>
        </w:rPr>
      </w:pPr>
      <w:r w:rsidRPr="6696AEF5" w:rsidR="74D8FF37">
        <w:rPr>
          <w:rFonts w:ascii="Times New Roman" w:hAnsi="Times New Roman" w:cs="Times New Roman"/>
          <w:sz w:val="24"/>
          <w:szCs w:val="24"/>
          <w:lang w:val="es-PE"/>
        </w:rPr>
        <w:t xml:space="preserve">Declarar </w:t>
      </w:r>
      <w:r w:rsidRPr="6696AEF5" w:rsidR="74D8FF37">
        <w:rPr>
          <w:rFonts w:ascii="Times New Roman" w:hAnsi="Times New Roman" w:cs="Times New Roman"/>
          <w:b w:val="1"/>
          <w:bCs w:val="1"/>
          <w:sz w:val="24"/>
          <w:szCs w:val="24"/>
          <w:lang w:val="es-PE"/>
        </w:rPr>
        <w:t>INFUNDADO</w:t>
      </w:r>
      <w:r w:rsidRPr="6696AEF5" w:rsidR="74D8FF37">
        <w:rPr>
          <w:rFonts w:ascii="Times New Roman" w:hAnsi="Times New Roman" w:cs="Times New Roman"/>
          <w:sz w:val="24"/>
          <w:szCs w:val="24"/>
          <w:lang w:val="es-PE"/>
        </w:rPr>
        <w:t xml:space="preserve"> el Recurso Impugnativo interpuesto y, por consiguiente, RATIFICAR la Resolución </w:t>
      </w:r>
      <w:r w:rsidRPr="6696AEF5" w:rsidR="74D8FF37">
        <w:rPr>
          <w:rFonts w:ascii="Times New Roman" w:hAnsi="Times New Roman" w:cs="Times New Roman"/>
          <w:sz w:val="24"/>
          <w:szCs w:val="24"/>
          <w:lang w:val="es-PE"/>
        </w:rPr>
        <w:t>N°</w:t>
      </w:r>
      <w:r w:rsidRPr="6696AEF5" w:rsidR="74D8FF37">
        <w:rPr>
          <w:rFonts w:ascii="Times New Roman" w:hAnsi="Times New Roman" w:cs="Times New Roman"/>
          <w:sz w:val="24"/>
          <w:szCs w:val="24"/>
          <w:lang w:val="es-PE"/>
        </w:rPr>
        <w:t xml:space="preserve"> 024/22 que declaró </w:t>
      </w:r>
      <w:r w:rsidRPr="6696AEF5" w:rsidR="74D8FF37">
        <w:rPr>
          <w:rFonts w:ascii="Times New Roman" w:hAnsi="Times New Roman" w:cs="Times New Roman"/>
          <w:b w:val="1"/>
          <w:bCs w:val="1"/>
          <w:sz w:val="24"/>
          <w:szCs w:val="24"/>
          <w:lang w:val="es-PE"/>
        </w:rPr>
        <w:t>INFUNDADA</w:t>
      </w:r>
      <w:r w:rsidRPr="6696AEF5" w:rsidR="74D8FF37">
        <w:rPr>
          <w:rFonts w:ascii="Times New Roman" w:hAnsi="Times New Roman" w:cs="Times New Roman"/>
          <w:sz w:val="24"/>
          <w:szCs w:val="24"/>
          <w:lang w:val="es-PE"/>
        </w:rPr>
        <w:t xml:space="preserve"> la reclamación interpuesta por </w:t>
      </w:r>
      <w:r w:rsidRPr="6696AEF5" w:rsidR="041A96CA">
        <w:rPr>
          <w:rFonts w:ascii="Times New Roman" w:hAnsi="Times New Roman" w:cs="Times New Roman"/>
          <w:b w:val="1"/>
          <w:bCs w:val="1"/>
          <w:sz w:val="24"/>
          <w:szCs w:val="24"/>
          <w:lang w:val="es-PE"/>
        </w:rPr>
        <w:t>.....................................................</w:t>
      </w:r>
      <w:r w:rsidRPr="6696AEF5" w:rsidR="74D8FF37">
        <w:rPr>
          <w:rFonts w:ascii="Times New Roman" w:hAnsi="Times New Roman" w:cs="Times New Roman"/>
          <w:sz w:val="24"/>
          <w:szCs w:val="24"/>
          <w:lang w:val="es-PE"/>
        </w:rPr>
        <w:t xml:space="preserve">, contra </w:t>
      </w:r>
      <w:r w:rsidRPr="6696AEF5" w:rsidR="6C9D852B">
        <w:rPr>
          <w:rFonts w:ascii="Times New Roman" w:hAnsi="Times New Roman" w:cs="Times New Roman"/>
          <w:b w:val="1"/>
          <w:bCs w:val="1"/>
          <w:sz w:val="24"/>
          <w:szCs w:val="24"/>
          <w:lang w:val="es-PE"/>
        </w:rPr>
        <w:t>..................</w:t>
      </w:r>
      <w:r w:rsidRPr="6696AEF5" w:rsidR="4936FF14">
        <w:rPr>
          <w:rFonts w:ascii="Times New Roman" w:hAnsi="Times New Roman" w:cs="Times New Roman"/>
          <w:b w:val="1"/>
          <w:bCs w:val="1"/>
          <w:sz w:val="24"/>
          <w:szCs w:val="24"/>
          <w:lang w:val="es-PE"/>
        </w:rPr>
        <w:t>.........</w:t>
      </w:r>
      <w:r w:rsidRPr="6696AEF5" w:rsidR="74D8FF37">
        <w:rPr>
          <w:rFonts w:ascii="Times New Roman" w:hAnsi="Times New Roman" w:cs="Times New Roman"/>
          <w:sz w:val="24"/>
          <w:szCs w:val="24"/>
          <w:lang w:val="es-PE"/>
        </w:rPr>
        <w:t>, dejando a salvo el derecho de la reclamante de acudir a otras instancias que considere pertinentes.</w:t>
      </w:r>
    </w:p>
    <w:p w:rsidRPr="00BC1DBC" w:rsidR="003F3726" w:rsidP="00BC1DBC" w:rsidRDefault="003F3726" w14:paraId="07DF97DE" w14:textId="77777777">
      <w:pPr>
        <w:spacing w:line="240" w:lineRule="auto"/>
        <w:jc w:val="both"/>
        <w:rPr>
          <w:rFonts w:ascii="Times New Roman" w:hAnsi="Times New Roman" w:cs="Times New Roman"/>
          <w:sz w:val="24"/>
          <w:szCs w:val="24"/>
          <w:lang w:val="es-PE"/>
        </w:rPr>
      </w:pPr>
    </w:p>
    <w:p w:rsidRPr="00E02C4A" w:rsidR="00077B6F" w:rsidP="00C671F5" w:rsidRDefault="0091528B" w14:paraId="78A39B5B" w14:textId="5B629576">
      <w:pPr>
        <w:suppressAutoHyphens/>
        <w:spacing w:after="0" w:line="240" w:lineRule="auto"/>
        <w:jc w:val="right"/>
        <w:outlineLvl w:val="0"/>
        <w:rPr>
          <w:rFonts w:ascii="Times New Roman" w:hAnsi="Times New Roman" w:eastAsia="Arial Unicode MS" w:cs="Times New Roman"/>
          <w:sz w:val="24"/>
          <w:szCs w:val="24"/>
          <w:lang w:val="es-PE" w:eastAsia="ar-SA"/>
        </w:rPr>
      </w:pPr>
      <w:r w:rsidRPr="00E02C4A">
        <w:rPr>
          <w:rFonts w:ascii="Times New Roman" w:hAnsi="Times New Roman" w:eastAsia="Arial Unicode MS" w:cs="Times New Roman"/>
          <w:sz w:val="24"/>
          <w:szCs w:val="24"/>
          <w:lang w:val="es-PE" w:eastAsia="ar-SA"/>
        </w:rPr>
        <w:t xml:space="preserve">Lima, </w:t>
      </w:r>
      <w:r w:rsidR="00D65AF1">
        <w:rPr>
          <w:rFonts w:ascii="Times New Roman" w:hAnsi="Times New Roman" w:eastAsia="Arial Unicode MS" w:cs="Times New Roman"/>
          <w:sz w:val="24"/>
          <w:szCs w:val="24"/>
          <w:lang w:val="es-PE" w:eastAsia="ar-SA"/>
        </w:rPr>
        <w:t>11</w:t>
      </w:r>
      <w:r w:rsidRPr="00E02C4A" w:rsidR="00707C99">
        <w:rPr>
          <w:rFonts w:ascii="Times New Roman" w:hAnsi="Times New Roman" w:eastAsia="Arial Unicode MS" w:cs="Times New Roman"/>
          <w:sz w:val="24"/>
          <w:szCs w:val="24"/>
          <w:lang w:val="es-PE" w:eastAsia="ar-SA"/>
        </w:rPr>
        <w:t xml:space="preserve"> de </w:t>
      </w:r>
      <w:r w:rsidR="00D65AF1">
        <w:rPr>
          <w:rFonts w:ascii="Times New Roman" w:hAnsi="Times New Roman" w:eastAsia="Arial Unicode MS" w:cs="Times New Roman"/>
          <w:sz w:val="24"/>
          <w:szCs w:val="24"/>
          <w:lang w:val="es-PE" w:eastAsia="ar-SA"/>
        </w:rPr>
        <w:t>abril</w:t>
      </w:r>
      <w:r w:rsidRPr="00E02C4A" w:rsidR="00F06498">
        <w:rPr>
          <w:rFonts w:ascii="Times New Roman" w:hAnsi="Times New Roman" w:eastAsia="Arial Unicode MS" w:cs="Times New Roman"/>
          <w:sz w:val="24"/>
          <w:szCs w:val="24"/>
          <w:lang w:val="es-PE" w:eastAsia="ar-SA"/>
        </w:rPr>
        <w:t xml:space="preserve"> de 202</w:t>
      </w:r>
      <w:r w:rsidRPr="00E02C4A" w:rsidR="00B93C7A">
        <w:rPr>
          <w:rFonts w:ascii="Times New Roman" w:hAnsi="Times New Roman" w:eastAsia="Arial Unicode MS" w:cs="Times New Roman"/>
          <w:sz w:val="24"/>
          <w:szCs w:val="24"/>
          <w:lang w:val="es-PE" w:eastAsia="ar-SA"/>
        </w:rPr>
        <w:t>2</w:t>
      </w:r>
      <w:r w:rsidRPr="00E02C4A" w:rsidR="00707C99">
        <w:rPr>
          <w:rFonts w:ascii="Times New Roman" w:hAnsi="Times New Roman" w:eastAsia="Times New Roman" w:cs="Times New Roman"/>
          <w:sz w:val="24"/>
          <w:szCs w:val="24"/>
          <w:lang w:val="es-PE" w:eastAsia="ar-SA"/>
        </w:rPr>
        <w:t xml:space="preserve"> </w:t>
      </w:r>
    </w:p>
    <w:p w:rsidRPr="00E02C4A"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E02C4A"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02C4A"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E02C4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E02C4A"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E02C4A" w:rsidR="001233F2" w:rsidP="001233F2" w:rsidRDefault="001233F2" w14:paraId="74409CB4"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 xml:space="preserve">María Eugenia Valdez Fernández Baca – </w:t>
      </w:r>
      <w:proofErr w:type="gramStart"/>
      <w:r w:rsidRPr="00E02C4A">
        <w:rPr>
          <w:rFonts w:ascii="Times New Roman" w:hAnsi="Times New Roman" w:cs="Times New Roman"/>
          <w:b/>
          <w:bCs/>
          <w:sz w:val="24"/>
          <w:szCs w:val="24"/>
          <w:lang w:val="es-PE"/>
        </w:rPr>
        <w:t>Presidente</w:t>
      </w:r>
      <w:proofErr w:type="gramEnd"/>
    </w:p>
    <w:p w:rsidRPr="00E02C4A" w:rsidR="001233F2" w:rsidP="001233F2" w:rsidRDefault="001233F2" w14:paraId="6DC8A5AA"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 xml:space="preserve">Rolando Eyzaguirre </w:t>
      </w:r>
      <w:proofErr w:type="spellStart"/>
      <w:r w:rsidRPr="00E02C4A">
        <w:rPr>
          <w:rFonts w:ascii="Times New Roman" w:hAnsi="Times New Roman" w:cs="Times New Roman"/>
          <w:b/>
          <w:bCs/>
          <w:sz w:val="24"/>
          <w:szCs w:val="24"/>
          <w:lang w:val="es-PE"/>
        </w:rPr>
        <w:t>Maccan</w:t>
      </w:r>
      <w:proofErr w:type="spellEnd"/>
      <w:r w:rsidRPr="00E02C4A">
        <w:rPr>
          <w:rFonts w:ascii="Times New Roman" w:hAnsi="Times New Roman" w:cs="Times New Roman"/>
          <w:b/>
          <w:bCs/>
          <w:sz w:val="24"/>
          <w:szCs w:val="24"/>
          <w:lang w:val="es-PE"/>
        </w:rPr>
        <w:t xml:space="preserve"> – Vocal</w:t>
      </w:r>
    </w:p>
    <w:p w:rsidRPr="00E02C4A" w:rsidR="001233F2" w:rsidP="001233F2" w:rsidRDefault="001233F2" w14:paraId="458869C3"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Marco Antonio Ortega Piana – Vocal</w:t>
      </w:r>
    </w:p>
    <w:p w:rsidRPr="00A446D0" w:rsidR="001233F2" w:rsidP="001233F2" w:rsidRDefault="001233F2" w14:paraId="1D4E3330" w14:textId="77777777">
      <w:pPr>
        <w:spacing w:after="0" w:line="360" w:lineRule="auto"/>
        <w:jc w:val="center"/>
        <w:rPr>
          <w:rFonts w:ascii="Times New Roman" w:hAnsi="Times New Roman" w:cs="Times New Roman"/>
          <w:sz w:val="24"/>
          <w:szCs w:val="24"/>
          <w:lang w:val="es-PE"/>
        </w:rPr>
      </w:pPr>
      <w:r w:rsidRPr="00A446D0">
        <w:rPr>
          <w:rFonts w:ascii="Times New Roman" w:hAnsi="Times New Roman" w:cs="Times New Roman"/>
          <w:b/>
          <w:bCs/>
          <w:sz w:val="24"/>
          <w:szCs w:val="24"/>
          <w:lang w:val="es-PE"/>
        </w:rPr>
        <w:t>Gonzalo Abad del Busto – Vocal</w:t>
      </w:r>
    </w:p>
    <w:p w:rsidRPr="00A446D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4201E5"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4201E5"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84FBA" w:rsidP="00784355" w:rsidRDefault="00C84FBA" w14:paraId="507FC1E4" w14:textId="77777777">
      <w:pPr>
        <w:spacing w:after="0" w:line="240" w:lineRule="auto"/>
      </w:pPr>
      <w:r>
        <w:separator/>
      </w:r>
    </w:p>
  </w:endnote>
  <w:endnote w:type="continuationSeparator" w:id="0">
    <w:p w:rsidR="00C84FBA" w:rsidP="00784355" w:rsidRDefault="00C84FBA" w14:paraId="7CA3D78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84FBA" w:rsidP="00784355" w:rsidRDefault="00C84FBA" w14:paraId="5C8E6771" w14:textId="77777777">
      <w:pPr>
        <w:spacing w:after="0" w:line="240" w:lineRule="auto"/>
      </w:pPr>
      <w:r>
        <w:separator/>
      </w:r>
    </w:p>
  </w:footnote>
  <w:footnote w:type="continuationSeparator" w:id="0">
    <w:p w:rsidR="00C84FBA" w:rsidP="00784355" w:rsidRDefault="00C84FBA" w14:paraId="07B2C1B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7"/>
  </w:num>
  <w:num w:numId="3" w16cid:durableId="760956054">
    <w:abstractNumId w:val="4"/>
  </w:num>
  <w:num w:numId="4" w16cid:durableId="1079518208">
    <w:abstractNumId w:val="3"/>
  </w:num>
  <w:num w:numId="5" w16cid:durableId="1198003566">
    <w:abstractNumId w:val="5"/>
  </w:num>
  <w:num w:numId="6" w16cid:durableId="1607540339">
    <w:abstractNumId w:val="0"/>
  </w:num>
  <w:num w:numId="7" w16cid:durableId="1490902120">
    <w:abstractNumId w:val="8"/>
  </w:num>
  <w:num w:numId="8" w16cid:durableId="615214413">
    <w:abstractNumId w:val="9"/>
  </w:num>
  <w:num w:numId="9" w16cid:durableId="10181194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365E3"/>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3D6F"/>
    <w:rsid w:val="000F6340"/>
    <w:rsid w:val="0011308C"/>
    <w:rsid w:val="001230C6"/>
    <w:rsid w:val="001233F2"/>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F09CA"/>
    <w:rsid w:val="002F35F0"/>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17E23"/>
    <w:rsid w:val="004201E5"/>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924"/>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408A2"/>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26BD2"/>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0419"/>
    <w:rsid w:val="007F14C0"/>
    <w:rsid w:val="007F6BA4"/>
    <w:rsid w:val="007F74F1"/>
    <w:rsid w:val="008010D0"/>
    <w:rsid w:val="008020A1"/>
    <w:rsid w:val="00816B3F"/>
    <w:rsid w:val="0081754D"/>
    <w:rsid w:val="008177B9"/>
    <w:rsid w:val="00821801"/>
    <w:rsid w:val="00821DED"/>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270F"/>
    <w:rsid w:val="008D6DDF"/>
    <w:rsid w:val="008F1161"/>
    <w:rsid w:val="008F479E"/>
    <w:rsid w:val="008F7C83"/>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52030"/>
    <w:rsid w:val="00A57F06"/>
    <w:rsid w:val="00A62BEC"/>
    <w:rsid w:val="00A658C1"/>
    <w:rsid w:val="00A734AD"/>
    <w:rsid w:val="00A837A0"/>
    <w:rsid w:val="00A90926"/>
    <w:rsid w:val="00A9477C"/>
    <w:rsid w:val="00A97287"/>
    <w:rsid w:val="00AA2DED"/>
    <w:rsid w:val="00AB1C66"/>
    <w:rsid w:val="00AB2184"/>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1DBC"/>
    <w:rsid w:val="00BC29D0"/>
    <w:rsid w:val="00BD797F"/>
    <w:rsid w:val="00BE1470"/>
    <w:rsid w:val="00BE7C72"/>
    <w:rsid w:val="00BF1421"/>
    <w:rsid w:val="00BF414E"/>
    <w:rsid w:val="00BF4646"/>
    <w:rsid w:val="00BF78BF"/>
    <w:rsid w:val="00C00BBF"/>
    <w:rsid w:val="00C02CC4"/>
    <w:rsid w:val="00C04AA4"/>
    <w:rsid w:val="00C05445"/>
    <w:rsid w:val="00C12CBD"/>
    <w:rsid w:val="00C134DB"/>
    <w:rsid w:val="00C16F53"/>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4FBA"/>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65AF1"/>
    <w:rsid w:val="00D73109"/>
    <w:rsid w:val="00D76C43"/>
    <w:rsid w:val="00D810EC"/>
    <w:rsid w:val="00D835B6"/>
    <w:rsid w:val="00D84464"/>
    <w:rsid w:val="00D92C44"/>
    <w:rsid w:val="00DA0540"/>
    <w:rsid w:val="00DA2840"/>
    <w:rsid w:val="00DA4030"/>
    <w:rsid w:val="00DB15FD"/>
    <w:rsid w:val="00DB58EC"/>
    <w:rsid w:val="00DC399B"/>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ADE40"/>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73EC5"/>
    <w:rsid w:val="00F81150"/>
    <w:rsid w:val="00F833B7"/>
    <w:rsid w:val="00F83A22"/>
    <w:rsid w:val="00F84CF9"/>
    <w:rsid w:val="00F87C6C"/>
    <w:rsid w:val="00F87E38"/>
    <w:rsid w:val="00F97EA2"/>
    <w:rsid w:val="00FA155E"/>
    <w:rsid w:val="00FA2322"/>
    <w:rsid w:val="00FB4B0C"/>
    <w:rsid w:val="00FB4CAB"/>
    <w:rsid w:val="00FC0D10"/>
    <w:rsid w:val="00FC1934"/>
    <w:rsid w:val="00FC619D"/>
    <w:rsid w:val="00FE38F0"/>
    <w:rsid w:val="00FE43A9"/>
    <w:rsid w:val="00FF41F3"/>
    <w:rsid w:val="041A96CA"/>
    <w:rsid w:val="0AC2562C"/>
    <w:rsid w:val="2F5E82BA"/>
    <w:rsid w:val="4936FF14"/>
    <w:rsid w:val="6696AEF5"/>
    <w:rsid w:val="6C9D852B"/>
    <w:rsid w:val="713EC67F"/>
    <w:rsid w:val="74D8FF37"/>
    <w:rsid w:val="7F9EB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5c85c5002e8c4e21" Type="http://schemas.openxmlformats.org/officeDocument/2006/relationships/hyperlink" Target="http://www.defaseg.com.pe/reglamento" TargetMode="Externa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57E4334-813F-4597-85F6-8A8B499048E6}"/>
</file>

<file path=customXml/itemProps3.xml><?xml version="1.0" encoding="utf-8"?>
<ds:datastoreItem xmlns:ds="http://schemas.openxmlformats.org/officeDocument/2006/customXml" ds:itemID="{EAED02B5-D499-4E47-BFEC-A166E91B2AD8}"/>
</file>

<file path=customXml/itemProps4.xml><?xml version="1.0" encoding="utf-8"?>
<ds:datastoreItem xmlns:ds="http://schemas.openxmlformats.org/officeDocument/2006/customXml" ds:itemID="{DA912AD6-BC90-453E-B91D-03751BE13A8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61</cp:revision>
  <cp:lastPrinted>2022-04-12T16:02:00Z</cp:lastPrinted>
  <dcterms:created xsi:type="dcterms:W3CDTF">2020-12-18T20:17:00Z</dcterms:created>
  <dcterms:modified xsi:type="dcterms:W3CDTF">2025-11-25T21:52:03Z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