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D3031" w:rsidR="00707C99" w:rsidP="00272F4F" w:rsidRDefault="00201C0D" w14:paraId="19FE0E96" w14:textId="1DC3B8B4">
      <w:pPr>
        <w:spacing w:after="0" w:line="240" w:lineRule="auto"/>
        <w:jc w:val="center"/>
        <w:rPr>
          <w:rFonts w:ascii="Times New Roman" w:hAnsi="Times New Roman" w:cs="Times New Roman"/>
          <w:b/>
          <w:sz w:val="24"/>
          <w:szCs w:val="24"/>
          <w:lang w:val="es-PE" w:eastAsia="ar-SA"/>
        </w:rPr>
      </w:pPr>
      <w:r w:rsidRPr="00DD3031">
        <w:rPr>
          <w:rFonts w:ascii="Times New Roman" w:hAnsi="Times New Roman" w:cs="Times New Roman"/>
          <w:b/>
          <w:sz w:val="24"/>
          <w:szCs w:val="24"/>
          <w:lang w:val="es-PE" w:eastAsia="ar-SA"/>
        </w:rPr>
        <w:t xml:space="preserve">RESOLUCIÓN DE RECURSO IMPUGNATIVO </w:t>
      </w:r>
      <w:proofErr w:type="spellStart"/>
      <w:r w:rsidRPr="00DD3031" w:rsidR="00707C99">
        <w:rPr>
          <w:rFonts w:ascii="Times New Roman" w:hAnsi="Times New Roman" w:cs="Times New Roman"/>
          <w:b/>
          <w:sz w:val="24"/>
          <w:szCs w:val="24"/>
          <w:lang w:val="es-PE" w:eastAsia="ar-SA"/>
        </w:rPr>
        <w:t>N°</w:t>
      </w:r>
      <w:proofErr w:type="spellEnd"/>
      <w:r w:rsidRPr="00DD3031" w:rsidR="00707C99">
        <w:rPr>
          <w:rFonts w:ascii="Times New Roman" w:hAnsi="Times New Roman" w:cs="Times New Roman"/>
          <w:b/>
          <w:sz w:val="24"/>
          <w:szCs w:val="24"/>
          <w:lang w:val="es-PE" w:eastAsia="ar-SA"/>
        </w:rPr>
        <w:t xml:space="preserve"> </w:t>
      </w:r>
      <w:r w:rsidRPr="00DD3031" w:rsidR="00C671F5">
        <w:rPr>
          <w:rFonts w:ascii="Times New Roman" w:hAnsi="Times New Roman" w:cs="Times New Roman"/>
          <w:b/>
          <w:sz w:val="24"/>
          <w:szCs w:val="24"/>
          <w:lang w:val="es-PE" w:eastAsia="ar-SA"/>
        </w:rPr>
        <w:t>0</w:t>
      </w:r>
      <w:r w:rsidRPr="00DD3031" w:rsidR="0009634E">
        <w:rPr>
          <w:rFonts w:ascii="Times New Roman" w:hAnsi="Times New Roman" w:cs="Times New Roman"/>
          <w:b/>
          <w:sz w:val="24"/>
          <w:szCs w:val="24"/>
          <w:lang w:val="es-PE" w:eastAsia="ar-SA"/>
        </w:rPr>
        <w:t>2</w:t>
      </w:r>
      <w:r w:rsidRPr="00DD3031" w:rsidR="00BE2860">
        <w:rPr>
          <w:rFonts w:ascii="Times New Roman" w:hAnsi="Times New Roman" w:cs="Times New Roman"/>
          <w:b/>
          <w:sz w:val="24"/>
          <w:szCs w:val="24"/>
          <w:lang w:val="es-PE" w:eastAsia="ar-SA"/>
        </w:rPr>
        <w:t>1</w:t>
      </w:r>
      <w:r w:rsidRPr="00DD3031" w:rsidR="00C671F5">
        <w:rPr>
          <w:rFonts w:ascii="Times New Roman" w:hAnsi="Times New Roman" w:cs="Times New Roman"/>
          <w:b/>
          <w:sz w:val="24"/>
          <w:szCs w:val="24"/>
          <w:lang w:val="es-PE" w:eastAsia="ar-SA"/>
        </w:rPr>
        <w:t>/2</w:t>
      </w:r>
      <w:r w:rsidRPr="00DD3031" w:rsidR="00B93C7A">
        <w:rPr>
          <w:rFonts w:ascii="Times New Roman" w:hAnsi="Times New Roman" w:cs="Times New Roman"/>
          <w:b/>
          <w:sz w:val="24"/>
          <w:szCs w:val="24"/>
          <w:lang w:val="es-PE" w:eastAsia="ar-SA"/>
        </w:rPr>
        <w:t>2</w:t>
      </w:r>
    </w:p>
    <w:p w:rsidRPr="00DD3031" w:rsidR="00FB4CAB" w:rsidP="00FB4CAB" w:rsidRDefault="00FB4CAB" w14:paraId="337F97DA" w14:textId="77777777">
      <w:pPr>
        <w:suppressAutoHyphens/>
        <w:jc w:val="both"/>
        <w:outlineLvl w:val="0"/>
        <w:rPr>
          <w:rFonts w:ascii="Times New Roman" w:hAnsi="Times New Roman" w:eastAsia="Times New Roman" w:cs="Times New Roman"/>
          <w:b/>
          <w:bCs/>
          <w:sz w:val="24"/>
          <w:szCs w:val="24"/>
          <w:lang w:val="es-MX" w:eastAsia="ar-SA"/>
        </w:rPr>
      </w:pPr>
    </w:p>
    <w:p w:rsidRPr="00DD3031" w:rsidR="00DD3031" w:rsidP="00DD3031" w:rsidRDefault="00DD3031" w14:paraId="5CBD0979" w14:textId="77777777">
      <w:pPr>
        <w:suppressAutoHyphens/>
        <w:spacing w:after="0" w:line="240" w:lineRule="auto"/>
        <w:jc w:val="both"/>
        <w:outlineLvl w:val="0"/>
        <w:rPr>
          <w:rFonts w:ascii="Times New Roman" w:hAnsi="Times New Roman" w:eastAsia="Times New Roman" w:cs="Times New Roman"/>
          <w:b/>
          <w:bCs/>
          <w:sz w:val="24"/>
          <w:szCs w:val="24"/>
          <w:lang w:val="es-MX" w:eastAsia="ar-SA"/>
        </w:rPr>
      </w:pPr>
      <w:r w:rsidRPr="00DD3031">
        <w:rPr>
          <w:rFonts w:ascii="Times New Roman" w:hAnsi="Times New Roman" w:eastAsia="Times New Roman" w:cs="Times New Roman"/>
          <w:b/>
          <w:bCs/>
          <w:sz w:val="24"/>
          <w:szCs w:val="24"/>
          <w:lang w:val="es-MX" w:eastAsia="ar-SA"/>
        </w:rPr>
        <w:t>Vistos:</w:t>
      </w:r>
    </w:p>
    <w:p w:rsidRPr="00DD3031" w:rsidR="00DD3031" w:rsidP="00DD3031" w:rsidRDefault="00DD3031" w14:paraId="5B215DA4" w14:textId="77777777">
      <w:pPr>
        <w:suppressAutoHyphens/>
        <w:spacing w:after="0" w:line="240" w:lineRule="auto"/>
        <w:jc w:val="both"/>
        <w:rPr>
          <w:rFonts w:ascii="Times New Roman" w:hAnsi="Times New Roman" w:eastAsia="Times New Roman" w:cs="Times New Roman"/>
          <w:b/>
          <w:bCs/>
          <w:sz w:val="24"/>
          <w:szCs w:val="24"/>
          <w:lang w:val="es-MX" w:eastAsia="ar-SA"/>
        </w:rPr>
      </w:pPr>
      <w:r w:rsidRPr="00DD3031">
        <w:rPr>
          <w:rFonts w:ascii="Times New Roman" w:hAnsi="Times New Roman" w:eastAsia="Times New Roman" w:cs="Times New Roman"/>
          <w:b/>
          <w:bCs/>
          <w:sz w:val="24"/>
          <w:szCs w:val="24"/>
          <w:lang w:val="es-MX" w:eastAsia="ar-SA"/>
        </w:rPr>
        <w:t xml:space="preserve">   </w:t>
      </w:r>
    </w:p>
    <w:p w:rsidRPr="00DD3031" w:rsidR="00DD3031" w:rsidP="00DD3031" w:rsidRDefault="00DD3031" w14:paraId="2A1251FE" w14:textId="5B031A0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sz w:val="24"/>
          <w:szCs w:val="24"/>
          <w:lang w:val="es-PE" w:eastAsia="es-ES"/>
        </w:rPr>
      </w:pPr>
      <w:r w:rsidRPr="4E25EDF5" w:rsidR="00DD3031">
        <w:rPr>
          <w:rFonts w:ascii="Times New Roman" w:hAnsi="Times New Roman" w:eastAsia="Times New Roman" w:cs="Times New Roman"/>
          <w:sz w:val="24"/>
          <w:szCs w:val="24"/>
          <w:lang w:val="es-ES" w:eastAsia="ar-SA"/>
        </w:rPr>
        <w:t>El recurso de impugnación presentado con fecha 18 de marzo de 2022 por</w:t>
      </w:r>
      <w:r w:rsidRPr="4E25EDF5" w:rsidR="00DD3031">
        <w:rPr>
          <w:rFonts w:ascii="Times New Roman" w:hAnsi="Times New Roman" w:cs="Times New Roman"/>
          <w:sz w:val="24"/>
          <w:szCs w:val="24"/>
          <w:lang w:val="es-ES"/>
        </w:rPr>
        <w:t xml:space="preserve"> don </w:t>
      </w:r>
      <w:r w:rsidRPr="4E25EDF5" w:rsidR="0505C5A1">
        <w:rPr>
          <w:rFonts w:ascii="Times New Roman" w:hAnsi="Times New Roman" w:cs="Times New Roman"/>
          <w:sz w:val="24"/>
          <w:szCs w:val="24"/>
          <w:lang w:val="es-ES"/>
        </w:rPr>
        <w:t>....................................................</w:t>
      </w:r>
      <w:r w:rsidRPr="4E25EDF5" w:rsidR="00DD3031">
        <w:rPr>
          <w:rFonts w:ascii="Times New Roman" w:hAnsi="Times New Roman" w:cs="Times New Roman"/>
          <w:sz w:val="24"/>
          <w:szCs w:val="24"/>
          <w:lang w:val="es-ES"/>
        </w:rPr>
        <w:t xml:space="preserve"> </w:t>
      </w:r>
      <w:r w:rsidRPr="4E25EDF5" w:rsidR="00DD3031">
        <w:rPr>
          <w:rFonts w:ascii="Times New Roman" w:hAnsi="Times New Roman" w:eastAsia="Times New Roman" w:cs="Times New Roman"/>
          <w:sz w:val="24"/>
          <w:szCs w:val="24"/>
          <w:lang w:val="es-ES" w:eastAsia="ar-SA"/>
        </w:rPr>
        <w:t xml:space="preserve">respecto de la Resolución Nro. 050/22, de fecha 14 de marzo de 2022, emitida por esta Defensoría del Asegurado (DEFASEG), que declaró INFUNDADA </w:t>
      </w:r>
      <w:r w:rsidRPr="4E25EDF5" w:rsidR="00DD3031">
        <w:rPr>
          <w:rFonts w:ascii="Times New Roman" w:hAnsi="Times New Roman" w:eastAsia="Arial Unicode MS" w:cs="Times New Roman"/>
          <w:sz w:val="24"/>
          <w:szCs w:val="24"/>
          <w:lang w:val="es-ES"/>
        </w:rPr>
        <w:t>su</w:t>
      </w:r>
      <w:r w:rsidRPr="4E25EDF5" w:rsidR="00DD3031">
        <w:rPr>
          <w:rFonts w:ascii="Times New Roman" w:hAnsi="Times New Roman" w:eastAsia="Arial Unicode MS" w:cs="Times New Roman"/>
          <w:sz w:val="24"/>
          <w:szCs w:val="24"/>
          <w:lang w:val="es-PE"/>
        </w:rPr>
        <w:t xml:space="preserve"> reclamación interpuesta contra </w:t>
      </w:r>
      <w:r w:rsidRPr="4E25EDF5" w:rsidR="60FFCC83">
        <w:rPr>
          <w:rFonts w:ascii="Times New Roman" w:hAnsi="Times New Roman" w:eastAsia="Arial Unicode MS" w:cs="Times New Roman"/>
          <w:sz w:val="24"/>
          <w:szCs w:val="24"/>
          <w:lang w:val="es-PE"/>
        </w:rPr>
        <w:t>......................................</w:t>
      </w:r>
      <w:r w:rsidRPr="4E25EDF5" w:rsidR="00DD3031">
        <w:rPr>
          <w:rFonts w:ascii="Times New Roman" w:hAnsi="Times New Roman" w:eastAsia="Times New Roman" w:cs="Times New Roman"/>
          <w:sz w:val="24"/>
          <w:szCs w:val="24"/>
          <w:lang w:val="es-PE" w:eastAsia="es-ES"/>
        </w:rPr>
        <w:t xml:space="preserve"> </w:t>
      </w:r>
      <w:bookmarkStart w:name="OLE_LINK2" w:id="0"/>
      <w:r w:rsidRPr="4E25EDF5" w:rsidR="00DD3031">
        <w:rPr>
          <w:rFonts w:ascii="Times New Roman" w:hAnsi="Times New Roman" w:cs="Times New Roman"/>
          <w:sz w:val="24"/>
          <w:szCs w:val="24"/>
          <w:lang w:val="es-ES"/>
        </w:rPr>
        <w:t>sobre</w:t>
      </w:r>
      <w:r w:rsidRPr="4E25EDF5" w:rsidR="00DD3031">
        <w:rPr>
          <w:rFonts w:ascii="Times New Roman" w:hAnsi="Times New Roman" w:cs="Times New Roman"/>
          <w:sz w:val="24"/>
          <w:szCs w:val="24"/>
          <w:lang w:val="es-PE"/>
        </w:rPr>
        <w:t xml:space="preserve"> </w:t>
      </w:r>
      <w:r w:rsidRPr="4E25EDF5" w:rsidR="00DD3031">
        <w:rPr>
          <w:rFonts w:ascii="Times New Roman" w:hAnsi="Times New Roman" w:eastAsia="Times New Roman" w:cs="Times New Roman"/>
          <w:sz w:val="24"/>
          <w:szCs w:val="24"/>
          <w:lang w:val="es-PE" w:eastAsia="es-ES"/>
        </w:rPr>
        <w:t xml:space="preserve">otorgamiento de cobertura al siniestro ocurrido con fecha </w:t>
      </w:r>
      <w:bookmarkEnd w:id="0"/>
      <w:r w:rsidRPr="4E25EDF5" w:rsidR="00DD3031">
        <w:rPr>
          <w:rFonts w:ascii="Times New Roman" w:hAnsi="Times New Roman" w:eastAsia="Times New Roman" w:cs="Times New Roman"/>
          <w:sz w:val="24"/>
          <w:szCs w:val="24"/>
          <w:lang w:val="es-PE" w:eastAsia="es-ES"/>
        </w:rPr>
        <w:t>9 de julio de 2021</w:t>
      </w:r>
      <w:r w:rsidRPr="4E25EDF5" w:rsidR="00DD3031">
        <w:rPr>
          <w:rFonts w:ascii="Times New Roman" w:hAnsi="Times New Roman" w:cs="Times New Roman"/>
          <w:sz w:val="24"/>
          <w:szCs w:val="24"/>
          <w:lang w:val="es-ES" w:eastAsia="es-ES"/>
        </w:rPr>
        <w:t>,</w:t>
      </w:r>
      <w:r w:rsidRPr="4E25EDF5" w:rsidR="00DD3031">
        <w:rPr>
          <w:rFonts w:ascii="Times New Roman" w:hAnsi="Times New Roman" w:eastAsia="Times New Roman" w:cs="Times New Roman"/>
          <w:sz w:val="24"/>
          <w:szCs w:val="24"/>
          <w:lang w:val="es-ES" w:eastAsia="es-ES"/>
        </w:rPr>
        <w:t xml:space="preserve"> conforme</w:t>
      </w:r>
      <w:r w:rsidRPr="4E25EDF5" w:rsidR="00DD3031">
        <w:rPr>
          <w:rFonts w:ascii="Times New Roman" w:hAnsi="Times New Roman" w:eastAsia="Times New Roman" w:cs="Times New Roman"/>
          <w:sz w:val="24"/>
          <w:szCs w:val="24"/>
          <w:lang w:val="es-PE" w:eastAsia="es-ES"/>
        </w:rPr>
        <w:t xml:space="preserve"> a los términos y condiciones del </w:t>
      </w:r>
      <w:r w:rsidRPr="4E25EDF5" w:rsidR="00DD3031">
        <w:rPr>
          <w:rFonts w:ascii="Times New Roman" w:hAnsi="Times New Roman" w:cs="Times New Roman"/>
          <w:sz w:val="24"/>
          <w:szCs w:val="24"/>
          <w:lang w:val="es-ES"/>
        </w:rPr>
        <w:t>Seguro</w:t>
      </w:r>
      <w:r w:rsidRPr="4E25EDF5" w:rsidR="00DD3031">
        <w:rPr>
          <w:rFonts w:ascii="Times New Roman" w:hAnsi="Times New Roman" w:cs="Times New Roman"/>
          <w:sz w:val="24"/>
          <w:szCs w:val="24"/>
          <w:lang w:val="es-PE"/>
        </w:rPr>
        <w:t xml:space="preserve"> de Autos Todo Riesgo – Plan Full, póliza Nro. </w:t>
      </w:r>
      <w:r w:rsidRPr="4E25EDF5" w:rsidR="0517E51B">
        <w:rPr>
          <w:rFonts w:ascii="Times New Roman" w:hAnsi="Times New Roman" w:cs="Times New Roman"/>
          <w:sz w:val="24"/>
          <w:szCs w:val="24"/>
          <w:lang w:val="es-PE"/>
        </w:rPr>
        <w:t>.............................</w:t>
      </w:r>
      <w:r w:rsidRPr="4E25EDF5" w:rsidR="00DD3031">
        <w:rPr>
          <w:rFonts w:ascii="Times New Roman" w:hAnsi="Times New Roman" w:cs="Times New Roman"/>
          <w:sz w:val="24"/>
          <w:szCs w:val="24"/>
          <w:lang w:val="es-PE"/>
        </w:rPr>
        <w:t>;</w:t>
      </w:r>
    </w:p>
    <w:p w:rsidRPr="00DD3031" w:rsidR="00DD3031" w:rsidP="00DD3031" w:rsidRDefault="00DD3031" w14:paraId="1BE048F4" w14:textId="77777777">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eastAsia="Times New Roman" w:cs="Times New Roman"/>
          <w:bCs/>
          <w:sz w:val="24"/>
          <w:szCs w:val="24"/>
          <w:lang w:val="es-ES" w:eastAsia="es-ES"/>
        </w:rPr>
      </w:pPr>
    </w:p>
    <w:p w:rsidRPr="00DD3031" w:rsidR="00DD3031" w:rsidP="00DD3031" w:rsidRDefault="00DD3031" w14:paraId="065B7DA7"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DD3031">
        <w:rPr>
          <w:rFonts w:ascii="Times New Roman" w:hAnsi="Times New Roman" w:eastAsia="Times New Roman" w:cs="Times New Roman"/>
          <w:bCs/>
          <w:sz w:val="24"/>
          <w:szCs w:val="24"/>
          <w:lang w:val="es-MX" w:eastAsia="ar-SA"/>
        </w:rPr>
        <w:t xml:space="preserve">Que, a través del señalado recurso, sobre la base de la Ley Nro. 27444 – Ley del Procedimiento Administrativo General, el asegurado cuestiona lo resuelto por este colegiado, señalando resumida y principalmente lo siguiente: (i) La DEFASEG impone un criterio interpretativo, sobre lo sucedido, que contradice, a lo señalado en el </w:t>
      </w:r>
      <w:r w:rsidRPr="00DD3031">
        <w:rPr>
          <w:rFonts w:ascii="Times New Roman" w:hAnsi="Times New Roman" w:cs="Times New Roman"/>
          <w:sz w:val="24"/>
          <w:szCs w:val="24"/>
          <w:lang w:val="es-PE" w:eastAsia="es-ES"/>
        </w:rPr>
        <w:t xml:space="preserve">Informe Policial Nro. 042-2021-XII-MACREPOL.ANC/REGPOL-A/DIVOPUES-HZ/UPIAT-PNP.HZ, </w:t>
      </w:r>
      <w:r w:rsidRPr="00DD3031">
        <w:rPr>
          <w:rFonts w:ascii="Times New Roman" w:hAnsi="Times New Roman" w:eastAsia="Times New Roman" w:cs="Times New Roman"/>
          <w:bCs/>
          <w:sz w:val="24"/>
          <w:szCs w:val="24"/>
          <w:lang w:val="es-MX" w:eastAsia="ar-SA"/>
        </w:rPr>
        <w:t xml:space="preserve">siendo que tampoco valora lo sostenido -por quien identifica como experto en la materia- en el Informe de </w:t>
      </w:r>
      <w:proofErr w:type="spellStart"/>
      <w:r w:rsidRPr="00DD3031">
        <w:rPr>
          <w:rFonts w:ascii="Times New Roman" w:hAnsi="Times New Roman" w:eastAsia="Times New Roman" w:cs="Times New Roman"/>
          <w:bCs/>
          <w:sz w:val="24"/>
          <w:szCs w:val="24"/>
          <w:lang w:val="es-MX" w:eastAsia="ar-SA"/>
        </w:rPr>
        <w:t>Accidentología</w:t>
      </w:r>
      <w:proofErr w:type="spellEnd"/>
      <w:r w:rsidRPr="00DD3031">
        <w:rPr>
          <w:rFonts w:ascii="Times New Roman" w:hAnsi="Times New Roman" w:eastAsia="Times New Roman" w:cs="Times New Roman"/>
          <w:bCs/>
          <w:sz w:val="24"/>
          <w:szCs w:val="24"/>
          <w:lang w:val="es-MX" w:eastAsia="ar-SA"/>
        </w:rPr>
        <w:t xml:space="preserve"> Vial Nro.01-2021, lo cual obra en el expediente, (</w:t>
      </w:r>
      <w:proofErr w:type="spellStart"/>
      <w:r w:rsidRPr="00DD3031">
        <w:rPr>
          <w:rFonts w:ascii="Times New Roman" w:hAnsi="Times New Roman" w:eastAsia="Times New Roman" w:cs="Times New Roman"/>
          <w:bCs/>
          <w:sz w:val="24"/>
          <w:szCs w:val="24"/>
          <w:lang w:val="es-MX" w:eastAsia="ar-SA"/>
        </w:rPr>
        <w:t>ii</w:t>
      </w:r>
      <w:proofErr w:type="spellEnd"/>
      <w:r w:rsidRPr="00DD3031">
        <w:rPr>
          <w:rFonts w:ascii="Times New Roman" w:hAnsi="Times New Roman" w:eastAsia="Times New Roman" w:cs="Times New Roman"/>
          <w:bCs/>
          <w:sz w:val="24"/>
          <w:szCs w:val="24"/>
          <w:lang w:val="es-MX" w:eastAsia="ar-SA"/>
        </w:rPr>
        <w:t>) La DEFASEG convierte a la exclusión sobre “negligencia”, en “negligencia grave o inexcusable”, concluyendo que el conductor incurrió en la misma, (</w:t>
      </w:r>
      <w:proofErr w:type="spellStart"/>
      <w:r w:rsidRPr="00DD3031">
        <w:rPr>
          <w:rFonts w:ascii="Times New Roman" w:hAnsi="Times New Roman" w:eastAsia="Times New Roman" w:cs="Times New Roman"/>
          <w:bCs/>
          <w:sz w:val="24"/>
          <w:szCs w:val="24"/>
          <w:lang w:val="es-MX" w:eastAsia="ar-SA"/>
        </w:rPr>
        <w:t>iii</w:t>
      </w:r>
      <w:proofErr w:type="spellEnd"/>
      <w:r w:rsidRPr="00DD3031">
        <w:rPr>
          <w:rFonts w:ascii="Times New Roman" w:hAnsi="Times New Roman" w:eastAsia="Times New Roman" w:cs="Times New Roman"/>
          <w:bCs/>
          <w:sz w:val="24"/>
          <w:szCs w:val="24"/>
          <w:lang w:val="es-MX" w:eastAsia="ar-SA"/>
        </w:rPr>
        <w:t>) Niega haber admitido en la audiencia de vista que, en la cadena de eventos, el vehículo se detuvo, porque lo sucedido ocurrió de manera ininterrumpida, por lo que el despiste o desbarrancamiento no se explica por una maniobra negligente, sino como consecuencia del despiste parcial en la cuneta (la que identifica como causa adecuada), de manera que no ha habido un hecho o evento nuevo que dependa del conductor, siendo que lo concluido por la DEFASEG desconoce lo analizado por la autoridad policial en un instrumento público, (</w:t>
      </w:r>
      <w:proofErr w:type="spellStart"/>
      <w:r w:rsidRPr="00DD3031">
        <w:rPr>
          <w:rFonts w:ascii="Times New Roman" w:hAnsi="Times New Roman" w:eastAsia="Times New Roman" w:cs="Times New Roman"/>
          <w:bCs/>
          <w:sz w:val="24"/>
          <w:szCs w:val="24"/>
          <w:lang w:val="es-MX" w:eastAsia="ar-SA"/>
        </w:rPr>
        <w:t>iv</w:t>
      </w:r>
      <w:proofErr w:type="spellEnd"/>
      <w:r w:rsidRPr="00DD3031">
        <w:rPr>
          <w:rFonts w:ascii="Times New Roman" w:hAnsi="Times New Roman" w:eastAsia="Times New Roman" w:cs="Times New Roman"/>
          <w:bCs/>
          <w:sz w:val="24"/>
          <w:szCs w:val="24"/>
          <w:lang w:val="es-MX" w:eastAsia="ar-SA"/>
        </w:rPr>
        <w:t>) De haber duda, aplicando la Ley del Contrato de Seguros, debió resolverse en beneficio del asegurado, ya que la duda interpretativa sobre las estipulaciones contractuales se  interpretan en favor del asegurado, y (v) Al no haberse valorado adecuadamente las pruebas aportadas, se carece de una decisión justa y coherente, siendo que en el presente caso, ante lo informado por la Policía Nacional del Perú no cabe libre valoración de la prueba, estándose ante un documento oficial;</w:t>
      </w:r>
    </w:p>
    <w:p w:rsidRPr="00DD3031" w:rsidR="00DD3031" w:rsidP="00DD3031" w:rsidRDefault="00DD3031" w14:paraId="7EF02E4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D3031" w:rsidR="00DD3031" w:rsidP="4E25EDF5" w:rsidRDefault="00DD3031" w14:paraId="5F2D60D8" w14:textId="0080D802">
      <w:pPr>
        <w:suppressAutoHyphens/>
        <w:spacing w:after="0" w:line="240" w:lineRule="auto"/>
        <w:jc w:val="both"/>
        <w:rPr>
          <w:rFonts w:ascii="Times New Roman" w:hAnsi="Times New Roman" w:eastAsia="Times New Roman" w:cs="Times New Roman"/>
          <w:sz w:val="24"/>
          <w:szCs w:val="24"/>
          <w:lang w:val="es-MX" w:eastAsia="ar-SA"/>
        </w:rPr>
      </w:pPr>
      <w:r w:rsidRPr="4E25EDF5" w:rsidR="00DD3031">
        <w:rPr>
          <w:rFonts w:ascii="Times New Roman" w:hAnsi="Times New Roman" w:eastAsia="Times New Roman" w:cs="Times New Roman"/>
          <w:sz w:val="24"/>
          <w:szCs w:val="24"/>
          <w:lang w:val="es-MX" w:eastAsia="ar-SA"/>
        </w:rPr>
        <w:t xml:space="preserve">Que, habiéndosele corrido traslado de la señalada impugnación, mediante escrito presentado con fecha 25 de marzo de 2022, </w:t>
      </w:r>
      <w:r w:rsidRPr="4E25EDF5" w:rsidR="60FFCC83">
        <w:rPr>
          <w:rFonts w:ascii="Times New Roman" w:hAnsi="Times New Roman" w:eastAsia="Times New Roman" w:cs="Times New Roman"/>
          <w:sz w:val="24"/>
          <w:szCs w:val="24"/>
          <w:lang w:val="es-MX" w:eastAsia="ar-SA"/>
        </w:rPr>
        <w:t>......................................</w:t>
      </w:r>
      <w:r w:rsidRPr="4E25EDF5" w:rsidR="00DD3031">
        <w:rPr>
          <w:rFonts w:ascii="Times New Roman" w:hAnsi="Times New Roman" w:eastAsia="Times New Roman" w:cs="Times New Roman"/>
          <w:sz w:val="24"/>
          <w:szCs w:val="24"/>
          <w:lang w:val="es-MX" w:eastAsia="ar-SA"/>
        </w:rPr>
        <w:t xml:space="preserve"> absolvió el trámite y contradiciendo cada uno de los principales argumentos del asegurado, solicitó que se desestime la impugnación y se confirma la resolución recurrida;</w:t>
      </w:r>
    </w:p>
    <w:p w:rsidRPr="00DD3031" w:rsidR="00DD3031" w:rsidP="00DD3031" w:rsidRDefault="00DD3031" w14:paraId="6AE917B5"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D3031" w:rsidR="00DD3031" w:rsidP="00DD3031" w:rsidRDefault="00DD3031" w14:paraId="0B3F6169" w14:textId="77777777">
      <w:pPr>
        <w:suppressAutoHyphens/>
        <w:spacing w:after="0" w:line="240" w:lineRule="auto"/>
        <w:jc w:val="both"/>
        <w:rPr>
          <w:rFonts w:ascii="Times New Roman" w:hAnsi="Times New Roman" w:cs="Times New Roman"/>
          <w:bCs/>
          <w:sz w:val="24"/>
          <w:szCs w:val="24"/>
          <w:lang w:val="es-ES"/>
        </w:rPr>
      </w:pPr>
      <w:r w:rsidRPr="00DD3031">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DD3031" w:rsidR="00DD3031" w:rsidP="00DD3031" w:rsidRDefault="00DD3031" w14:paraId="1988A6EE" w14:textId="77777777">
      <w:pPr>
        <w:suppressAutoHyphens/>
        <w:spacing w:after="0" w:line="240" w:lineRule="auto"/>
        <w:jc w:val="both"/>
        <w:rPr>
          <w:rFonts w:ascii="Times New Roman" w:hAnsi="Times New Roman" w:eastAsia="Times New Roman" w:cs="Times New Roman"/>
          <w:bCs/>
          <w:sz w:val="24"/>
          <w:szCs w:val="24"/>
          <w:lang w:val="es-MX" w:eastAsia="ar-SA"/>
        </w:rPr>
      </w:pPr>
    </w:p>
    <w:p w:rsidRPr="00DD3031" w:rsidR="00DD3031" w:rsidP="00DD3031" w:rsidRDefault="00DD3031" w14:paraId="2A78AB44"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DD3031">
        <w:rPr>
          <w:rFonts w:ascii="Times New Roman" w:hAnsi="Times New Roman" w:eastAsia="Times New Roman" w:cs="Times New Roman"/>
          <w:b/>
          <w:bCs/>
          <w:sz w:val="24"/>
          <w:szCs w:val="24"/>
          <w:lang w:val="es-MX" w:eastAsia="ar-SA"/>
        </w:rPr>
        <w:t>Considerando:</w:t>
      </w:r>
    </w:p>
    <w:p w:rsidRPr="00DD3031" w:rsidR="00DD3031" w:rsidP="00DD3031" w:rsidRDefault="00DD3031" w14:paraId="724F0905" w14:textId="77777777">
      <w:pPr>
        <w:suppressAutoHyphens/>
        <w:spacing w:after="0" w:line="240" w:lineRule="auto"/>
        <w:jc w:val="both"/>
        <w:rPr>
          <w:rFonts w:ascii="Times New Roman" w:hAnsi="Times New Roman" w:eastAsia="Times New Roman" w:cs="Times New Roman"/>
          <w:sz w:val="24"/>
          <w:szCs w:val="24"/>
          <w:lang w:val="es-ES" w:eastAsia="ar-SA"/>
        </w:rPr>
      </w:pPr>
    </w:p>
    <w:p w:rsidRPr="00DD3031" w:rsidR="00DD3031" w:rsidP="00DD3031" w:rsidRDefault="00DD3031" w14:paraId="5D1A034B" w14:textId="77777777">
      <w:pPr>
        <w:spacing w:after="0" w:line="240" w:lineRule="auto"/>
        <w:jc w:val="both"/>
        <w:rPr>
          <w:rFonts w:ascii="Times New Roman" w:hAnsi="Times New Roman" w:cs="Times New Roman"/>
          <w:sz w:val="24"/>
          <w:szCs w:val="24"/>
          <w:lang w:val="es-PE"/>
        </w:rPr>
      </w:pPr>
      <w:r w:rsidRPr="00DD3031">
        <w:rPr>
          <w:rFonts w:ascii="Times New Roman" w:hAnsi="Times New Roman" w:cs="Times New Roman"/>
          <w:b/>
          <w:sz w:val="24"/>
          <w:szCs w:val="24"/>
          <w:u w:val="single"/>
          <w:lang w:val="es-PE"/>
        </w:rPr>
        <w:t>Primero</w:t>
      </w:r>
      <w:r w:rsidRPr="00DD3031">
        <w:rPr>
          <w:rFonts w:ascii="Times New Roman" w:hAnsi="Times New Roman" w:cs="Times New Roman"/>
          <w:b/>
          <w:sz w:val="24"/>
          <w:szCs w:val="24"/>
          <w:lang w:val="es-PE"/>
        </w:rPr>
        <w:t>:</w:t>
      </w:r>
      <w:r w:rsidRPr="00DD3031">
        <w:rPr>
          <w:rFonts w:ascii="Times New Roman" w:hAnsi="Times New Roman" w:cs="Times New Roman"/>
          <w:sz w:val="24"/>
          <w:szCs w:val="24"/>
          <w:lang w:val="es-PE"/>
        </w:rPr>
        <w:t xml:space="preserve"> El Reglamento de la DEFASEG </w:t>
      </w:r>
      <w:r w:rsidRPr="00DD3031">
        <w:rPr>
          <w:rFonts w:ascii="Times New Roman" w:hAnsi="Times New Roman" w:eastAsia="Arial Unicode MS" w:cs="Times New Roman"/>
          <w:sz w:val="24"/>
          <w:szCs w:val="24"/>
          <w:lang w:val="es-PE"/>
        </w:rPr>
        <w:t xml:space="preserve">(http://www.defaseg.com.pe/reglamento), en su artículo 10, </w:t>
      </w:r>
      <w:r w:rsidRPr="00DD3031">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DD3031">
        <w:rPr>
          <w:rFonts w:ascii="Times New Roman" w:hAnsi="Times New Roman" w:cs="Times New Roman"/>
          <w:sz w:val="24"/>
          <w:szCs w:val="24"/>
          <w:lang w:val="es-ES"/>
        </w:rPr>
        <w:t xml:space="preserve">usuario de seguro </w:t>
      </w:r>
      <w:r w:rsidRPr="00DD3031">
        <w:rPr>
          <w:rFonts w:ascii="Times New Roman" w:hAnsi="Times New Roman" w:cs="Times New Roman"/>
          <w:sz w:val="24"/>
          <w:szCs w:val="24"/>
          <w:lang w:val="es-ES"/>
        </w:rPr>
        <w:lastRenderedPageBreak/>
        <w:t>recurre en forma voluntaria a la Defensoría, siendo que la presentación de una reclamación n</w:t>
      </w:r>
      <w:r w:rsidRPr="00DD3031">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DD3031">
        <w:rPr>
          <w:rFonts w:ascii="Times New Roman" w:hAnsi="Times New Roman" w:cs="Times New Roman"/>
          <w:sz w:val="24"/>
          <w:szCs w:val="24"/>
          <w:lang w:val="es-PE"/>
        </w:rPr>
        <w:t>De acuerdo a</w:t>
      </w:r>
      <w:proofErr w:type="gramEnd"/>
      <w:r w:rsidRPr="00DD3031">
        <w:rPr>
          <w:rFonts w:ascii="Times New Roman" w:hAnsi="Times New Roman" w:cs="Times New Roman"/>
          <w:sz w:val="24"/>
          <w:szCs w:val="24"/>
          <w:lang w:val="es-PE"/>
        </w:rPr>
        <w:t xml:space="preserve"> lo anterior, si el asegurado no se encuentra conforme con lo resuelto, esto último no limita la posibilidad de poder recurrir a las instancias correspondientes, a diferencia de la aseguradora que sí queda comprometida con lo resuelto por la DEFASEG.</w:t>
      </w:r>
    </w:p>
    <w:p w:rsidRPr="00DD3031" w:rsidR="00DD3031" w:rsidP="00DD3031" w:rsidRDefault="00DD3031" w14:paraId="49FD4576" w14:textId="77777777">
      <w:pPr>
        <w:spacing w:after="0" w:line="240" w:lineRule="auto"/>
        <w:jc w:val="both"/>
        <w:rPr>
          <w:rFonts w:ascii="Times New Roman" w:hAnsi="Times New Roman" w:cs="Times New Roman"/>
          <w:sz w:val="24"/>
          <w:szCs w:val="24"/>
          <w:lang w:val="es-PE"/>
        </w:rPr>
      </w:pPr>
    </w:p>
    <w:p w:rsidRPr="00DD3031" w:rsidR="00DD3031" w:rsidP="00DD3031" w:rsidRDefault="00DD3031" w14:paraId="145EAB51" w14:textId="77777777">
      <w:pPr>
        <w:tabs>
          <w:tab w:val="left" w:pos="0"/>
          <w:tab w:val="left" w:pos="2160"/>
        </w:tabs>
        <w:spacing w:after="0" w:line="240" w:lineRule="auto"/>
        <w:jc w:val="both"/>
        <w:rPr>
          <w:rFonts w:ascii="Times New Roman" w:hAnsi="Times New Roman" w:cs="Times New Roman"/>
          <w:sz w:val="24"/>
          <w:szCs w:val="24"/>
          <w:lang w:val="es-PE"/>
        </w:rPr>
      </w:pPr>
      <w:r w:rsidRPr="00DD3031">
        <w:rPr>
          <w:rFonts w:ascii="Times New Roman" w:hAnsi="Times New Roman" w:cs="Times New Roman"/>
          <w:b/>
          <w:sz w:val="24"/>
          <w:szCs w:val="24"/>
          <w:u w:val="single"/>
          <w:lang w:val="es-PE"/>
        </w:rPr>
        <w:t>Segundo</w:t>
      </w:r>
      <w:r w:rsidRPr="00DD3031">
        <w:rPr>
          <w:rFonts w:ascii="Times New Roman" w:hAnsi="Times New Roman" w:cs="Times New Roman"/>
          <w:b/>
          <w:sz w:val="24"/>
          <w:szCs w:val="24"/>
          <w:lang w:val="es-PE"/>
        </w:rPr>
        <w:t>:</w:t>
      </w:r>
      <w:r w:rsidRPr="00DD3031">
        <w:rPr>
          <w:rFonts w:ascii="Times New Roman" w:hAnsi="Times New Roman" w:cs="Times New Roman"/>
          <w:sz w:val="24"/>
          <w:szCs w:val="24"/>
          <w:lang w:val="es-PE"/>
        </w:rPr>
        <w:t xml:space="preserve"> Tratándose de lo argumentado en la impugnación interpuesta, este colegiado advierte que, más allá de su extensión, lo cierto es que finalmente el asegurado reafirma los términos de su reclamación y en ellos sustenta su impugnación, señalando de manera adicional y final que esta Defensoría debería limitarse a aplicar las conclusiones a las que habría llegado la Policía Nacional del Perú, en el informe correspondiente o lo que se expresa en la pericia (de parte presentada), por lo que carece de discrecionalidad para apartarse de las mismas.  </w:t>
      </w:r>
      <w:proofErr w:type="gramStart"/>
      <w:r w:rsidRPr="00DD3031">
        <w:rPr>
          <w:rFonts w:ascii="Times New Roman" w:hAnsi="Times New Roman" w:cs="Times New Roman"/>
          <w:sz w:val="24"/>
          <w:szCs w:val="24"/>
          <w:lang w:val="es-PE"/>
        </w:rPr>
        <w:t>De acuerdo a</w:t>
      </w:r>
      <w:proofErr w:type="gramEnd"/>
      <w:r w:rsidRPr="00DD3031">
        <w:rPr>
          <w:rFonts w:ascii="Times New Roman" w:hAnsi="Times New Roman" w:cs="Times New Roman"/>
          <w:sz w:val="24"/>
          <w:szCs w:val="24"/>
          <w:lang w:val="es-PE"/>
        </w:rPr>
        <w:t xml:space="preserve"> ello, se aprecia que la impugnación interpuesta no es más que un pedido de revisión general, lo cual es suficiente en sí para desestimarlo al no presentarse nuevo argumento o prueba que permita apreciar y concluir que se habría incurrido en un error </w:t>
      </w:r>
      <w:proofErr w:type="spellStart"/>
      <w:r w:rsidRPr="00DD3031">
        <w:rPr>
          <w:rFonts w:ascii="Times New Roman" w:hAnsi="Times New Roman" w:cs="Times New Roman"/>
          <w:sz w:val="24"/>
          <w:szCs w:val="24"/>
          <w:lang w:val="es-PE"/>
        </w:rPr>
        <w:t>a</w:t>
      </w:r>
      <w:proofErr w:type="spellEnd"/>
      <w:r w:rsidRPr="00DD3031">
        <w:rPr>
          <w:rFonts w:ascii="Times New Roman" w:hAnsi="Times New Roman" w:cs="Times New Roman"/>
          <w:sz w:val="24"/>
          <w:szCs w:val="24"/>
          <w:lang w:val="es-PE"/>
        </w:rPr>
        <w:t xml:space="preserve"> momento de resolver sore la reclamación.</w:t>
      </w:r>
    </w:p>
    <w:p w:rsidRPr="00DD3031" w:rsidR="00DD3031" w:rsidP="00DD3031" w:rsidRDefault="00DD3031" w14:paraId="0EDF080A" w14:textId="77777777">
      <w:pPr>
        <w:tabs>
          <w:tab w:val="left" w:pos="0"/>
          <w:tab w:val="left" w:pos="2160"/>
        </w:tabs>
        <w:spacing w:after="0" w:line="240" w:lineRule="auto"/>
        <w:jc w:val="both"/>
        <w:rPr>
          <w:rFonts w:ascii="Times New Roman" w:hAnsi="Times New Roman" w:cs="Times New Roman"/>
          <w:sz w:val="24"/>
          <w:szCs w:val="24"/>
          <w:lang w:val="es-PE"/>
        </w:rPr>
      </w:pPr>
    </w:p>
    <w:p w:rsidRPr="00DD3031" w:rsidR="00DD3031" w:rsidP="00DD3031" w:rsidRDefault="00DD3031" w14:paraId="1D44114C" w14:textId="77777777">
      <w:pPr>
        <w:tabs>
          <w:tab w:val="left" w:pos="0"/>
          <w:tab w:val="left" w:pos="2160"/>
        </w:tabs>
        <w:spacing w:after="0" w:line="240" w:lineRule="auto"/>
        <w:jc w:val="both"/>
        <w:rPr>
          <w:rFonts w:ascii="Times New Roman" w:hAnsi="Times New Roman" w:cs="Times New Roman"/>
          <w:sz w:val="24"/>
          <w:szCs w:val="24"/>
          <w:lang w:val="es-PE"/>
        </w:rPr>
      </w:pPr>
      <w:r w:rsidRPr="00DD3031">
        <w:rPr>
          <w:rFonts w:ascii="Times New Roman" w:hAnsi="Times New Roman" w:cs="Times New Roman"/>
          <w:sz w:val="24"/>
          <w:szCs w:val="24"/>
          <w:lang w:val="es-PE"/>
        </w:rPr>
        <w:t xml:space="preserve">Este colegiado ratifica en todos sus términos y condiciones el análisis fáctico y jurídico realizado sobre la ocurrencia del siniestro, y reafirma que el conductor fue lamentablemente el responsable de aquél, al haber realizado una maniobra más que temeraria </w:t>
      </w:r>
      <w:proofErr w:type="gramStart"/>
      <w:r w:rsidRPr="00DD3031">
        <w:rPr>
          <w:rFonts w:ascii="Times New Roman" w:hAnsi="Times New Roman" w:cs="Times New Roman"/>
          <w:sz w:val="24"/>
          <w:szCs w:val="24"/>
          <w:lang w:val="es-PE"/>
        </w:rPr>
        <w:t>de acuerdo a</w:t>
      </w:r>
      <w:proofErr w:type="gramEnd"/>
      <w:r w:rsidRPr="00DD3031">
        <w:rPr>
          <w:rFonts w:ascii="Times New Roman" w:hAnsi="Times New Roman" w:cs="Times New Roman"/>
          <w:sz w:val="24"/>
          <w:szCs w:val="24"/>
          <w:lang w:val="es-PE"/>
        </w:rPr>
        <w:t xml:space="preserve"> las circunstancias, la misma que es </w:t>
      </w:r>
      <w:proofErr w:type="spellStart"/>
      <w:r w:rsidRPr="00DD3031">
        <w:rPr>
          <w:rFonts w:ascii="Times New Roman" w:hAnsi="Times New Roman" w:cs="Times New Roman"/>
          <w:sz w:val="24"/>
          <w:szCs w:val="24"/>
          <w:lang w:val="es-PE"/>
        </w:rPr>
        <w:t>categorizable</w:t>
      </w:r>
      <w:proofErr w:type="spellEnd"/>
      <w:r w:rsidRPr="00DD3031">
        <w:rPr>
          <w:rFonts w:ascii="Times New Roman" w:hAnsi="Times New Roman" w:cs="Times New Roman"/>
          <w:sz w:val="24"/>
          <w:szCs w:val="24"/>
          <w:lang w:val="es-PE"/>
        </w:rPr>
        <w:t xml:space="preserve"> no sólo como negligencia, sino como una negligencia inexcusable, que justifica que se haya aplicado la respectiva exclusión.  Es más, si se revisa serenamente la resolución recurrida, en función al debate jurídico sobre interpretación de la cláusula de exclusión, este colegiado concluye que la negligencia a la que se refiere no puede entenderse como una leve, sino como una particularmente grave, resguardándose así, en lo que corresponda, al interés del asegurado.  Empero, no obstante esa interpretación en favor del asegurado (que el reclamante pareciera no haber advertido) el problema radica en que la maniobra del conductor, cuando el vehículo ya estaba detenido, atendiendo a las circunstancias, correspondió definitivamente a una maniobra extremadamente negligente (reconocida además en la audiencia de vista), siendo que la misma es la que genera finalmente (causa adecuada) el desbarrancamiento, con los consiguientes y lamentables daños personales y materiales.</w:t>
      </w:r>
    </w:p>
    <w:p w:rsidRPr="00DD3031" w:rsidR="00DD3031" w:rsidP="00DD3031" w:rsidRDefault="00DD3031" w14:paraId="575843C9" w14:textId="77777777">
      <w:pPr>
        <w:tabs>
          <w:tab w:val="left" w:pos="0"/>
          <w:tab w:val="left" w:pos="2160"/>
        </w:tabs>
        <w:spacing w:after="0" w:line="240" w:lineRule="auto"/>
        <w:jc w:val="both"/>
        <w:rPr>
          <w:rFonts w:ascii="Times New Roman" w:hAnsi="Times New Roman" w:cs="Times New Roman"/>
          <w:sz w:val="24"/>
          <w:szCs w:val="24"/>
          <w:lang w:val="es-PE"/>
        </w:rPr>
      </w:pPr>
    </w:p>
    <w:p w:rsidRPr="00DD3031" w:rsidR="00DD3031" w:rsidP="00DD3031" w:rsidRDefault="00DD3031" w14:paraId="702D522E" w14:textId="77777777">
      <w:pPr>
        <w:tabs>
          <w:tab w:val="left" w:pos="0"/>
          <w:tab w:val="left" w:pos="2160"/>
        </w:tabs>
        <w:spacing w:after="0" w:line="240" w:lineRule="auto"/>
        <w:jc w:val="both"/>
        <w:rPr>
          <w:rFonts w:ascii="Times New Roman" w:hAnsi="Times New Roman" w:cs="Times New Roman"/>
          <w:sz w:val="24"/>
          <w:szCs w:val="24"/>
          <w:lang w:val="es-PE"/>
        </w:rPr>
      </w:pPr>
      <w:r w:rsidRPr="00DD3031">
        <w:rPr>
          <w:rFonts w:ascii="Times New Roman" w:hAnsi="Times New Roman" w:cs="Times New Roman"/>
          <w:sz w:val="24"/>
          <w:szCs w:val="24"/>
          <w:lang w:val="es-PE"/>
        </w:rPr>
        <w:t>Asimismo, este colegiado debe destacar que el informe policial presentado sí ha sido estimado por este colegiado, pero que el mismo no puede pretenderse  que sea leído selectivamente, sino como una unidad; y , en cualquier caso, este colegiado puede asignar justificadamente el valor probatorio que estime, porque se trata de un informe que corresponde a una investigación, por lo que corresponde si el análisis y las conclusiones son sustentables, conforme a un criterio uniforme de esta Defensoría y que inclusive está señalado en diversos informe anuales que son objeto de publicidad en su página web.</w:t>
      </w:r>
    </w:p>
    <w:p w:rsidRPr="00DD3031" w:rsidR="00DD3031" w:rsidP="00DD3031" w:rsidRDefault="00DD3031" w14:paraId="15B69896" w14:textId="77777777">
      <w:pPr>
        <w:tabs>
          <w:tab w:val="left" w:pos="0"/>
          <w:tab w:val="left" w:pos="2160"/>
        </w:tabs>
        <w:spacing w:after="0" w:line="240" w:lineRule="auto"/>
        <w:jc w:val="both"/>
        <w:rPr>
          <w:rFonts w:ascii="Times New Roman" w:hAnsi="Times New Roman" w:cs="Times New Roman"/>
          <w:sz w:val="24"/>
          <w:szCs w:val="24"/>
          <w:lang w:val="es-PE"/>
        </w:rPr>
      </w:pPr>
    </w:p>
    <w:p w:rsidRPr="00DD3031" w:rsidR="00DD3031" w:rsidP="00DD3031" w:rsidRDefault="00DD3031" w14:paraId="19087F4C" w14:textId="77777777">
      <w:pPr>
        <w:tabs>
          <w:tab w:val="left" w:pos="0"/>
          <w:tab w:val="left" w:pos="2160"/>
        </w:tabs>
        <w:spacing w:after="0" w:line="240" w:lineRule="auto"/>
        <w:jc w:val="both"/>
        <w:rPr>
          <w:rFonts w:ascii="Times New Roman" w:hAnsi="Times New Roman" w:cs="Times New Roman"/>
          <w:sz w:val="24"/>
          <w:szCs w:val="24"/>
          <w:lang w:val="es-PE"/>
        </w:rPr>
      </w:pPr>
      <w:r w:rsidRPr="00DD3031">
        <w:rPr>
          <w:rFonts w:ascii="Times New Roman" w:hAnsi="Times New Roman" w:cs="Times New Roman"/>
          <w:sz w:val="24"/>
          <w:szCs w:val="24"/>
          <w:lang w:val="es-PE"/>
        </w:rPr>
        <w:t>Esta Defensoría se sorprende y lamenta que, en el recurso impugnativo interpuesto, el asegurado niegue lo que fue objeto de expresa afirmación y reconocimiento en la audiencia de vista sobre la sucesión de eventos ocurridos, donde ante una pregunta expresa admitió que sí hubo un interrupción, lo cual además, en cualquier caso, se condice y se respalda con lo que señala en el propio informe policial, el cual, se reitera, no puede ser  invocado para lo que se estima como conveniente y ser ignorado para lo que no lo es.</w:t>
      </w:r>
    </w:p>
    <w:p w:rsidRPr="00DD3031" w:rsidR="00DD3031" w:rsidP="00DD3031" w:rsidRDefault="00DD3031" w14:paraId="7608410D" w14:textId="77777777">
      <w:pPr>
        <w:tabs>
          <w:tab w:val="left" w:pos="0"/>
          <w:tab w:val="left" w:pos="2160"/>
        </w:tabs>
        <w:spacing w:after="0" w:line="240" w:lineRule="auto"/>
        <w:jc w:val="both"/>
        <w:rPr>
          <w:rFonts w:ascii="Times New Roman" w:hAnsi="Times New Roman" w:cs="Times New Roman"/>
          <w:sz w:val="24"/>
          <w:szCs w:val="24"/>
          <w:lang w:val="es-PE"/>
        </w:rPr>
      </w:pPr>
    </w:p>
    <w:p w:rsidRPr="00DD3031" w:rsidR="00DD3031" w:rsidP="00DD3031" w:rsidRDefault="00DD3031" w14:paraId="35B483A3" w14:textId="77777777">
      <w:pPr>
        <w:spacing w:after="0" w:line="240" w:lineRule="auto"/>
        <w:jc w:val="both"/>
        <w:rPr>
          <w:rFonts w:ascii="Times New Roman" w:hAnsi="Times New Roman" w:eastAsia="Times New Roman" w:cs="Times New Roman"/>
          <w:sz w:val="24"/>
          <w:szCs w:val="24"/>
          <w:lang w:val="es-PE" w:eastAsia="es-ES"/>
        </w:rPr>
      </w:pPr>
      <w:r w:rsidRPr="00DD3031">
        <w:rPr>
          <w:rFonts w:ascii="Times New Roman" w:hAnsi="Times New Roman" w:cs="Times New Roman"/>
          <w:sz w:val="24"/>
          <w:szCs w:val="24"/>
          <w:lang w:val="es-PE"/>
        </w:rPr>
        <w:lastRenderedPageBreak/>
        <w:t>Por último, se le recuerda al asegurado, y a sus asesores, que, conforme a la información disponible en su página web, l</w:t>
      </w:r>
      <w:r w:rsidRPr="00DD3031">
        <w:rPr>
          <w:rFonts w:ascii="Times New Roman" w:hAnsi="Times New Roman" w:cs="Times New Roman"/>
          <w:sz w:val="24"/>
          <w:szCs w:val="24"/>
          <w:lang w:val="es-PE" w:eastAsia="es-ES"/>
        </w:rPr>
        <w:t>a DEFASEG es un organismo gremial, autónomo e independiente, que</w:t>
      </w:r>
      <w:r w:rsidRPr="00DD3031">
        <w:rPr>
          <w:rFonts w:ascii="Times New Roman" w:hAnsi="Times New Roman" w:eastAsia="Times New Roman" w:cs="Times New Roman"/>
          <w:sz w:val="24"/>
          <w:szCs w:val="24"/>
          <w:lang w:val="es-PE" w:eastAsia="es-ES"/>
        </w:rPr>
        <w:t xml:space="preserve"> está orientado a la protección de los derechos de los asegurados o usuarios de los servicios del seguro privado contratados en el país, mediante la solución de controversias que se susciten con las aseguradoras, siendo que está adscrita a la Asociación Peruana de Empresas de Seguros – APESEG, no estando sujeta al derecho administrativo, por lo que no resulta pertinente invocar la aplicabilidad de normas que regulan al procedimiento administrativo, dado que la DEFASEG ciñe sus actuaciones a su propio Reglamento, y a la normativa del derecho de seguros y del derecho común supletoriamente.</w:t>
      </w:r>
    </w:p>
    <w:p w:rsidRPr="00DD3031" w:rsidR="00DD3031" w:rsidP="00DD3031" w:rsidRDefault="00DD3031" w14:paraId="692ADE0D" w14:textId="77777777">
      <w:pPr>
        <w:spacing w:after="0" w:line="240" w:lineRule="auto"/>
        <w:jc w:val="both"/>
        <w:rPr>
          <w:rFonts w:ascii="Times New Roman" w:hAnsi="Times New Roman" w:eastAsia="Times New Roman" w:cs="Times New Roman"/>
          <w:bCs/>
          <w:sz w:val="24"/>
          <w:szCs w:val="24"/>
          <w:lang w:val="es-ES" w:eastAsia="ar-SA"/>
        </w:rPr>
      </w:pPr>
    </w:p>
    <w:p w:rsidRPr="00DD3031" w:rsidR="00DD3031" w:rsidP="00DD3031" w:rsidRDefault="00DD3031" w14:paraId="2C9590C2" w14:textId="77777777">
      <w:pPr>
        <w:spacing w:after="0" w:line="240" w:lineRule="auto"/>
        <w:jc w:val="both"/>
        <w:rPr>
          <w:rFonts w:ascii="Times New Roman" w:hAnsi="Times New Roman" w:cs="Times New Roman"/>
          <w:b/>
          <w:sz w:val="24"/>
          <w:szCs w:val="24"/>
          <w:lang w:val="es-PE"/>
        </w:rPr>
      </w:pPr>
      <w:r w:rsidRPr="00DD3031">
        <w:rPr>
          <w:rFonts w:ascii="Times New Roman" w:hAnsi="Times New Roman" w:cs="Times New Roman"/>
          <w:b/>
          <w:sz w:val="24"/>
          <w:szCs w:val="24"/>
          <w:lang w:val="es-PE"/>
        </w:rPr>
        <w:t>Atendiendo a lo expresado, conforme a su reglamento, este colegiado resuelve:</w:t>
      </w:r>
    </w:p>
    <w:p w:rsidRPr="00DD3031" w:rsidR="00DD3031" w:rsidP="00DD3031" w:rsidRDefault="00DD3031" w14:paraId="00DF3BDF" w14:textId="77777777">
      <w:pPr>
        <w:spacing w:after="0" w:line="240" w:lineRule="auto"/>
        <w:jc w:val="both"/>
        <w:rPr>
          <w:rFonts w:ascii="Times New Roman" w:hAnsi="Times New Roman" w:eastAsia="Arial Unicode MS" w:cs="Times New Roman"/>
          <w:b/>
          <w:sz w:val="24"/>
          <w:szCs w:val="24"/>
          <w:lang w:val="es-PE"/>
        </w:rPr>
      </w:pPr>
    </w:p>
    <w:p w:rsidRPr="00DD3031" w:rsidR="00DD3031" w:rsidP="00DD3031" w:rsidRDefault="00DD3031" w14:paraId="0F0881E0" w14:textId="6C4A756B">
      <w:pPr>
        <w:spacing w:after="0" w:line="240" w:lineRule="auto"/>
        <w:jc w:val="both"/>
        <w:rPr>
          <w:rFonts w:ascii="Times New Roman" w:hAnsi="Times New Roman" w:eastAsia="Times New Roman" w:cs="Times New Roman"/>
          <w:sz w:val="24"/>
          <w:szCs w:val="24"/>
          <w:lang w:val="es-ES" w:eastAsia="ar-SA"/>
        </w:rPr>
      </w:pPr>
      <w:r w:rsidRPr="4E25EDF5" w:rsidR="00DD3031">
        <w:rPr>
          <w:rFonts w:ascii="Times New Roman" w:hAnsi="Times New Roman" w:eastAsia="Arial Unicode MS" w:cs="Times New Roman"/>
          <w:b w:val="1"/>
          <w:bCs w:val="1"/>
          <w:sz w:val="24"/>
          <w:szCs w:val="24"/>
          <w:lang w:val="es-PE"/>
        </w:rPr>
        <w:t xml:space="preserve">Declarar INFUNDADO el recurso impugnativo </w:t>
      </w:r>
      <w:r w:rsidRPr="4E25EDF5" w:rsidR="00DD3031">
        <w:rPr>
          <w:rFonts w:ascii="Times New Roman" w:hAnsi="Times New Roman" w:eastAsia="Arial Unicode MS" w:cs="Times New Roman"/>
          <w:sz w:val="24"/>
          <w:szCs w:val="24"/>
          <w:lang w:val="es-PE"/>
        </w:rPr>
        <w:t xml:space="preserve">interpuesto por </w:t>
      </w:r>
      <w:r w:rsidRPr="4E25EDF5" w:rsidR="00DD3031">
        <w:rPr>
          <w:rFonts w:ascii="Times New Roman" w:hAnsi="Times New Roman" w:cs="Times New Roman"/>
          <w:sz w:val="24"/>
          <w:szCs w:val="24"/>
          <w:lang w:val="es-ES"/>
        </w:rPr>
        <w:t xml:space="preserve">don </w:t>
      </w:r>
      <w:r w:rsidRPr="4E25EDF5" w:rsidR="0505C5A1">
        <w:rPr>
          <w:rFonts w:ascii="Times New Roman" w:hAnsi="Times New Roman" w:cs="Times New Roman"/>
          <w:sz w:val="24"/>
          <w:szCs w:val="24"/>
          <w:lang w:val="es-ES"/>
        </w:rPr>
        <w:t>....................................................</w:t>
      </w:r>
      <w:r w:rsidRPr="4E25EDF5" w:rsidR="00DD3031">
        <w:rPr>
          <w:rFonts w:ascii="Times New Roman" w:hAnsi="Times New Roman" w:cs="Times New Roman"/>
          <w:sz w:val="24"/>
          <w:szCs w:val="24"/>
          <w:lang w:val="es-ES"/>
        </w:rPr>
        <w:t xml:space="preserve"> </w:t>
      </w:r>
      <w:r w:rsidRPr="4E25EDF5" w:rsidR="00DD3031">
        <w:rPr>
          <w:rFonts w:ascii="Times New Roman" w:hAnsi="Times New Roman" w:eastAsia="Times New Roman" w:cs="Times New Roman"/>
          <w:sz w:val="24"/>
          <w:szCs w:val="24"/>
          <w:lang w:val="es-ES" w:eastAsia="ar-SA"/>
        </w:rPr>
        <w:t>y, por consiguiente, ratificar en todos sus extremos la Resolución Nro. 050/22, de fecha 14 de febrero de 2022.</w:t>
      </w:r>
    </w:p>
    <w:p w:rsidRPr="001E5803" w:rsidR="001E5803" w:rsidP="001E5803" w:rsidRDefault="001E5803" w14:paraId="70B36E9C" w14:textId="77777777">
      <w:pPr>
        <w:spacing w:line="240" w:lineRule="auto"/>
        <w:jc w:val="both"/>
        <w:rPr>
          <w:rFonts w:ascii="Times New Roman" w:hAnsi="Times New Roman" w:cs="Times New Roman"/>
          <w:sz w:val="24"/>
          <w:szCs w:val="24"/>
          <w:lang w:val="es-PE"/>
        </w:rPr>
      </w:pPr>
    </w:p>
    <w:p w:rsidRPr="00E02C4A" w:rsidR="00077B6F" w:rsidP="00C671F5" w:rsidRDefault="0091528B" w14:paraId="78A39B5B" w14:textId="5B629576">
      <w:pPr>
        <w:suppressAutoHyphens/>
        <w:spacing w:after="0" w:line="240" w:lineRule="auto"/>
        <w:jc w:val="right"/>
        <w:outlineLvl w:val="0"/>
        <w:rPr>
          <w:rFonts w:ascii="Times New Roman" w:hAnsi="Times New Roman" w:eastAsia="Arial Unicode MS" w:cs="Times New Roman"/>
          <w:sz w:val="24"/>
          <w:szCs w:val="24"/>
          <w:lang w:val="es-PE" w:eastAsia="ar-SA"/>
        </w:rPr>
      </w:pPr>
      <w:r w:rsidRPr="00E02C4A">
        <w:rPr>
          <w:rFonts w:ascii="Times New Roman" w:hAnsi="Times New Roman" w:eastAsia="Arial Unicode MS" w:cs="Times New Roman"/>
          <w:sz w:val="24"/>
          <w:szCs w:val="24"/>
          <w:lang w:val="es-PE" w:eastAsia="ar-SA"/>
        </w:rPr>
        <w:t xml:space="preserve">Lima, </w:t>
      </w:r>
      <w:r w:rsidR="00D65AF1">
        <w:rPr>
          <w:rFonts w:ascii="Times New Roman" w:hAnsi="Times New Roman" w:eastAsia="Arial Unicode MS" w:cs="Times New Roman"/>
          <w:sz w:val="24"/>
          <w:szCs w:val="24"/>
          <w:lang w:val="es-PE" w:eastAsia="ar-SA"/>
        </w:rPr>
        <w:t>11</w:t>
      </w:r>
      <w:r w:rsidRPr="00E02C4A" w:rsidR="00707C99">
        <w:rPr>
          <w:rFonts w:ascii="Times New Roman" w:hAnsi="Times New Roman" w:eastAsia="Arial Unicode MS" w:cs="Times New Roman"/>
          <w:sz w:val="24"/>
          <w:szCs w:val="24"/>
          <w:lang w:val="es-PE" w:eastAsia="ar-SA"/>
        </w:rPr>
        <w:t xml:space="preserve"> de </w:t>
      </w:r>
      <w:r w:rsidR="00D65AF1">
        <w:rPr>
          <w:rFonts w:ascii="Times New Roman" w:hAnsi="Times New Roman" w:eastAsia="Arial Unicode MS" w:cs="Times New Roman"/>
          <w:sz w:val="24"/>
          <w:szCs w:val="24"/>
          <w:lang w:val="es-PE" w:eastAsia="ar-SA"/>
        </w:rPr>
        <w:t>abril</w:t>
      </w:r>
      <w:r w:rsidRPr="00E02C4A" w:rsidR="00F06498">
        <w:rPr>
          <w:rFonts w:ascii="Times New Roman" w:hAnsi="Times New Roman" w:eastAsia="Arial Unicode MS" w:cs="Times New Roman"/>
          <w:sz w:val="24"/>
          <w:szCs w:val="24"/>
          <w:lang w:val="es-PE" w:eastAsia="ar-SA"/>
        </w:rPr>
        <w:t xml:space="preserve"> de 202</w:t>
      </w:r>
      <w:r w:rsidRPr="00E02C4A" w:rsidR="00B93C7A">
        <w:rPr>
          <w:rFonts w:ascii="Times New Roman" w:hAnsi="Times New Roman" w:eastAsia="Arial Unicode MS" w:cs="Times New Roman"/>
          <w:sz w:val="24"/>
          <w:szCs w:val="24"/>
          <w:lang w:val="es-PE" w:eastAsia="ar-SA"/>
        </w:rPr>
        <w:t>2</w:t>
      </w:r>
      <w:r w:rsidRPr="00E02C4A" w:rsidR="00707C99">
        <w:rPr>
          <w:rFonts w:ascii="Times New Roman" w:hAnsi="Times New Roman" w:eastAsia="Times New Roman" w:cs="Times New Roman"/>
          <w:sz w:val="24"/>
          <w:szCs w:val="24"/>
          <w:lang w:val="es-PE" w:eastAsia="ar-SA"/>
        </w:rPr>
        <w:t xml:space="preserve"> </w:t>
      </w:r>
    </w:p>
    <w:p w:rsidRPr="00E02C4A"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E02C4A"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E02C4A"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E02C4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E02C4A"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E02C4A" w:rsidR="001233F2" w:rsidP="001233F2" w:rsidRDefault="001233F2" w14:paraId="74409CB4"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María Eugenia Valdez Fernández Baca – </w:t>
      </w:r>
      <w:proofErr w:type="gramStart"/>
      <w:r w:rsidRPr="00E02C4A">
        <w:rPr>
          <w:rFonts w:ascii="Times New Roman" w:hAnsi="Times New Roman" w:cs="Times New Roman"/>
          <w:b/>
          <w:bCs/>
          <w:sz w:val="24"/>
          <w:szCs w:val="24"/>
          <w:lang w:val="es-PE"/>
        </w:rPr>
        <w:t>Presidente</w:t>
      </w:r>
      <w:proofErr w:type="gramEnd"/>
    </w:p>
    <w:p w:rsidRPr="00E02C4A" w:rsidR="001233F2" w:rsidP="001233F2" w:rsidRDefault="001233F2" w14:paraId="6DC8A5AA"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 xml:space="preserve">Rolando Eyzaguirre </w:t>
      </w:r>
      <w:proofErr w:type="spellStart"/>
      <w:r w:rsidRPr="00E02C4A">
        <w:rPr>
          <w:rFonts w:ascii="Times New Roman" w:hAnsi="Times New Roman" w:cs="Times New Roman"/>
          <w:b/>
          <w:bCs/>
          <w:sz w:val="24"/>
          <w:szCs w:val="24"/>
          <w:lang w:val="es-PE"/>
        </w:rPr>
        <w:t>Maccan</w:t>
      </w:r>
      <w:proofErr w:type="spellEnd"/>
      <w:r w:rsidRPr="00E02C4A">
        <w:rPr>
          <w:rFonts w:ascii="Times New Roman" w:hAnsi="Times New Roman" w:cs="Times New Roman"/>
          <w:b/>
          <w:bCs/>
          <w:sz w:val="24"/>
          <w:szCs w:val="24"/>
          <w:lang w:val="es-PE"/>
        </w:rPr>
        <w:t xml:space="preserve"> – Vocal</w:t>
      </w:r>
    </w:p>
    <w:p w:rsidRPr="00E02C4A" w:rsidR="001233F2" w:rsidP="001233F2" w:rsidRDefault="001233F2" w14:paraId="458869C3" w14:textId="77777777">
      <w:pPr>
        <w:spacing w:after="0" w:line="360" w:lineRule="auto"/>
        <w:jc w:val="center"/>
        <w:rPr>
          <w:rFonts w:ascii="Times New Roman" w:hAnsi="Times New Roman" w:cs="Times New Roman"/>
          <w:b/>
          <w:bCs/>
          <w:sz w:val="24"/>
          <w:szCs w:val="24"/>
          <w:lang w:val="es-PE"/>
        </w:rPr>
      </w:pPr>
      <w:r w:rsidRPr="00E02C4A">
        <w:rPr>
          <w:rFonts w:ascii="Times New Roman" w:hAnsi="Times New Roman" w:cs="Times New Roman"/>
          <w:b/>
          <w:bCs/>
          <w:sz w:val="24"/>
          <w:szCs w:val="24"/>
          <w:lang w:val="es-PE"/>
        </w:rPr>
        <w:t>Marco Antonio Ortega Piana – Vocal</w:t>
      </w:r>
    </w:p>
    <w:p w:rsidRPr="00A446D0" w:rsidR="001233F2" w:rsidP="001233F2" w:rsidRDefault="001233F2" w14:paraId="1D4E3330" w14:textId="77777777">
      <w:pPr>
        <w:spacing w:after="0" w:line="360" w:lineRule="auto"/>
        <w:jc w:val="center"/>
        <w:rPr>
          <w:rFonts w:ascii="Times New Roman" w:hAnsi="Times New Roman" w:cs="Times New Roman"/>
          <w:sz w:val="24"/>
          <w:szCs w:val="24"/>
          <w:lang w:val="es-PE"/>
        </w:rPr>
      </w:pPr>
      <w:r w:rsidRPr="00A446D0">
        <w:rPr>
          <w:rFonts w:ascii="Times New Roman" w:hAnsi="Times New Roman" w:cs="Times New Roman"/>
          <w:b/>
          <w:bCs/>
          <w:sz w:val="24"/>
          <w:szCs w:val="24"/>
          <w:lang w:val="es-PE"/>
        </w:rPr>
        <w:t>Gonzalo Abad del Busto – Vocal</w:t>
      </w:r>
    </w:p>
    <w:p w:rsidRPr="00A446D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4201E5"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4201E5"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6101B" w:rsidP="00784355" w:rsidRDefault="0016101B" w14:paraId="7A945277" w14:textId="77777777">
      <w:pPr>
        <w:spacing w:after="0" w:line="240" w:lineRule="auto"/>
      </w:pPr>
      <w:r>
        <w:separator/>
      </w:r>
    </w:p>
  </w:endnote>
  <w:endnote w:type="continuationSeparator" w:id="0">
    <w:p w:rsidR="0016101B" w:rsidP="00784355" w:rsidRDefault="0016101B" w14:paraId="766BB16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
    </w:sdtContent>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6101B" w:rsidP="00784355" w:rsidRDefault="0016101B" w14:paraId="7E584617" w14:textId="77777777">
      <w:pPr>
        <w:spacing w:after="0" w:line="240" w:lineRule="auto"/>
      </w:pPr>
      <w:r>
        <w:separator/>
      </w:r>
    </w:p>
  </w:footnote>
  <w:footnote w:type="continuationSeparator" w:id="0">
    <w:p w:rsidR="0016101B" w:rsidP="00784355" w:rsidRDefault="0016101B" w14:paraId="78E80C6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7"/>
  </w:num>
  <w:num w:numId="3" w16cid:durableId="760956054">
    <w:abstractNumId w:val="4"/>
  </w:num>
  <w:num w:numId="4" w16cid:durableId="1079518208">
    <w:abstractNumId w:val="3"/>
  </w:num>
  <w:num w:numId="5" w16cid:durableId="1198003566">
    <w:abstractNumId w:val="5"/>
  </w:num>
  <w:num w:numId="6" w16cid:durableId="1607540339">
    <w:abstractNumId w:val="0"/>
  </w:num>
  <w:num w:numId="7" w16cid:durableId="1490902120">
    <w:abstractNumId w:val="8"/>
  </w:num>
  <w:num w:numId="8" w16cid:durableId="615214413">
    <w:abstractNumId w:val="9"/>
  </w:num>
  <w:num w:numId="9" w16cid:durableId="10181194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B96"/>
    <w:rsid w:val="00010987"/>
    <w:rsid w:val="00013057"/>
    <w:rsid w:val="000159CC"/>
    <w:rsid w:val="00015C22"/>
    <w:rsid w:val="000167E0"/>
    <w:rsid w:val="000235E9"/>
    <w:rsid w:val="0002637D"/>
    <w:rsid w:val="0002733C"/>
    <w:rsid w:val="00027978"/>
    <w:rsid w:val="000365E3"/>
    <w:rsid w:val="0004480C"/>
    <w:rsid w:val="00050563"/>
    <w:rsid w:val="00053D16"/>
    <w:rsid w:val="00056D9F"/>
    <w:rsid w:val="00063183"/>
    <w:rsid w:val="0006548C"/>
    <w:rsid w:val="0006754B"/>
    <w:rsid w:val="00070DB6"/>
    <w:rsid w:val="00071A25"/>
    <w:rsid w:val="00076E73"/>
    <w:rsid w:val="00077B6F"/>
    <w:rsid w:val="00080A9A"/>
    <w:rsid w:val="000835CB"/>
    <w:rsid w:val="00083D69"/>
    <w:rsid w:val="00083F50"/>
    <w:rsid w:val="00084148"/>
    <w:rsid w:val="00092684"/>
    <w:rsid w:val="0009634E"/>
    <w:rsid w:val="000A5666"/>
    <w:rsid w:val="000A5CAA"/>
    <w:rsid w:val="000B19A0"/>
    <w:rsid w:val="000B58D8"/>
    <w:rsid w:val="000C0734"/>
    <w:rsid w:val="000C3D6F"/>
    <w:rsid w:val="000F6340"/>
    <w:rsid w:val="0011308C"/>
    <w:rsid w:val="001230C6"/>
    <w:rsid w:val="001233F2"/>
    <w:rsid w:val="00125B9B"/>
    <w:rsid w:val="001320DF"/>
    <w:rsid w:val="00136E12"/>
    <w:rsid w:val="001373AF"/>
    <w:rsid w:val="001377EF"/>
    <w:rsid w:val="00150874"/>
    <w:rsid w:val="001508BC"/>
    <w:rsid w:val="001529FE"/>
    <w:rsid w:val="0016101B"/>
    <w:rsid w:val="001703D8"/>
    <w:rsid w:val="00170E39"/>
    <w:rsid w:val="00174918"/>
    <w:rsid w:val="00174DA5"/>
    <w:rsid w:val="00181908"/>
    <w:rsid w:val="00181DCE"/>
    <w:rsid w:val="00187BFD"/>
    <w:rsid w:val="0019649B"/>
    <w:rsid w:val="001A008A"/>
    <w:rsid w:val="001A3395"/>
    <w:rsid w:val="001A44E1"/>
    <w:rsid w:val="001B1E59"/>
    <w:rsid w:val="001B58A3"/>
    <w:rsid w:val="001D0EED"/>
    <w:rsid w:val="001D59D9"/>
    <w:rsid w:val="001D6136"/>
    <w:rsid w:val="001E119C"/>
    <w:rsid w:val="001E4337"/>
    <w:rsid w:val="001E5803"/>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66105"/>
    <w:rsid w:val="0027261F"/>
    <w:rsid w:val="00272F4F"/>
    <w:rsid w:val="0027301E"/>
    <w:rsid w:val="00274985"/>
    <w:rsid w:val="002768C6"/>
    <w:rsid w:val="00276A92"/>
    <w:rsid w:val="00277667"/>
    <w:rsid w:val="0027785B"/>
    <w:rsid w:val="00290CA4"/>
    <w:rsid w:val="002A31D3"/>
    <w:rsid w:val="002A481F"/>
    <w:rsid w:val="002A7E2E"/>
    <w:rsid w:val="002B726E"/>
    <w:rsid w:val="002C1B87"/>
    <w:rsid w:val="002C2A0F"/>
    <w:rsid w:val="002D0DB0"/>
    <w:rsid w:val="002D3B01"/>
    <w:rsid w:val="002E1221"/>
    <w:rsid w:val="002E17F9"/>
    <w:rsid w:val="002F09CA"/>
    <w:rsid w:val="002F35F0"/>
    <w:rsid w:val="003045E3"/>
    <w:rsid w:val="0032132E"/>
    <w:rsid w:val="00340E4B"/>
    <w:rsid w:val="0034529A"/>
    <w:rsid w:val="00345DF0"/>
    <w:rsid w:val="00345F7F"/>
    <w:rsid w:val="00347D7E"/>
    <w:rsid w:val="00353092"/>
    <w:rsid w:val="003544B1"/>
    <w:rsid w:val="00357D70"/>
    <w:rsid w:val="00362449"/>
    <w:rsid w:val="00364E0F"/>
    <w:rsid w:val="00366842"/>
    <w:rsid w:val="00367746"/>
    <w:rsid w:val="0038055E"/>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3726"/>
    <w:rsid w:val="00403814"/>
    <w:rsid w:val="004049B9"/>
    <w:rsid w:val="00417E23"/>
    <w:rsid w:val="004201E5"/>
    <w:rsid w:val="00425F75"/>
    <w:rsid w:val="00434D9C"/>
    <w:rsid w:val="00440BC2"/>
    <w:rsid w:val="00444232"/>
    <w:rsid w:val="00460C30"/>
    <w:rsid w:val="00465FB9"/>
    <w:rsid w:val="00466302"/>
    <w:rsid w:val="0047370C"/>
    <w:rsid w:val="0047522D"/>
    <w:rsid w:val="00476BA1"/>
    <w:rsid w:val="00490F9F"/>
    <w:rsid w:val="00496A1A"/>
    <w:rsid w:val="004A3E25"/>
    <w:rsid w:val="004B51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4F74"/>
    <w:rsid w:val="00535473"/>
    <w:rsid w:val="00537DBF"/>
    <w:rsid w:val="00540F01"/>
    <w:rsid w:val="00544BFC"/>
    <w:rsid w:val="00547EE5"/>
    <w:rsid w:val="00566021"/>
    <w:rsid w:val="00567DEC"/>
    <w:rsid w:val="0057035B"/>
    <w:rsid w:val="005818E3"/>
    <w:rsid w:val="00582D26"/>
    <w:rsid w:val="0058358B"/>
    <w:rsid w:val="00583A87"/>
    <w:rsid w:val="00585D65"/>
    <w:rsid w:val="005948EF"/>
    <w:rsid w:val="00597430"/>
    <w:rsid w:val="005A0B70"/>
    <w:rsid w:val="005A5A2C"/>
    <w:rsid w:val="005A782D"/>
    <w:rsid w:val="005B2924"/>
    <w:rsid w:val="005C524E"/>
    <w:rsid w:val="005C5AB9"/>
    <w:rsid w:val="005D3E09"/>
    <w:rsid w:val="005D3E68"/>
    <w:rsid w:val="005E0EC2"/>
    <w:rsid w:val="005E2CBE"/>
    <w:rsid w:val="005E4870"/>
    <w:rsid w:val="005F4C97"/>
    <w:rsid w:val="00605902"/>
    <w:rsid w:val="00606105"/>
    <w:rsid w:val="00613A39"/>
    <w:rsid w:val="00622ABC"/>
    <w:rsid w:val="00623204"/>
    <w:rsid w:val="00624034"/>
    <w:rsid w:val="0063619A"/>
    <w:rsid w:val="006408A2"/>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4C9A"/>
    <w:rsid w:val="007261FD"/>
    <w:rsid w:val="00726BD2"/>
    <w:rsid w:val="007300C4"/>
    <w:rsid w:val="007434BA"/>
    <w:rsid w:val="00744447"/>
    <w:rsid w:val="00754DAC"/>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0419"/>
    <w:rsid w:val="007F14C0"/>
    <w:rsid w:val="007F6BA4"/>
    <w:rsid w:val="007F74F1"/>
    <w:rsid w:val="008010D0"/>
    <w:rsid w:val="008020A1"/>
    <w:rsid w:val="00816B3F"/>
    <w:rsid w:val="0081754D"/>
    <w:rsid w:val="008177B9"/>
    <w:rsid w:val="00821801"/>
    <w:rsid w:val="00821DED"/>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270F"/>
    <w:rsid w:val="008D6DDF"/>
    <w:rsid w:val="008F1161"/>
    <w:rsid w:val="008F479E"/>
    <w:rsid w:val="008F7C83"/>
    <w:rsid w:val="009011F1"/>
    <w:rsid w:val="009127A6"/>
    <w:rsid w:val="0091528B"/>
    <w:rsid w:val="009157B1"/>
    <w:rsid w:val="00917CAF"/>
    <w:rsid w:val="009225DD"/>
    <w:rsid w:val="009272D7"/>
    <w:rsid w:val="00933532"/>
    <w:rsid w:val="00943343"/>
    <w:rsid w:val="00943DA4"/>
    <w:rsid w:val="00946694"/>
    <w:rsid w:val="00951B99"/>
    <w:rsid w:val="00955C03"/>
    <w:rsid w:val="00964237"/>
    <w:rsid w:val="00966813"/>
    <w:rsid w:val="00966AEB"/>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1B9"/>
    <w:rsid w:val="009C6404"/>
    <w:rsid w:val="009D3B98"/>
    <w:rsid w:val="009D6055"/>
    <w:rsid w:val="009E0A09"/>
    <w:rsid w:val="009E5F11"/>
    <w:rsid w:val="009E7994"/>
    <w:rsid w:val="009F143B"/>
    <w:rsid w:val="009F2EEB"/>
    <w:rsid w:val="00A02270"/>
    <w:rsid w:val="00A0362B"/>
    <w:rsid w:val="00A04A06"/>
    <w:rsid w:val="00A077D2"/>
    <w:rsid w:val="00A16942"/>
    <w:rsid w:val="00A17A72"/>
    <w:rsid w:val="00A244A1"/>
    <w:rsid w:val="00A25F51"/>
    <w:rsid w:val="00A30393"/>
    <w:rsid w:val="00A32246"/>
    <w:rsid w:val="00A328C0"/>
    <w:rsid w:val="00A3714C"/>
    <w:rsid w:val="00A427D6"/>
    <w:rsid w:val="00A446D0"/>
    <w:rsid w:val="00A44E53"/>
    <w:rsid w:val="00A46E96"/>
    <w:rsid w:val="00A52030"/>
    <w:rsid w:val="00A57F06"/>
    <w:rsid w:val="00A62BEC"/>
    <w:rsid w:val="00A658C1"/>
    <w:rsid w:val="00A734AD"/>
    <w:rsid w:val="00A837A0"/>
    <w:rsid w:val="00A90926"/>
    <w:rsid w:val="00A9477C"/>
    <w:rsid w:val="00A97287"/>
    <w:rsid w:val="00AA2DED"/>
    <w:rsid w:val="00AB1C66"/>
    <w:rsid w:val="00AB2184"/>
    <w:rsid w:val="00AC5A9E"/>
    <w:rsid w:val="00AD1FEC"/>
    <w:rsid w:val="00AD2DF1"/>
    <w:rsid w:val="00AE4125"/>
    <w:rsid w:val="00AF5E87"/>
    <w:rsid w:val="00B00552"/>
    <w:rsid w:val="00B02BEE"/>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28FB"/>
    <w:rsid w:val="00B93C7A"/>
    <w:rsid w:val="00B956C4"/>
    <w:rsid w:val="00BA0192"/>
    <w:rsid w:val="00BB2152"/>
    <w:rsid w:val="00BB2BE0"/>
    <w:rsid w:val="00BB405B"/>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25B78"/>
    <w:rsid w:val="00C32068"/>
    <w:rsid w:val="00C33FEF"/>
    <w:rsid w:val="00C4163B"/>
    <w:rsid w:val="00C41F24"/>
    <w:rsid w:val="00C47619"/>
    <w:rsid w:val="00C52848"/>
    <w:rsid w:val="00C61FF5"/>
    <w:rsid w:val="00C64AD6"/>
    <w:rsid w:val="00C671F5"/>
    <w:rsid w:val="00C67E5D"/>
    <w:rsid w:val="00C70DB9"/>
    <w:rsid w:val="00C72528"/>
    <w:rsid w:val="00C748FF"/>
    <w:rsid w:val="00C74DA7"/>
    <w:rsid w:val="00C767DA"/>
    <w:rsid w:val="00C805FB"/>
    <w:rsid w:val="00C83750"/>
    <w:rsid w:val="00C84FBA"/>
    <w:rsid w:val="00C8675B"/>
    <w:rsid w:val="00C86CD7"/>
    <w:rsid w:val="00C9376B"/>
    <w:rsid w:val="00C9581A"/>
    <w:rsid w:val="00C960BE"/>
    <w:rsid w:val="00C9791B"/>
    <w:rsid w:val="00CA3682"/>
    <w:rsid w:val="00CB44BB"/>
    <w:rsid w:val="00CC4AEF"/>
    <w:rsid w:val="00CC6C0C"/>
    <w:rsid w:val="00CD1FB3"/>
    <w:rsid w:val="00CD4BE8"/>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65AF1"/>
    <w:rsid w:val="00D73109"/>
    <w:rsid w:val="00D76C43"/>
    <w:rsid w:val="00D810EC"/>
    <w:rsid w:val="00D835B6"/>
    <w:rsid w:val="00D84464"/>
    <w:rsid w:val="00D92C44"/>
    <w:rsid w:val="00DA0540"/>
    <w:rsid w:val="00DA2840"/>
    <w:rsid w:val="00DA4030"/>
    <w:rsid w:val="00DB15FD"/>
    <w:rsid w:val="00DB58EC"/>
    <w:rsid w:val="00DC399B"/>
    <w:rsid w:val="00DD3031"/>
    <w:rsid w:val="00DD5E2B"/>
    <w:rsid w:val="00DE16E5"/>
    <w:rsid w:val="00DE24FD"/>
    <w:rsid w:val="00DF3781"/>
    <w:rsid w:val="00DF6E69"/>
    <w:rsid w:val="00E02C4A"/>
    <w:rsid w:val="00E107CA"/>
    <w:rsid w:val="00E1216B"/>
    <w:rsid w:val="00E1477F"/>
    <w:rsid w:val="00E16C63"/>
    <w:rsid w:val="00E25348"/>
    <w:rsid w:val="00E25D54"/>
    <w:rsid w:val="00E30E76"/>
    <w:rsid w:val="00E341F5"/>
    <w:rsid w:val="00E37E67"/>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3F49"/>
    <w:rsid w:val="00F65837"/>
    <w:rsid w:val="00F72D00"/>
    <w:rsid w:val="00F73EC5"/>
    <w:rsid w:val="00F81150"/>
    <w:rsid w:val="00F833B7"/>
    <w:rsid w:val="00F83A22"/>
    <w:rsid w:val="00F84CF9"/>
    <w:rsid w:val="00F87C6C"/>
    <w:rsid w:val="00F87E38"/>
    <w:rsid w:val="00F97EA2"/>
    <w:rsid w:val="00FA155E"/>
    <w:rsid w:val="00FA2322"/>
    <w:rsid w:val="00FB4B0C"/>
    <w:rsid w:val="00FB4CAB"/>
    <w:rsid w:val="00FC0D10"/>
    <w:rsid w:val="00FC1934"/>
    <w:rsid w:val="00FC619D"/>
    <w:rsid w:val="00FE38F0"/>
    <w:rsid w:val="00FE43A9"/>
    <w:rsid w:val="00FF41F3"/>
    <w:rsid w:val="0505C5A1"/>
    <w:rsid w:val="0517E51B"/>
    <w:rsid w:val="4E25EDF5"/>
    <w:rsid w:val="60FFCC83"/>
    <w:rsid w:val="7EA6D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490F9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D81E7DBB-4377-429D-AB01-58F7C1891394}"/>
</file>

<file path=customXml/itemProps3.xml><?xml version="1.0" encoding="utf-8"?>
<ds:datastoreItem xmlns:ds="http://schemas.openxmlformats.org/officeDocument/2006/customXml" ds:itemID="{6B53502E-71C5-4EA1-853B-9107661688A9}"/>
</file>

<file path=customXml/itemProps4.xml><?xml version="1.0" encoding="utf-8"?>
<ds:datastoreItem xmlns:ds="http://schemas.openxmlformats.org/officeDocument/2006/customXml" ds:itemID="{4930CAEB-B4AB-42C4-91D2-715F876FFE1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67</cp:revision>
  <cp:lastPrinted>2022-04-12T16:11:00Z</cp:lastPrinted>
  <dcterms:created xsi:type="dcterms:W3CDTF">2020-12-18T20:17:00Z</dcterms:created>
  <dcterms:modified xsi:type="dcterms:W3CDTF">2025-11-26T17:00:14Z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