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D3031" w:rsidR="00707C99" w:rsidP="00272F4F" w:rsidRDefault="00201C0D" w14:paraId="19FE0E96" w14:textId="7466F0E3">
      <w:pPr>
        <w:spacing w:after="0" w:line="240" w:lineRule="auto"/>
        <w:jc w:val="center"/>
        <w:rPr>
          <w:rFonts w:ascii="Times New Roman" w:hAnsi="Times New Roman" w:cs="Times New Roman"/>
          <w:b/>
          <w:sz w:val="24"/>
          <w:szCs w:val="24"/>
          <w:lang w:val="es-PE" w:eastAsia="ar-SA"/>
        </w:rPr>
      </w:pPr>
      <w:r w:rsidRPr="00DD3031">
        <w:rPr>
          <w:rFonts w:ascii="Times New Roman" w:hAnsi="Times New Roman" w:cs="Times New Roman"/>
          <w:b/>
          <w:sz w:val="24"/>
          <w:szCs w:val="24"/>
          <w:lang w:val="es-PE" w:eastAsia="ar-SA"/>
        </w:rPr>
        <w:t xml:space="preserve">RESOLUCIÓN DE RECURSO IMPUGNATIVO </w:t>
      </w:r>
      <w:proofErr w:type="spellStart"/>
      <w:r w:rsidRPr="00DD3031" w:rsidR="00707C99">
        <w:rPr>
          <w:rFonts w:ascii="Times New Roman" w:hAnsi="Times New Roman" w:cs="Times New Roman"/>
          <w:b/>
          <w:sz w:val="24"/>
          <w:szCs w:val="24"/>
          <w:lang w:val="es-PE" w:eastAsia="ar-SA"/>
        </w:rPr>
        <w:t>N°</w:t>
      </w:r>
      <w:proofErr w:type="spellEnd"/>
      <w:r w:rsidRPr="00DD3031" w:rsidR="00707C99">
        <w:rPr>
          <w:rFonts w:ascii="Times New Roman" w:hAnsi="Times New Roman" w:cs="Times New Roman"/>
          <w:b/>
          <w:sz w:val="24"/>
          <w:szCs w:val="24"/>
          <w:lang w:val="es-PE" w:eastAsia="ar-SA"/>
        </w:rPr>
        <w:t xml:space="preserve"> </w:t>
      </w:r>
      <w:r w:rsidRPr="00DD3031" w:rsidR="00C671F5">
        <w:rPr>
          <w:rFonts w:ascii="Times New Roman" w:hAnsi="Times New Roman" w:cs="Times New Roman"/>
          <w:b/>
          <w:sz w:val="24"/>
          <w:szCs w:val="24"/>
          <w:lang w:val="es-PE" w:eastAsia="ar-SA"/>
        </w:rPr>
        <w:t>0</w:t>
      </w:r>
      <w:r w:rsidRPr="00DD3031" w:rsidR="0009634E">
        <w:rPr>
          <w:rFonts w:ascii="Times New Roman" w:hAnsi="Times New Roman" w:cs="Times New Roman"/>
          <w:b/>
          <w:sz w:val="24"/>
          <w:szCs w:val="24"/>
          <w:lang w:val="es-PE" w:eastAsia="ar-SA"/>
        </w:rPr>
        <w:t>2</w:t>
      </w:r>
      <w:r w:rsidR="00DA3C6C">
        <w:rPr>
          <w:rFonts w:ascii="Times New Roman" w:hAnsi="Times New Roman" w:cs="Times New Roman"/>
          <w:b/>
          <w:sz w:val="24"/>
          <w:szCs w:val="24"/>
          <w:lang w:val="es-PE" w:eastAsia="ar-SA"/>
        </w:rPr>
        <w:t>2</w:t>
      </w:r>
      <w:r w:rsidRPr="00DD3031" w:rsidR="00C671F5">
        <w:rPr>
          <w:rFonts w:ascii="Times New Roman" w:hAnsi="Times New Roman" w:cs="Times New Roman"/>
          <w:b/>
          <w:sz w:val="24"/>
          <w:szCs w:val="24"/>
          <w:lang w:val="es-PE" w:eastAsia="ar-SA"/>
        </w:rPr>
        <w:t>/2</w:t>
      </w:r>
      <w:r w:rsidRPr="00DD3031" w:rsidR="00B93C7A">
        <w:rPr>
          <w:rFonts w:ascii="Times New Roman" w:hAnsi="Times New Roman" w:cs="Times New Roman"/>
          <w:b/>
          <w:sz w:val="24"/>
          <w:szCs w:val="24"/>
          <w:lang w:val="es-PE" w:eastAsia="ar-SA"/>
        </w:rPr>
        <w:t>2</w:t>
      </w:r>
    </w:p>
    <w:p w:rsidRPr="00DD3031" w:rsidR="00FB4CAB" w:rsidP="00FB4CAB" w:rsidRDefault="00FB4CAB" w14:paraId="337F97DA" w14:textId="77777777">
      <w:pPr>
        <w:suppressAutoHyphens/>
        <w:jc w:val="both"/>
        <w:outlineLvl w:val="0"/>
        <w:rPr>
          <w:rFonts w:ascii="Times New Roman" w:hAnsi="Times New Roman" w:eastAsia="Times New Roman" w:cs="Times New Roman"/>
          <w:b/>
          <w:bCs/>
          <w:sz w:val="24"/>
          <w:szCs w:val="24"/>
          <w:lang w:val="es-MX" w:eastAsia="ar-SA"/>
        </w:rPr>
      </w:pPr>
    </w:p>
    <w:p w:rsidR="002F376A" w:rsidP="002F376A" w:rsidRDefault="002F376A" w14:paraId="1AAA2D75" w14:textId="77777777">
      <w:pPr>
        <w:spacing w:after="0" w:line="240" w:lineRule="auto"/>
        <w:jc w:val="both"/>
        <w:rPr>
          <w:rFonts w:ascii="Times New Roman" w:hAnsi="Times New Roman" w:cs="Times New Roman"/>
          <w:b/>
          <w:sz w:val="24"/>
          <w:szCs w:val="24"/>
          <w:lang w:val="es-PE"/>
        </w:rPr>
      </w:pPr>
    </w:p>
    <w:p w:rsidR="002F376A" w:rsidP="002F376A" w:rsidRDefault="002F376A" w14:paraId="0D9E98A8" w14:textId="77777777">
      <w:pPr>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2F376A" w:rsidP="002F376A" w:rsidRDefault="002F376A" w14:paraId="18530C85" w14:textId="1DC144D3">
      <w:pPr>
        <w:jc w:val="both"/>
        <w:outlineLvl w:val="0"/>
        <w:rPr>
          <w:rFonts w:ascii="Times New Roman" w:hAnsi="Times New Roman" w:cs="Times New Roman"/>
          <w:b w:val="1"/>
          <w:bCs w:val="1"/>
          <w:sz w:val="24"/>
          <w:szCs w:val="24"/>
          <w:lang w:val="es-MX"/>
        </w:rPr>
      </w:pPr>
      <w:r w:rsidRPr="517D1852" w:rsidR="002F376A">
        <w:rPr>
          <w:rFonts w:ascii="Times New Roman" w:hAnsi="Times New Roman" w:cs="Times New Roman"/>
          <w:sz w:val="24"/>
          <w:szCs w:val="24"/>
          <w:lang w:val="es-PE"/>
        </w:rPr>
        <w:t xml:space="preserve">El recurso de impugnación presentado por </w:t>
      </w:r>
      <w:r w:rsidRPr="517D1852" w:rsidR="7FE8F4E2">
        <w:rPr>
          <w:rFonts w:ascii="Times New Roman" w:hAnsi="Times New Roman" w:cs="Times New Roman"/>
          <w:b w:val="1"/>
          <w:bCs w:val="1"/>
          <w:sz w:val="24"/>
          <w:szCs w:val="24"/>
          <w:lang w:val="es-PE"/>
        </w:rPr>
        <w:t>.....................................</w:t>
      </w:r>
      <w:r w:rsidRPr="517D1852" w:rsidR="002F376A">
        <w:rPr>
          <w:rFonts w:ascii="Times New Roman" w:hAnsi="Times New Roman" w:cs="Times New Roman"/>
          <w:b w:val="1"/>
          <w:bCs w:val="1"/>
          <w:sz w:val="24"/>
          <w:szCs w:val="24"/>
          <w:lang w:val="es-PE"/>
        </w:rPr>
        <w:t xml:space="preserve"> </w:t>
      </w:r>
      <w:r w:rsidRPr="517D1852" w:rsidR="002F376A">
        <w:rPr>
          <w:rFonts w:ascii="Times New Roman" w:hAnsi="Times New Roman" w:cs="Times New Roman"/>
          <w:sz w:val="24"/>
          <w:szCs w:val="24"/>
          <w:lang w:val="es-PE"/>
        </w:rPr>
        <w:t xml:space="preserve">respecto de la Resolución Nro. 021/22, expedida por el Órgano Resolutivo Unipersonal de esta Defensoría del Asegurado (DEFASEG), conforme a la cual se declaró FUNDADA la reclamación interpuesta por </w:t>
      </w:r>
      <w:r w:rsidRPr="517D1852" w:rsidR="721B45B8">
        <w:rPr>
          <w:rFonts w:ascii="Times New Roman" w:hAnsi="Times New Roman" w:cs="Times New Roman"/>
          <w:b w:val="1"/>
          <w:bCs w:val="1"/>
          <w:sz w:val="24"/>
          <w:szCs w:val="24"/>
          <w:lang w:val="es-PE"/>
        </w:rPr>
        <w:t>......................................................</w:t>
      </w:r>
      <w:r w:rsidRPr="517D1852" w:rsidR="002F376A">
        <w:rPr>
          <w:rFonts w:ascii="Times New Roman" w:hAnsi="Times New Roman" w:cs="Times New Roman"/>
          <w:sz w:val="24"/>
          <w:szCs w:val="24"/>
          <w:lang w:val="es-PE"/>
        </w:rPr>
        <w:t xml:space="preserve"> </w:t>
      </w:r>
      <w:r w:rsidRPr="517D1852" w:rsidR="002F376A">
        <w:rPr>
          <w:rFonts w:ascii="Times New Roman" w:hAnsi="Times New Roman" w:cs="Times New Roman"/>
          <w:sz w:val="24"/>
          <w:szCs w:val="24"/>
          <w:lang w:val="es-PE"/>
        </w:rPr>
        <w:t xml:space="preserve">respecto al </w:t>
      </w:r>
      <w:r w:rsidRPr="517D1852" w:rsidR="002F376A">
        <w:rPr>
          <w:rFonts w:ascii="Times New Roman" w:hAnsi="Times New Roman" w:cs="Times New Roman"/>
          <w:b w:val="1"/>
          <w:bCs w:val="1"/>
          <w:sz w:val="24"/>
          <w:szCs w:val="24"/>
          <w:lang w:val="es-MX"/>
        </w:rPr>
        <w:t>SEGURO DE PROTECCIÓN DE TARJETA- PÓLIZA</w:t>
      </w:r>
      <w:r w:rsidRPr="517D1852" w:rsidR="002F376A">
        <w:rPr>
          <w:rFonts w:ascii="Times New Roman" w:hAnsi="Times New Roman" w:cs="Times New Roman"/>
          <w:b w:val="1"/>
          <w:bCs w:val="1"/>
          <w:sz w:val="24"/>
          <w:szCs w:val="24"/>
          <w:lang w:val="es-PE"/>
        </w:rPr>
        <w:t xml:space="preserve"> </w:t>
      </w:r>
      <w:r w:rsidRPr="517D1852" w:rsidR="3C3DF973">
        <w:rPr>
          <w:rFonts w:ascii="Times New Roman" w:hAnsi="Times New Roman" w:cs="Times New Roman"/>
          <w:b w:val="1"/>
          <w:bCs w:val="1"/>
          <w:sz w:val="24"/>
          <w:szCs w:val="24"/>
          <w:lang w:val="es-PE"/>
        </w:rPr>
        <w:t>............................</w:t>
      </w:r>
      <w:r w:rsidRPr="517D1852" w:rsidR="002F376A">
        <w:rPr>
          <w:rFonts w:ascii="Times New Roman" w:hAnsi="Times New Roman" w:cs="Times New Roman"/>
          <w:lang w:val="es-PE"/>
        </w:rPr>
        <w:t>;</w:t>
      </w:r>
    </w:p>
    <w:p w:rsidR="002F376A" w:rsidP="002F376A" w:rsidRDefault="002F376A" w14:paraId="45141997" w14:textId="77777777">
      <w:pPr>
        <w:pStyle w:val="Textoindependiente"/>
      </w:pPr>
      <w:r>
        <w:t xml:space="preserve">Que, el indicado recurso se sustenta resumidamente en lo siguiente: a) Contrariamente a lo que ha entendido la Defensoría, no es cierto que la definición de uso indebido y sus limitaciones se encuentren contempladas de manera inexacta en el contrato; por el contrario, la definición de uso indebido sí se encuentra debidamente desarrollada en la póliza contratada; b) la cobertura de compras fraudulentas vía internet solo cubre las pérdidas ocasionadas mediante el uso indebido de las tarjetas del asegurado; c) para que se pueda aplicar la cobertura para casos de compras fraudulentas, no basta que solamente haya una ausencia de autorización o consentimiento del titular a la hora de realizar transacciones, sino también debe haber la necesidad de que dicha compra fraudulenta haya sido realizada mediante el uso indebido de las tarjetas de crédito o débito del asegurado; d) es cierto dicha cláusula no engloba precisamente el requisito de “sustracción” de las tarjetas para que proceda un uso indebido de las tarjetas, pero no es cierto que tal definición no se encontraba previamente estipulada en la póliza contratada; e) en el artículo </w:t>
      </w:r>
      <w:proofErr w:type="spellStart"/>
      <w:r>
        <w:t>Nº</w:t>
      </w:r>
      <w:proofErr w:type="spellEnd"/>
      <w:r>
        <w:t xml:space="preserve"> 30 sobre Coberturas de la Póliza señala expresamente lo que implica el uso indebido. </w:t>
      </w:r>
      <w:r>
        <w:rPr>
          <w:color w:val="000000"/>
          <w:lang w:val="es-PE" w:eastAsia="es-PE"/>
        </w:rPr>
        <w:t>En ese sentido, es innegable que la póliza si señalaba lo que implica el</w:t>
      </w:r>
      <w:r>
        <w:t xml:space="preserve"> </w:t>
      </w:r>
      <w:r>
        <w:rPr>
          <w:color w:val="000000"/>
          <w:lang w:val="es-PE" w:eastAsia="es-PE"/>
        </w:rPr>
        <w:t>término del uso indebido, por lo cual no es viable alegar que tal definición es</w:t>
      </w:r>
      <w:r>
        <w:t xml:space="preserve"> </w:t>
      </w:r>
      <w:r>
        <w:rPr>
          <w:color w:val="000000"/>
          <w:lang w:val="es-PE" w:eastAsia="es-PE"/>
        </w:rPr>
        <w:t>inexacta. El uso indebido deberá entenderse por el robo, secuestro, extravío o hurto de las</w:t>
      </w:r>
      <w:r>
        <w:t xml:space="preserve"> </w:t>
      </w:r>
      <w:r>
        <w:rPr>
          <w:color w:val="000000"/>
          <w:lang w:val="es-PE" w:eastAsia="es-PE"/>
        </w:rPr>
        <w:t>tarjetas de crédito o débito; f) de la sección</w:t>
      </w:r>
      <w:r>
        <w:t xml:space="preserve"> </w:t>
      </w:r>
      <w:r>
        <w:rPr>
          <w:color w:val="000000"/>
          <w:lang w:val="es-PE" w:eastAsia="es-PE"/>
        </w:rPr>
        <w:t xml:space="preserve">séptima del articulo </w:t>
      </w:r>
      <w:proofErr w:type="spellStart"/>
      <w:r>
        <w:rPr>
          <w:color w:val="000000"/>
          <w:lang w:val="es-PE" w:eastAsia="es-PE"/>
        </w:rPr>
        <w:t>Nº</w:t>
      </w:r>
      <w:proofErr w:type="spellEnd"/>
      <w:r>
        <w:rPr>
          <w:color w:val="000000"/>
          <w:lang w:val="es-PE" w:eastAsia="es-PE"/>
        </w:rPr>
        <w:t xml:space="preserve"> IV la Ley de Seguros se desprende que La cobertura,</w:t>
      </w:r>
      <w:r>
        <w:t xml:space="preserve"> </w:t>
      </w:r>
      <w:r>
        <w:rPr>
          <w:color w:val="000000"/>
          <w:lang w:val="es-PE" w:eastAsia="es-PE"/>
        </w:rPr>
        <w:t>exclusiones y, en general, la extensión del riesgo así como los derechos de</w:t>
      </w:r>
      <w:r>
        <w:t xml:space="preserve"> </w:t>
      </w:r>
      <w:r>
        <w:rPr>
          <w:color w:val="000000"/>
          <w:lang w:val="es-PE" w:eastAsia="es-PE"/>
        </w:rPr>
        <w:t>los beneficiarios, previstos en el contrato de seguro, deben interpretarse</w:t>
      </w:r>
      <w:r>
        <w:t xml:space="preserve"> </w:t>
      </w:r>
      <w:r>
        <w:rPr>
          <w:color w:val="000000"/>
          <w:lang w:val="es-PE" w:eastAsia="es-PE"/>
        </w:rPr>
        <w:t xml:space="preserve">literalmente.”; g) </w:t>
      </w:r>
      <w:r>
        <w:t xml:space="preserve"> la póliza suscrita señala expresamente que la</w:t>
      </w:r>
      <w:r>
        <w:rPr>
          <w:color w:val="000000"/>
          <w:lang w:val="es-PE" w:eastAsia="es-PE"/>
        </w:rPr>
        <w:t xml:space="preserve"> </w:t>
      </w:r>
      <w:r>
        <w:t>cobertura para compras fraudulentas vía internet serán aplicadas solo por el</w:t>
      </w:r>
      <w:r>
        <w:rPr>
          <w:color w:val="000000"/>
          <w:lang w:val="es-PE" w:eastAsia="es-PE"/>
        </w:rPr>
        <w:t xml:space="preserve"> </w:t>
      </w:r>
      <w:r>
        <w:t>uso indebido de las tarjetas, dicha norma deberá ser entendida de manera</w:t>
      </w:r>
      <w:r>
        <w:rPr>
          <w:color w:val="000000"/>
          <w:lang w:val="es-PE" w:eastAsia="es-PE"/>
        </w:rPr>
        <w:t xml:space="preserve"> </w:t>
      </w:r>
      <w:r>
        <w:t>exacta, toda vez que darle una interpretación abierta no sería conforme a</w:t>
      </w:r>
      <w:r>
        <w:rPr>
          <w:color w:val="000000"/>
          <w:lang w:val="es-PE" w:eastAsia="es-PE"/>
        </w:rPr>
        <w:t xml:space="preserve"> </w:t>
      </w:r>
      <w:r>
        <w:t>derecho; h) por otro lado, en el supuesto en el cual vuestro Despacho considere adoptar la postura desarrollada por el reclamante sobre la modalidad delictiva en la que recae presuntamente el siniestro, ello deberá ser probado por quien alega ello. Es decir, en caso reclamante sostenga que el caso en cuestión se trate de la figura de “clonación” ello deberá ser probado de manera indubitable y fehaciente</w:t>
      </w:r>
    </w:p>
    <w:p w:rsidR="002F376A" w:rsidP="002F376A" w:rsidRDefault="002F376A" w14:paraId="2F269670" w14:textId="77777777">
      <w:pPr>
        <w:pStyle w:val="Textoindependiente"/>
      </w:pPr>
    </w:p>
    <w:p w:rsidR="002F376A" w:rsidP="002F376A" w:rsidRDefault="002F376A" w14:paraId="766625B2" w14:textId="3246A1A3">
      <w:pPr>
        <w:pStyle w:val="Textoindependiente"/>
      </w:pPr>
      <w:r w:rsidR="002F376A">
        <w:rPr/>
        <w:t xml:space="preserve">Que, el reclamante absolvió el traslado del recurso impugnatorio indicando, en síntesis, lo siguiente: a) La Compañía pretende que el mismo busque a los delincuentes que hicieron uso indebido de su tarjeta tras la clonación de la misma; b) ni bien se dio cuenta de lo ocurrido con su tarjeta y cuenta del banco, llamó al </w:t>
      </w:r>
      <w:r w:rsidR="74CB0533">
        <w:rPr/>
        <w:t>..............</w:t>
      </w:r>
      <w:r w:rsidR="002F376A">
        <w:rPr/>
        <w:t xml:space="preserve"> manifestándoles que no reconocía la operación y procediendo con el bloqueo inmediato conforme le indicaron; c) interpuso un reclamo por la operación no reconocida, realizo la denuncia policial y se prosiguió  con el proceso fiscal; d) por otro lado, estuvo más de un mes reclamando al banco ya que la operación se encontraba como retenida; sin embargo,  ni bien entro un monto de dinero a su cuenta se procesó de forma manual sin tener en cuenta sus reclamos; d) todas las pruebas fueron remitidas a la aseguradora, </w:t>
      </w:r>
      <w:r w:rsidR="002F376A">
        <w:rPr/>
        <w:t>por lo que no entiende lo señalado por la misma, respecto a la acreditación del evento del que fue víctima.</w:t>
      </w:r>
    </w:p>
    <w:p w:rsidR="002F376A" w:rsidP="002F376A" w:rsidRDefault="002F376A" w14:paraId="47C103CB" w14:textId="77777777">
      <w:pPr>
        <w:pStyle w:val="Textoindependiente"/>
        <w:rPr>
          <w:bCs w:val="0"/>
          <w:color w:val="000000"/>
          <w:lang w:val="es-PE" w:eastAsia="es-PE"/>
        </w:rPr>
      </w:pPr>
    </w:p>
    <w:p w:rsidR="002F376A" w:rsidP="002F376A" w:rsidRDefault="002F376A" w14:paraId="52BB4C66" w14:textId="77777777">
      <w:pPr>
        <w:pStyle w:val="Textoindependiente"/>
        <w:tabs>
          <w:tab w:val="left" w:pos="930"/>
        </w:tabs>
      </w:pPr>
      <w:r>
        <w:t>Que, atendiendo a lo expuesto, esta Defensoría resuelve finalmente lo siguiente:</w:t>
      </w:r>
    </w:p>
    <w:p w:rsidR="002F376A" w:rsidP="002F376A" w:rsidRDefault="002F376A" w14:paraId="766ED418" w14:textId="77777777">
      <w:pPr>
        <w:jc w:val="both"/>
        <w:rPr>
          <w:rFonts w:ascii="Times New Roman" w:hAnsi="Times New Roman" w:cs="Times New Roman"/>
          <w:b/>
          <w:sz w:val="24"/>
          <w:szCs w:val="24"/>
          <w:u w:val="single"/>
          <w:lang w:val="es-PE"/>
        </w:rPr>
      </w:pPr>
    </w:p>
    <w:p w:rsidR="002F376A" w:rsidP="002F376A" w:rsidRDefault="002F376A" w14:paraId="14CBA444"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PRIMERO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El artículo 10 (Procedimiento) del Reglamento de la DEFASEG </w:t>
      </w:r>
      <w:r>
        <w:rPr>
          <w:rFonts w:ascii="Times New Roman" w:hAnsi="Times New Roman" w:eastAsia="Arial Unicode MS" w:cs="Times New Roman"/>
          <w:sz w:val="24"/>
          <w:szCs w:val="24"/>
          <w:lang w:val="es-PE"/>
        </w:rPr>
        <w:t>(http://www.defaseg.com.pe/reglamento)</w:t>
      </w:r>
      <w:r>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002F376A" w:rsidP="002F376A" w:rsidRDefault="002F376A" w14:paraId="63698ECE"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002F376A" w:rsidP="002F376A" w:rsidRDefault="002F376A" w14:paraId="63986753" w14:textId="3BD4D27E">
      <w:pPr>
        <w:jc w:val="both"/>
        <w:rPr>
          <w:rFonts w:ascii="Times New Roman" w:hAnsi="Times New Roman" w:cs="Times New Roman"/>
          <w:bCs/>
          <w:sz w:val="24"/>
          <w:szCs w:val="24"/>
          <w:lang w:val="es-PE"/>
        </w:rPr>
      </w:pPr>
      <w:r>
        <w:rPr>
          <w:rFonts w:ascii="Times New Roman" w:hAnsi="Times New Roman" w:cs="Times New Roman"/>
          <w:b/>
          <w:bCs/>
          <w:sz w:val="24"/>
          <w:szCs w:val="24"/>
          <w:u w:val="single"/>
          <w:lang w:val="es-PE"/>
        </w:rPr>
        <w:t>SEGUNDO</w:t>
      </w:r>
      <w:r>
        <w:rPr>
          <w:rFonts w:ascii="Times New Roman" w:hAnsi="Times New Roman" w:cs="Times New Roman"/>
          <w:b/>
          <w:bCs/>
          <w:sz w:val="24"/>
          <w:szCs w:val="24"/>
          <w:lang w:val="es-PE"/>
        </w:rPr>
        <w:t>:</w:t>
      </w:r>
      <w:r>
        <w:rPr>
          <w:rFonts w:ascii="Times New Roman" w:hAnsi="Times New Roman" w:cs="Times New Roman"/>
          <w:bCs/>
          <w:sz w:val="24"/>
          <w:szCs w:val="24"/>
          <w:lang w:val="es-PE"/>
        </w:rPr>
        <w:t xml:space="preserve"> Que el recurso de impugnación presentado por la aseguradora se sustenta en señalar que la definición de uso indebido </w:t>
      </w:r>
      <w:r w:rsidR="00034DBD">
        <w:rPr>
          <w:rFonts w:ascii="Times New Roman" w:hAnsi="Times New Roman" w:cs="Times New Roman"/>
          <w:bCs/>
          <w:sz w:val="24"/>
          <w:szCs w:val="24"/>
          <w:lang w:val="es-PE"/>
        </w:rPr>
        <w:t>está</w:t>
      </w:r>
      <w:r>
        <w:rPr>
          <w:rFonts w:ascii="Times New Roman" w:hAnsi="Times New Roman" w:cs="Times New Roman"/>
          <w:bCs/>
          <w:sz w:val="24"/>
          <w:szCs w:val="24"/>
          <w:lang w:val="es-PE"/>
        </w:rPr>
        <w:t xml:space="preserve"> delimitada en el artículo 30° de la Póliza, por cuanto para que se </w:t>
      </w:r>
      <w:r>
        <w:rPr>
          <w:rFonts w:ascii="Times New Roman" w:hAnsi="Times New Roman" w:cs="Times New Roman"/>
          <w:sz w:val="24"/>
          <w:szCs w:val="24"/>
          <w:lang w:val="es-PE"/>
        </w:rPr>
        <w:t xml:space="preserve">materialice la cobertura </w:t>
      </w:r>
      <w:proofErr w:type="spellStart"/>
      <w:r>
        <w:rPr>
          <w:rFonts w:ascii="Times New Roman" w:hAnsi="Times New Roman" w:cs="Times New Roman"/>
          <w:sz w:val="24"/>
          <w:szCs w:val="24"/>
          <w:lang w:val="es-PE"/>
        </w:rPr>
        <w:t>Nº</w:t>
      </w:r>
      <w:proofErr w:type="spellEnd"/>
      <w:r>
        <w:rPr>
          <w:rFonts w:ascii="Times New Roman" w:hAnsi="Times New Roman" w:cs="Times New Roman"/>
          <w:sz w:val="24"/>
          <w:szCs w:val="24"/>
          <w:lang w:val="es-PE"/>
        </w:rPr>
        <w:t xml:space="preserve"> 4, esto es, para que exista un uso indebido de la tarjeta debe existir un previo robo o hurto de la tarjeta física, lo que en este caso no ocurrió.</w:t>
      </w:r>
    </w:p>
    <w:p w:rsidR="002F376A" w:rsidP="002F376A" w:rsidRDefault="002F376A" w14:paraId="68C0C9F8" w14:textId="77777777">
      <w:pPr>
        <w:jc w:val="both"/>
        <w:rPr>
          <w:rFonts w:ascii="Times New Roman" w:hAnsi="Times New Roman" w:cs="Times New Roman"/>
          <w:sz w:val="24"/>
          <w:szCs w:val="24"/>
          <w:lang w:val="es-ES"/>
        </w:rPr>
      </w:pPr>
      <w:r>
        <w:rPr>
          <w:rFonts w:ascii="Times New Roman" w:hAnsi="Times New Roman" w:cs="Times New Roman"/>
          <w:sz w:val="24"/>
          <w:szCs w:val="24"/>
          <w:lang w:val="es-PE"/>
        </w:rPr>
        <w:t xml:space="preserve">Sobre el particular, este Colegiado advierte que, la Resolución Nro. 021/22, expedida por el Órgano Resolutivo Unipersonal de esta Defensoría del Asegurado (DEFASEG), se fundamenta en que la definición de la cobertura </w:t>
      </w:r>
      <w:proofErr w:type="spellStart"/>
      <w:r>
        <w:rPr>
          <w:rFonts w:ascii="Times New Roman" w:hAnsi="Times New Roman" w:cs="Times New Roman"/>
          <w:sz w:val="24"/>
          <w:szCs w:val="24"/>
          <w:lang w:val="es-PE"/>
        </w:rPr>
        <w:t>N°</w:t>
      </w:r>
      <w:proofErr w:type="spellEnd"/>
      <w:r>
        <w:rPr>
          <w:rFonts w:ascii="Times New Roman" w:hAnsi="Times New Roman" w:cs="Times New Roman"/>
          <w:sz w:val="24"/>
          <w:szCs w:val="24"/>
          <w:lang w:val="es-PE"/>
        </w:rPr>
        <w:t xml:space="preserve"> 4 de compra fraudulenta vía internet mediante el uso indebido de la tarjeta, no limita el riesgo a determinadas modalidades delictivas que facilitan el uso indebido de la tarjeta, sólo condiciona que la compra haya sido sin autorización y conocimiento del asegurado. </w:t>
      </w:r>
    </w:p>
    <w:p w:rsidR="002F376A" w:rsidP="002F376A" w:rsidRDefault="002F376A" w14:paraId="471121BC" w14:textId="77777777">
      <w:pPr>
        <w:pStyle w:val="Default"/>
        <w:jc w:val="both"/>
        <w:rPr>
          <w:rFonts w:ascii="Times New Roman" w:hAnsi="Times New Roman" w:cs="Times New Roman"/>
        </w:rPr>
      </w:pPr>
      <w:r>
        <w:rPr>
          <w:rFonts w:ascii="Times New Roman" w:hAnsi="Times New Roman" w:cs="Times New Roman"/>
        </w:rPr>
        <w:t xml:space="preserve">A este efecto, el Órgano Resolutorio Unipersonal verificó de las pruebas que obraban en autos, que en el certificado de seguro la descripción de la cobertura de compra fraudulenta no limitaba el supuesto de uso indebido a los casos de previo robo o hurto de la tarjeta como sostiene la aseguradora. </w:t>
      </w:r>
    </w:p>
    <w:p w:rsidR="002F376A" w:rsidP="002F376A" w:rsidRDefault="002F376A" w14:paraId="7747FFB0" w14:textId="77777777">
      <w:pPr>
        <w:pStyle w:val="Default"/>
        <w:jc w:val="both"/>
        <w:rPr>
          <w:rFonts w:ascii="Times New Roman" w:hAnsi="Times New Roman" w:cs="Times New Roman"/>
        </w:rPr>
      </w:pPr>
    </w:p>
    <w:p w:rsidR="002F376A" w:rsidP="002F376A" w:rsidRDefault="002F376A" w14:paraId="2028ED57" w14:textId="1AAB3EAB">
      <w:pPr>
        <w:pStyle w:val="Default"/>
        <w:jc w:val="both"/>
        <w:rPr>
          <w:rFonts w:ascii="Times New Roman" w:hAnsi="Times New Roman" w:cs="Times New Roman"/>
        </w:rPr>
      </w:pPr>
      <w:r w:rsidRPr="517D1852" w:rsidR="002F376A">
        <w:rPr>
          <w:rFonts w:ascii="Times New Roman" w:hAnsi="Times New Roman" w:cs="Times New Roman"/>
        </w:rPr>
        <w:t xml:space="preserve">Asimismo, </w:t>
      </w:r>
      <w:r w:rsidRPr="517D1852" w:rsidR="766FD907">
        <w:rPr>
          <w:rFonts w:ascii="Times New Roman" w:hAnsi="Times New Roman" w:cs="Times New Roman"/>
        </w:rPr>
        <w:t>..............</w:t>
      </w:r>
      <w:r w:rsidRPr="517D1852" w:rsidR="002F376A">
        <w:rPr>
          <w:rFonts w:ascii="Times New Roman" w:hAnsi="Times New Roman" w:cs="Times New Roman"/>
        </w:rPr>
        <w:t xml:space="preserve"> no ha presentado la póliza donde se plasme la definición de uso indebido que señala en su recurso impugnatorio, a fin de que hubiera podido ser valorado por este Colegiado.</w:t>
      </w:r>
    </w:p>
    <w:p w:rsidR="002F376A" w:rsidP="002F376A" w:rsidRDefault="002F376A" w14:paraId="5D25D362" w14:textId="77777777">
      <w:pPr>
        <w:pStyle w:val="Default"/>
        <w:jc w:val="both"/>
        <w:rPr>
          <w:rFonts w:ascii="Times New Roman" w:hAnsi="Times New Roman" w:cs="Times New Roman"/>
        </w:rPr>
      </w:pPr>
    </w:p>
    <w:p w:rsidR="002F376A" w:rsidP="002F376A" w:rsidRDefault="002F376A" w14:paraId="0F2B39F6" w14:textId="77777777">
      <w:pPr>
        <w:pStyle w:val="Default"/>
        <w:jc w:val="both"/>
        <w:rPr>
          <w:rFonts w:ascii="Times New Roman" w:hAnsi="Times New Roman" w:cs="Times New Roman"/>
        </w:rPr>
      </w:pPr>
      <w:r>
        <w:rPr>
          <w:rFonts w:ascii="Times New Roman" w:hAnsi="Times New Roman" w:cs="Times New Roman"/>
        </w:rPr>
        <w:t xml:space="preserve">En esa medida la información que obra en autos no es insuficiente para generar convicción sobre la posición de la aseguradora en el presente caso. En efecto, podrían darse modificaciones a las condiciones contractuales a través del condicionado particular o de endosos, las que corresponderían evaluarlas para verificar si la interpretación que postula la impugnante es conforme a la Póliza completa. </w:t>
      </w:r>
    </w:p>
    <w:p w:rsidR="002F376A" w:rsidP="002F376A" w:rsidRDefault="002F376A" w14:paraId="085B404D" w14:textId="77777777">
      <w:pPr>
        <w:pStyle w:val="Default"/>
        <w:jc w:val="both"/>
        <w:rPr>
          <w:rFonts w:ascii="Times New Roman" w:hAnsi="Times New Roman" w:cs="Times New Roman"/>
        </w:rPr>
      </w:pPr>
    </w:p>
    <w:p w:rsidR="002F376A" w:rsidP="002F376A" w:rsidRDefault="002F376A" w14:paraId="2FBE8AB6"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TERCERO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002F376A" w:rsidP="002F376A" w:rsidRDefault="002F376A" w14:paraId="3BDC3F8F" w14:textId="77777777">
      <w:pPr>
        <w:jc w:val="both"/>
        <w:rPr>
          <w:rFonts w:ascii="Times New Roman" w:hAnsi="Times New Roman" w:cs="Times New Roman"/>
          <w:b/>
          <w:sz w:val="24"/>
          <w:szCs w:val="24"/>
          <w:lang w:val="es-PE"/>
        </w:rPr>
      </w:pPr>
      <w:r>
        <w:rPr>
          <w:rFonts w:ascii="Times New Roman" w:hAnsi="Times New Roman" w:cs="Times New Roman"/>
          <w:b/>
          <w:sz w:val="24"/>
          <w:szCs w:val="24"/>
          <w:lang w:val="es-PE"/>
        </w:rPr>
        <w:t>ATENDIENDO A LO EXPRESADO, CONFORME A SU REGLAMENTO, ESTE COLEGIADO RESUELVE:</w:t>
      </w:r>
    </w:p>
    <w:p w:rsidR="002F376A" w:rsidP="517D1852" w:rsidRDefault="002F376A" w14:paraId="0B7F29D1" w14:textId="7149265B">
      <w:pPr>
        <w:pStyle w:val="Default"/>
        <w:jc w:val="both"/>
        <w:rPr>
          <w:rFonts w:ascii="Times New Roman" w:hAnsi="Times New Roman" w:cs="Times New Roman"/>
          <w:b w:val="1"/>
          <w:bCs w:val="1"/>
        </w:rPr>
      </w:pPr>
      <w:r w:rsidRPr="517D1852" w:rsidR="002F376A">
        <w:rPr>
          <w:rFonts w:ascii="Times New Roman" w:hAnsi="Times New Roman" w:cs="Times New Roman"/>
          <w:b w:val="1"/>
          <w:bCs w:val="1"/>
        </w:rPr>
        <w:t xml:space="preserve">DECLARAR INFUNDADO </w:t>
      </w:r>
      <w:r w:rsidRPr="517D1852" w:rsidR="002F376A">
        <w:rPr>
          <w:rFonts w:ascii="Times New Roman" w:hAnsi="Times New Roman" w:cs="Times New Roman"/>
        </w:rPr>
        <w:t>el recurso de impugnación interpuesto por</w:t>
      </w:r>
      <w:r w:rsidRPr="517D1852" w:rsidR="002F376A">
        <w:rPr>
          <w:rFonts w:ascii="Times New Roman" w:hAnsi="Times New Roman" w:cs="Times New Roman"/>
          <w:b w:val="1"/>
          <w:bCs w:val="1"/>
        </w:rPr>
        <w:t xml:space="preserve"> </w:t>
      </w:r>
      <w:r w:rsidRPr="517D1852" w:rsidR="7FE8F4E2">
        <w:rPr>
          <w:rFonts w:ascii="Times New Roman" w:hAnsi="Times New Roman" w:cs="Times New Roman"/>
          <w:b w:val="1"/>
          <w:bCs w:val="1"/>
        </w:rPr>
        <w:t>.....................................</w:t>
      </w:r>
      <w:r w:rsidRPr="517D1852" w:rsidR="002F376A">
        <w:rPr>
          <w:rFonts w:ascii="Times New Roman" w:hAnsi="Times New Roman" w:cs="Times New Roman"/>
          <w:b w:val="1"/>
          <w:bCs w:val="1"/>
        </w:rPr>
        <w:t xml:space="preserve"> </w:t>
      </w:r>
      <w:r w:rsidRPr="517D1852" w:rsidR="002F376A">
        <w:rPr>
          <w:rFonts w:ascii="Times New Roman" w:hAnsi="Times New Roman" w:cs="Times New Roman"/>
        </w:rPr>
        <w:t>y, por consiguiente,</w:t>
      </w:r>
      <w:r w:rsidRPr="517D1852" w:rsidR="002F376A">
        <w:rPr>
          <w:rFonts w:ascii="Times New Roman" w:hAnsi="Times New Roman" w:cs="Times New Roman"/>
          <w:b w:val="1"/>
          <w:bCs w:val="1"/>
        </w:rPr>
        <w:t xml:space="preserve"> CONFIRMAR la Resolución </w:t>
      </w:r>
      <w:r w:rsidRPr="517D1852" w:rsidR="002F376A">
        <w:rPr>
          <w:rFonts w:ascii="Times New Roman" w:hAnsi="Times New Roman" w:cs="Times New Roman"/>
          <w:b w:val="1"/>
          <w:bCs w:val="1"/>
        </w:rPr>
        <w:t>N°</w:t>
      </w:r>
      <w:r w:rsidRPr="517D1852" w:rsidR="002F376A">
        <w:rPr>
          <w:rFonts w:ascii="Times New Roman" w:hAnsi="Times New Roman" w:cs="Times New Roman"/>
          <w:b w:val="1"/>
          <w:bCs w:val="1"/>
        </w:rPr>
        <w:t xml:space="preserve"> 021/22</w:t>
      </w:r>
      <w:r w:rsidRPr="517D1852" w:rsidR="002F376A">
        <w:rPr>
          <w:rFonts w:ascii="Times New Roman" w:hAnsi="Times New Roman" w:cs="Times New Roman"/>
          <w:b w:val="1"/>
          <w:bCs w:val="1"/>
          <w:lang w:val="es-MX"/>
        </w:rPr>
        <w:t>.</w:t>
      </w:r>
    </w:p>
    <w:p w:rsidRPr="002F376A" w:rsidR="001E5803" w:rsidP="002F376A" w:rsidRDefault="001E5803" w14:paraId="70B36E9C" w14:textId="48C5F329">
      <w:pPr>
        <w:suppressAutoHyphens/>
        <w:spacing w:after="0" w:line="240" w:lineRule="auto"/>
        <w:jc w:val="both"/>
        <w:outlineLvl w:val="0"/>
        <w:rPr>
          <w:rFonts w:ascii="Times New Roman" w:hAnsi="Times New Roman" w:eastAsia="Times New Roman" w:cs="Times New Roman"/>
          <w:b/>
          <w:bCs/>
          <w:sz w:val="24"/>
          <w:szCs w:val="24"/>
          <w:lang w:val="es-PE" w:eastAsia="ar-SA"/>
        </w:rPr>
      </w:pPr>
    </w:p>
    <w:p w:rsidRPr="00E02C4A" w:rsidR="00077B6F" w:rsidP="00C671F5" w:rsidRDefault="0091528B" w14:paraId="78A39B5B" w14:textId="1242D762">
      <w:pPr>
        <w:suppressAutoHyphens/>
        <w:spacing w:after="0" w:line="240" w:lineRule="auto"/>
        <w:jc w:val="right"/>
        <w:outlineLvl w:val="0"/>
        <w:rPr>
          <w:rFonts w:ascii="Times New Roman" w:hAnsi="Times New Roman" w:eastAsia="Arial Unicode MS" w:cs="Times New Roman"/>
          <w:sz w:val="24"/>
          <w:szCs w:val="24"/>
          <w:lang w:val="es-PE" w:eastAsia="ar-SA"/>
        </w:rPr>
      </w:pPr>
      <w:r w:rsidRPr="00E02C4A">
        <w:rPr>
          <w:rFonts w:ascii="Times New Roman" w:hAnsi="Times New Roman" w:eastAsia="Arial Unicode MS" w:cs="Times New Roman"/>
          <w:sz w:val="24"/>
          <w:szCs w:val="24"/>
          <w:lang w:val="es-PE" w:eastAsia="ar-SA"/>
        </w:rPr>
        <w:t xml:space="preserve">Lima, </w:t>
      </w:r>
      <w:r w:rsidR="00D65AF1">
        <w:rPr>
          <w:rFonts w:ascii="Times New Roman" w:hAnsi="Times New Roman" w:eastAsia="Arial Unicode MS" w:cs="Times New Roman"/>
          <w:sz w:val="24"/>
          <w:szCs w:val="24"/>
          <w:lang w:val="es-PE" w:eastAsia="ar-SA"/>
        </w:rPr>
        <w:t>1</w:t>
      </w:r>
      <w:r w:rsidR="00DA3C6C">
        <w:rPr>
          <w:rFonts w:ascii="Times New Roman" w:hAnsi="Times New Roman" w:eastAsia="Arial Unicode MS" w:cs="Times New Roman"/>
          <w:sz w:val="24"/>
          <w:szCs w:val="24"/>
          <w:lang w:val="es-PE" w:eastAsia="ar-SA"/>
        </w:rPr>
        <w:t>2</w:t>
      </w:r>
      <w:r w:rsidRPr="00E02C4A" w:rsidR="00707C99">
        <w:rPr>
          <w:rFonts w:ascii="Times New Roman" w:hAnsi="Times New Roman" w:eastAsia="Arial Unicode MS" w:cs="Times New Roman"/>
          <w:sz w:val="24"/>
          <w:szCs w:val="24"/>
          <w:lang w:val="es-PE" w:eastAsia="ar-SA"/>
        </w:rPr>
        <w:t xml:space="preserve"> de </w:t>
      </w:r>
      <w:r w:rsidR="00D65AF1">
        <w:rPr>
          <w:rFonts w:ascii="Times New Roman" w:hAnsi="Times New Roman" w:eastAsia="Arial Unicode MS" w:cs="Times New Roman"/>
          <w:sz w:val="24"/>
          <w:szCs w:val="24"/>
          <w:lang w:val="es-PE" w:eastAsia="ar-SA"/>
        </w:rPr>
        <w:t>abril</w:t>
      </w:r>
      <w:r w:rsidRPr="00E02C4A" w:rsidR="00F06498">
        <w:rPr>
          <w:rFonts w:ascii="Times New Roman" w:hAnsi="Times New Roman" w:eastAsia="Arial Unicode MS" w:cs="Times New Roman"/>
          <w:sz w:val="24"/>
          <w:szCs w:val="24"/>
          <w:lang w:val="es-PE" w:eastAsia="ar-SA"/>
        </w:rPr>
        <w:t xml:space="preserve"> de 202</w:t>
      </w:r>
      <w:r w:rsidRPr="00E02C4A" w:rsidR="00B93C7A">
        <w:rPr>
          <w:rFonts w:ascii="Times New Roman" w:hAnsi="Times New Roman" w:eastAsia="Arial Unicode MS" w:cs="Times New Roman"/>
          <w:sz w:val="24"/>
          <w:szCs w:val="24"/>
          <w:lang w:val="es-PE" w:eastAsia="ar-SA"/>
        </w:rPr>
        <w:t>2</w:t>
      </w:r>
      <w:r w:rsidRPr="00E02C4A" w:rsidR="00707C99">
        <w:rPr>
          <w:rFonts w:ascii="Times New Roman" w:hAnsi="Times New Roman" w:eastAsia="Times New Roman" w:cs="Times New Roman"/>
          <w:sz w:val="24"/>
          <w:szCs w:val="24"/>
          <w:lang w:val="es-PE" w:eastAsia="ar-SA"/>
        </w:rPr>
        <w:t xml:space="preserve"> </w:t>
      </w:r>
    </w:p>
    <w:p w:rsidRPr="00E02C4A"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E02C4A"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02C4A"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E02C4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E02C4A"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E02C4A" w:rsidR="001233F2" w:rsidP="001233F2" w:rsidRDefault="001233F2" w14:paraId="74409CB4"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María Eugenia Valdez Fernández Baca – Presidente</w:t>
      </w:r>
    </w:p>
    <w:p w:rsidRPr="00E02C4A" w:rsidR="001233F2" w:rsidP="001233F2" w:rsidRDefault="001233F2" w14:paraId="6DC8A5AA"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 xml:space="preserve">Rolando Eyzaguirre </w:t>
      </w:r>
      <w:proofErr w:type="spellStart"/>
      <w:r w:rsidRPr="00E02C4A">
        <w:rPr>
          <w:rFonts w:ascii="Times New Roman" w:hAnsi="Times New Roman" w:cs="Times New Roman"/>
          <w:b/>
          <w:bCs/>
          <w:sz w:val="24"/>
          <w:szCs w:val="24"/>
          <w:lang w:val="es-PE"/>
        </w:rPr>
        <w:t>Maccan</w:t>
      </w:r>
      <w:proofErr w:type="spellEnd"/>
      <w:r w:rsidRPr="00E02C4A">
        <w:rPr>
          <w:rFonts w:ascii="Times New Roman" w:hAnsi="Times New Roman" w:cs="Times New Roman"/>
          <w:b/>
          <w:bCs/>
          <w:sz w:val="24"/>
          <w:szCs w:val="24"/>
          <w:lang w:val="es-PE"/>
        </w:rPr>
        <w:t xml:space="preserve"> – Vocal</w:t>
      </w:r>
    </w:p>
    <w:p w:rsidRPr="00E02C4A" w:rsidR="001233F2" w:rsidP="001233F2" w:rsidRDefault="001233F2" w14:paraId="458869C3"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Marco Antonio Ortega Piana – Vocal</w:t>
      </w:r>
    </w:p>
    <w:p w:rsidRPr="00A446D0" w:rsidR="001233F2" w:rsidP="001233F2" w:rsidRDefault="001233F2" w14:paraId="1D4E3330" w14:textId="77777777">
      <w:pPr>
        <w:spacing w:after="0" w:line="360" w:lineRule="auto"/>
        <w:jc w:val="center"/>
        <w:rPr>
          <w:rFonts w:ascii="Times New Roman" w:hAnsi="Times New Roman" w:cs="Times New Roman"/>
          <w:sz w:val="24"/>
          <w:szCs w:val="24"/>
          <w:lang w:val="es-PE"/>
        </w:rPr>
      </w:pPr>
      <w:r w:rsidRPr="00A446D0">
        <w:rPr>
          <w:rFonts w:ascii="Times New Roman" w:hAnsi="Times New Roman" w:cs="Times New Roman"/>
          <w:b/>
          <w:bCs/>
          <w:sz w:val="24"/>
          <w:szCs w:val="24"/>
          <w:lang w:val="es-PE"/>
        </w:rPr>
        <w:t>Gonzalo Abad del Busto – Vocal</w:t>
      </w:r>
    </w:p>
    <w:p w:rsidRPr="00A446D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4201E5"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4201E5"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8773E" w:rsidP="00784355" w:rsidRDefault="00E8773E" w14:paraId="3E4151FC" w14:textId="77777777">
      <w:pPr>
        <w:spacing w:after="0" w:line="240" w:lineRule="auto"/>
      </w:pPr>
      <w:r>
        <w:separator/>
      </w:r>
    </w:p>
  </w:endnote>
  <w:endnote w:type="continuationSeparator" w:id="0">
    <w:p w:rsidR="00E8773E" w:rsidP="00784355" w:rsidRDefault="00E8773E" w14:paraId="07ABD79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8773E" w:rsidP="00784355" w:rsidRDefault="00E8773E" w14:paraId="54E8B65D" w14:textId="77777777">
      <w:pPr>
        <w:spacing w:after="0" w:line="240" w:lineRule="auto"/>
      </w:pPr>
      <w:r>
        <w:separator/>
      </w:r>
    </w:p>
  </w:footnote>
  <w:footnote w:type="continuationSeparator" w:id="0">
    <w:p w:rsidR="00E8773E" w:rsidP="00784355" w:rsidRDefault="00E8773E" w14:paraId="3376D80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7"/>
  </w:num>
  <w:num w:numId="3" w16cid:durableId="760956054">
    <w:abstractNumId w:val="4"/>
  </w:num>
  <w:num w:numId="4" w16cid:durableId="1079518208">
    <w:abstractNumId w:val="3"/>
  </w:num>
  <w:num w:numId="5" w16cid:durableId="1198003566">
    <w:abstractNumId w:val="5"/>
  </w:num>
  <w:num w:numId="6" w16cid:durableId="1607540339">
    <w:abstractNumId w:val="0"/>
  </w:num>
  <w:num w:numId="7" w16cid:durableId="1490902120">
    <w:abstractNumId w:val="8"/>
  </w:num>
  <w:num w:numId="8" w16cid:durableId="615214413">
    <w:abstractNumId w:val="9"/>
  </w:num>
  <w:num w:numId="9" w16cid:durableId="10181194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34DBD"/>
    <w:rsid w:val="000365E3"/>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50874"/>
    <w:rsid w:val="001508BC"/>
    <w:rsid w:val="001529FE"/>
    <w:rsid w:val="0016101B"/>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F09CA"/>
    <w:rsid w:val="002F35F0"/>
    <w:rsid w:val="002F376A"/>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17E23"/>
    <w:rsid w:val="004201E5"/>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26BD2"/>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0419"/>
    <w:rsid w:val="007F14C0"/>
    <w:rsid w:val="007F6BA4"/>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270F"/>
    <w:rsid w:val="008D6DDF"/>
    <w:rsid w:val="008F1161"/>
    <w:rsid w:val="008F479E"/>
    <w:rsid w:val="008F7C83"/>
    <w:rsid w:val="009011F1"/>
    <w:rsid w:val="009127A6"/>
    <w:rsid w:val="0091528B"/>
    <w:rsid w:val="009157B1"/>
    <w:rsid w:val="00917CAF"/>
    <w:rsid w:val="009225DD"/>
    <w:rsid w:val="009272D7"/>
    <w:rsid w:val="00933532"/>
    <w:rsid w:val="00943343"/>
    <w:rsid w:val="00943DA4"/>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52030"/>
    <w:rsid w:val="00A57F06"/>
    <w:rsid w:val="00A62BEC"/>
    <w:rsid w:val="00A658C1"/>
    <w:rsid w:val="00A734AD"/>
    <w:rsid w:val="00A837A0"/>
    <w:rsid w:val="00A90926"/>
    <w:rsid w:val="00A9477C"/>
    <w:rsid w:val="00A97287"/>
    <w:rsid w:val="00AA2DED"/>
    <w:rsid w:val="00AB1C66"/>
    <w:rsid w:val="00AB2184"/>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4FBA"/>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4057"/>
    <w:rsid w:val="00E66AFF"/>
    <w:rsid w:val="00E6771C"/>
    <w:rsid w:val="00E70381"/>
    <w:rsid w:val="00E70F8F"/>
    <w:rsid w:val="00E73DEF"/>
    <w:rsid w:val="00E80D65"/>
    <w:rsid w:val="00E8773E"/>
    <w:rsid w:val="00E9734F"/>
    <w:rsid w:val="00EA4C4B"/>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73EC5"/>
    <w:rsid w:val="00F81150"/>
    <w:rsid w:val="00F833B7"/>
    <w:rsid w:val="00F83A22"/>
    <w:rsid w:val="00F84CF9"/>
    <w:rsid w:val="00F87C6C"/>
    <w:rsid w:val="00F87E38"/>
    <w:rsid w:val="00F97EA2"/>
    <w:rsid w:val="00FA155E"/>
    <w:rsid w:val="00FA2322"/>
    <w:rsid w:val="00FB4B0C"/>
    <w:rsid w:val="00FB4CAB"/>
    <w:rsid w:val="00FC0D10"/>
    <w:rsid w:val="00FC1934"/>
    <w:rsid w:val="00FC619D"/>
    <w:rsid w:val="00FE38F0"/>
    <w:rsid w:val="00FE43A9"/>
    <w:rsid w:val="00FF41F3"/>
    <w:rsid w:val="0375D052"/>
    <w:rsid w:val="072DCA88"/>
    <w:rsid w:val="27F22B51"/>
    <w:rsid w:val="3C3DF973"/>
    <w:rsid w:val="517D1852"/>
    <w:rsid w:val="721B45B8"/>
    <w:rsid w:val="74CB0533"/>
    <w:rsid w:val="766FD907"/>
    <w:rsid w:val="7FE8F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5C6D996-3C75-4FAC-9264-0987DB827B11}"/>
</file>

<file path=customXml/itemProps3.xml><?xml version="1.0" encoding="utf-8"?>
<ds:datastoreItem xmlns:ds="http://schemas.openxmlformats.org/officeDocument/2006/customXml" ds:itemID="{CFB10C45-DE61-4BFF-93F5-7BE67FA60F14}"/>
</file>

<file path=customXml/itemProps4.xml><?xml version="1.0" encoding="utf-8"?>
<ds:datastoreItem xmlns:ds="http://schemas.openxmlformats.org/officeDocument/2006/customXml" ds:itemID="{8B68B2AA-427D-47E5-9AA8-72A7A2F53DE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74</cp:revision>
  <cp:lastPrinted>2022-04-12T22:08:00Z</cp:lastPrinted>
  <dcterms:created xsi:type="dcterms:W3CDTF">2020-12-18T20:17:00Z</dcterms:created>
  <dcterms:modified xsi:type="dcterms:W3CDTF">2025-11-26T17:05:15Z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