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618FF" w:rsidR="00707C99" w:rsidP="00272F4F" w:rsidRDefault="00201C0D" w14:paraId="19FE0E96" w14:textId="1B7A0497">
      <w:pPr>
        <w:spacing w:after="0" w:line="240" w:lineRule="auto"/>
        <w:jc w:val="center"/>
        <w:rPr>
          <w:rFonts w:ascii="Times New Roman" w:hAnsi="Times New Roman" w:cs="Times New Roman"/>
          <w:b/>
          <w:sz w:val="24"/>
          <w:szCs w:val="24"/>
          <w:lang w:val="es-PE" w:eastAsia="ar-SA"/>
        </w:rPr>
      </w:pPr>
      <w:r w:rsidRPr="00B618FF">
        <w:rPr>
          <w:rFonts w:ascii="Times New Roman" w:hAnsi="Times New Roman" w:cs="Times New Roman"/>
          <w:b/>
          <w:sz w:val="24"/>
          <w:szCs w:val="24"/>
          <w:lang w:val="es-PE" w:eastAsia="ar-SA"/>
        </w:rPr>
        <w:t xml:space="preserve">RESOLUCIÓN DE RECURSO IMPUGNATIVO </w:t>
      </w:r>
      <w:proofErr w:type="spellStart"/>
      <w:r w:rsidRPr="00B618FF" w:rsidR="00707C99">
        <w:rPr>
          <w:rFonts w:ascii="Times New Roman" w:hAnsi="Times New Roman" w:cs="Times New Roman"/>
          <w:b/>
          <w:sz w:val="24"/>
          <w:szCs w:val="24"/>
          <w:lang w:val="es-PE" w:eastAsia="ar-SA"/>
        </w:rPr>
        <w:t>N°</w:t>
      </w:r>
      <w:proofErr w:type="spellEnd"/>
      <w:r w:rsidRPr="00B618FF" w:rsidR="00707C99">
        <w:rPr>
          <w:rFonts w:ascii="Times New Roman" w:hAnsi="Times New Roman" w:cs="Times New Roman"/>
          <w:b/>
          <w:sz w:val="24"/>
          <w:szCs w:val="24"/>
          <w:lang w:val="es-PE" w:eastAsia="ar-SA"/>
        </w:rPr>
        <w:t xml:space="preserve"> </w:t>
      </w:r>
      <w:r w:rsidRPr="00B618FF" w:rsidR="00C671F5">
        <w:rPr>
          <w:rFonts w:ascii="Times New Roman" w:hAnsi="Times New Roman" w:cs="Times New Roman"/>
          <w:b/>
          <w:sz w:val="24"/>
          <w:szCs w:val="24"/>
          <w:lang w:val="es-PE" w:eastAsia="ar-SA"/>
        </w:rPr>
        <w:t>0</w:t>
      </w:r>
      <w:r w:rsidRPr="00B618FF" w:rsidR="0009634E">
        <w:rPr>
          <w:rFonts w:ascii="Times New Roman" w:hAnsi="Times New Roman" w:cs="Times New Roman"/>
          <w:b/>
          <w:sz w:val="24"/>
          <w:szCs w:val="24"/>
          <w:lang w:val="es-PE" w:eastAsia="ar-SA"/>
        </w:rPr>
        <w:t>2</w:t>
      </w:r>
      <w:r w:rsidRPr="00B618FF" w:rsidR="00F919FC">
        <w:rPr>
          <w:rFonts w:ascii="Times New Roman" w:hAnsi="Times New Roman" w:cs="Times New Roman"/>
          <w:b/>
          <w:sz w:val="24"/>
          <w:szCs w:val="24"/>
          <w:lang w:val="es-PE" w:eastAsia="ar-SA"/>
        </w:rPr>
        <w:t>3</w:t>
      </w:r>
      <w:r w:rsidRPr="00B618FF" w:rsidR="00C671F5">
        <w:rPr>
          <w:rFonts w:ascii="Times New Roman" w:hAnsi="Times New Roman" w:cs="Times New Roman"/>
          <w:b/>
          <w:sz w:val="24"/>
          <w:szCs w:val="24"/>
          <w:lang w:val="es-PE" w:eastAsia="ar-SA"/>
        </w:rPr>
        <w:t>/2</w:t>
      </w:r>
      <w:r w:rsidRPr="00B618FF" w:rsidR="00B93C7A">
        <w:rPr>
          <w:rFonts w:ascii="Times New Roman" w:hAnsi="Times New Roman" w:cs="Times New Roman"/>
          <w:b/>
          <w:sz w:val="24"/>
          <w:szCs w:val="24"/>
          <w:lang w:val="es-PE" w:eastAsia="ar-SA"/>
        </w:rPr>
        <w:t>2</w:t>
      </w:r>
    </w:p>
    <w:p w:rsidRPr="00B618FF"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Pr="00B618FF" w:rsidR="00B618FF" w:rsidP="00B618FF" w:rsidRDefault="00B618FF" w14:paraId="43F3068B"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B618FF">
        <w:rPr>
          <w:rFonts w:ascii="Times New Roman" w:hAnsi="Times New Roman" w:eastAsia="Times New Roman" w:cs="Times New Roman"/>
          <w:b/>
          <w:bCs/>
          <w:sz w:val="24"/>
          <w:szCs w:val="24"/>
          <w:lang w:val="es-MX" w:eastAsia="ar-SA"/>
        </w:rPr>
        <w:t>Vistos:</w:t>
      </w:r>
    </w:p>
    <w:p w:rsidRPr="00B618FF" w:rsidR="00B618FF" w:rsidP="00B618FF" w:rsidRDefault="00B618FF" w14:paraId="5D4ED8BD"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B618FF">
        <w:rPr>
          <w:rFonts w:ascii="Times New Roman" w:hAnsi="Times New Roman" w:eastAsia="Times New Roman" w:cs="Times New Roman"/>
          <w:b/>
          <w:bCs/>
          <w:sz w:val="24"/>
          <w:szCs w:val="24"/>
          <w:lang w:val="es-MX" w:eastAsia="ar-SA"/>
        </w:rPr>
        <w:t xml:space="preserve">   </w:t>
      </w:r>
    </w:p>
    <w:p w:rsidRPr="00B618FF" w:rsidR="00B618FF" w:rsidP="00B618FF" w:rsidRDefault="00B618FF" w14:paraId="34DDA71F" w14:textId="7C91B3FA">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6DB2FDBC" w:rsidR="00B618FF">
        <w:rPr>
          <w:rFonts w:ascii="Times New Roman" w:hAnsi="Times New Roman" w:eastAsia="Times New Roman" w:cs="Times New Roman"/>
          <w:sz w:val="24"/>
          <w:szCs w:val="24"/>
          <w:lang w:val="es-ES" w:eastAsia="ar-SA"/>
        </w:rPr>
        <w:t>El recurso de impugnación presentado con fecha 1 de abril de 2022 por</w:t>
      </w:r>
      <w:r w:rsidRPr="6DB2FDBC" w:rsidR="00B618FF">
        <w:rPr>
          <w:rFonts w:ascii="Times New Roman" w:hAnsi="Times New Roman" w:cs="Times New Roman"/>
          <w:sz w:val="24"/>
          <w:szCs w:val="24"/>
          <w:lang w:val="es-ES"/>
        </w:rPr>
        <w:t xml:space="preserve"> </w:t>
      </w:r>
      <w:r w:rsidRPr="6DB2FDBC" w:rsidR="5A1100D7">
        <w:rPr>
          <w:rFonts w:ascii="Times New Roman" w:hAnsi="Times New Roman" w:cs="Times New Roman"/>
          <w:sz w:val="24"/>
          <w:szCs w:val="24"/>
          <w:lang w:val="es-ES"/>
        </w:rPr>
        <w:t>....................................</w:t>
      </w:r>
      <w:r w:rsidRPr="6DB2FDBC" w:rsidR="00B618FF">
        <w:rPr>
          <w:rFonts w:ascii="Times New Roman" w:hAnsi="Times New Roman" w:cs="Times New Roman"/>
          <w:sz w:val="24"/>
          <w:szCs w:val="24"/>
          <w:lang w:val="es-ES"/>
        </w:rPr>
        <w:t xml:space="preserve"> </w:t>
      </w:r>
      <w:r w:rsidRPr="6DB2FDBC" w:rsidR="00B618FF">
        <w:rPr>
          <w:rFonts w:ascii="Times New Roman" w:hAnsi="Times New Roman" w:eastAsia="Times New Roman" w:cs="Times New Roman"/>
          <w:sz w:val="24"/>
          <w:szCs w:val="24"/>
          <w:lang w:val="es-ES" w:eastAsia="ar-SA"/>
        </w:rPr>
        <w:t xml:space="preserve">respecto de la Resolución Nro. </w:t>
      </w:r>
      <w:r w:rsidRPr="6DB2FDBC" w:rsidR="4EC97519">
        <w:rPr>
          <w:rFonts w:ascii="Times New Roman" w:hAnsi="Times New Roman" w:eastAsia="Times New Roman" w:cs="Times New Roman"/>
          <w:sz w:val="24"/>
          <w:szCs w:val="24"/>
          <w:lang w:val="es-ES" w:eastAsia="ar-SA"/>
        </w:rPr>
        <w:t>...............</w:t>
      </w:r>
      <w:r w:rsidRPr="6DB2FDBC" w:rsidR="00B618FF">
        <w:rPr>
          <w:rFonts w:ascii="Times New Roman" w:hAnsi="Times New Roman" w:eastAsia="Times New Roman" w:cs="Times New Roman"/>
          <w:sz w:val="24"/>
          <w:szCs w:val="24"/>
          <w:lang w:val="es-ES" w:eastAsia="ar-SA"/>
        </w:rPr>
        <w:t xml:space="preserve">, de fecha 24 de marzo de 2022, emitida por esta Defensoría del Asegurado (DEFASEG), que declaró FUNDADA </w:t>
      </w:r>
      <w:r w:rsidRPr="6DB2FDBC" w:rsidR="00B618FF">
        <w:rPr>
          <w:rFonts w:ascii="Times New Roman" w:hAnsi="Times New Roman" w:eastAsia="Arial Unicode MS" w:cs="Times New Roman"/>
          <w:sz w:val="24"/>
          <w:szCs w:val="24"/>
          <w:lang w:val="es-PE"/>
        </w:rPr>
        <w:t xml:space="preserve">la reclamación interpuesta por </w:t>
      </w:r>
      <w:r w:rsidRPr="6DB2FDBC" w:rsidR="00B618FF">
        <w:rPr>
          <w:rFonts w:ascii="Times New Roman" w:hAnsi="Times New Roman" w:eastAsia="Times New Roman" w:cs="Times New Roman"/>
          <w:sz w:val="24"/>
          <w:szCs w:val="24"/>
          <w:lang w:val="es-PE" w:eastAsia="es-ES"/>
        </w:rPr>
        <w:t>don</w:t>
      </w:r>
      <w:r w:rsidRPr="6DB2FDBC" w:rsidR="00B618FF">
        <w:rPr>
          <w:rFonts w:ascii="Times New Roman" w:hAnsi="Times New Roman" w:cs="Times New Roman"/>
          <w:b w:val="1"/>
          <w:bCs w:val="1"/>
          <w:sz w:val="24"/>
          <w:szCs w:val="24"/>
          <w:lang w:val="es-ES"/>
        </w:rPr>
        <w:t xml:space="preserve"> </w:t>
      </w:r>
      <w:r w:rsidRPr="6DB2FDBC" w:rsidR="14ADF603">
        <w:rPr>
          <w:rFonts w:ascii="Times New Roman" w:hAnsi="Times New Roman" w:cs="Times New Roman"/>
          <w:sz w:val="24"/>
          <w:szCs w:val="24"/>
          <w:lang w:val="es-ES"/>
        </w:rPr>
        <w:t>.....................................................</w:t>
      </w:r>
      <w:r w:rsidRPr="6DB2FDBC" w:rsidR="00B618FF">
        <w:rPr>
          <w:rFonts w:ascii="Times New Roman" w:hAnsi="Times New Roman" w:eastAsia="Times New Roman" w:cs="Times New Roman"/>
          <w:sz w:val="24"/>
          <w:szCs w:val="24"/>
          <w:lang w:val="es-PE" w:eastAsia="es-ES"/>
        </w:rPr>
        <w:t xml:space="preserve">, </w:t>
      </w:r>
      <w:bookmarkStart w:name="OLE_LINK2" w:id="0"/>
      <w:r w:rsidRPr="6DB2FDBC" w:rsidR="00B618FF">
        <w:rPr>
          <w:rFonts w:ascii="Times New Roman" w:hAnsi="Times New Roman" w:cs="Times New Roman"/>
          <w:sz w:val="24"/>
          <w:szCs w:val="24"/>
          <w:lang w:val="es-ES"/>
        </w:rPr>
        <w:t>respecto al</w:t>
      </w:r>
      <w:r w:rsidRPr="6DB2FDBC" w:rsidR="00B618FF">
        <w:rPr>
          <w:rFonts w:ascii="Times New Roman" w:hAnsi="Times New Roman" w:cs="Times New Roman"/>
          <w:sz w:val="24"/>
          <w:szCs w:val="24"/>
          <w:lang w:val="es-PE"/>
        </w:rPr>
        <w:t xml:space="preserve"> </w:t>
      </w:r>
      <w:r w:rsidRPr="6DB2FDBC" w:rsidR="00B618FF">
        <w:rPr>
          <w:rFonts w:ascii="Times New Roman" w:hAnsi="Times New Roman" w:eastAsia="Times New Roman" w:cs="Times New Roman"/>
          <w:sz w:val="24"/>
          <w:szCs w:val="24"/>
          <w:lang w:val="es-PE" w:eastAsia="es-ES"/>
        </w:rPr>
        <w:t>otorgamiento de cobertura al siniestro representado por el tratamiento para eventraciones abdominales</w:t>
      </w:r>
      <w:r w:rsidRPr="6DB2FDBC" w:rsidR="00B618FF">
        <w:rPr>
          <w:rFonts w:ascii="Times New Roman" w:hAnsi="Times New Roman" w:cs="Times New Roman"/>
          <w:sz w:val="24"/>
          <w:szCs w:val="24"/>
          <w:lang w:val="es-ES" w:eastAsia="es-ES"/>
        </w:rPr>
        <w:t>,</w:t>
      </w:r>
      <w:r w:rsidRPr="6DB2FDBC" w:rsidR="00B618FF">
        <w:rPr>
          <w:rFonts w:ascii="Times New Roman" w:hAnsi="Times New Roman" w:eastAsia="Times New Roman" w:cs="Times New Roman"/>
          <w:sz w:val="24"/>
          <w:szCs w:val="24"/>
          <w:lang w:val="es-ES" w:eastAsia="es-ES"/>
        </w:rPr>
        <w:t xml:space="preserve"> conforme</w:t>
      </w:r>
      <w:r w:rsidRPr="6DB2FDBC" w:rsidR="00B618FF">
        <w:rPr>
          <w:rFonts w:ascii="Times New Roman" w:hAnsi="Times New Roman" w:eastAsia="Times New Roman" w:cs="Times New Roman"/>
          <w:sz w:val="24"/>
          <w:szCs w:val="24"/>
          <w:lang w:val="es-PE" w:eastAsia="es-ES"/>
        </w:rPr>
        <w:t xml:space="preserve"> a los términos y condiciones del </w:t>
      </w:r>
      <w:r w:rsidRPr="6DB2FDBC" w:rsidR="00B618FF">
        <w:rPr>
          <w:rFonts w:ascii="Times New Roman" w:hAnsi="Times New Roman" w:cs="Times New Roman"/>
          <w:sz w:val="24"/>
          <w:szCs w:val="24"/>
          <w:lang w:val="es-ES"/>
        </w:rPr>
        <w:t>Seguro</w:t>
      </w:r>
      <w:bookmarkEnd w:id="0"/>
      <w:r w:rsidRPr="6DB2FDBC" w:rsidR="00B618FF">
        <w:rPr>
          <w:rFonts w:ascii="Times New Roman" w:hAnsi="Times New Roman" w:cs="Times New Roman"/>
          <w:sz w:val="24"/>
          <w:szCs w:val="24"/>
          <w:lang w:val="es-ES"/>
        </w:rPr>
        <w:t xml:space="preserve"> </w:t>
      </w:r>
      <w:r w:rsidRPr="6DB2FDBC" w:rsidR="00B618FF">
        <w:rPr>
          <w:rFonts w:ascii="Times New Roman" w:hAnsi="Times New Roman" w:cs="Times New Roman"/>
          <w:sz w:val="24"/>
          <w:szCs w:val="24"/>
          <w:lang w:val="es-PE"/>
        </w:rPr>
        <w:t xml:space="preserve">Salud Red Médica / Póliza Nro. </w:t>
      </w:r>
      <w:r w:rsidRPr="6DB2FDBC" w:rsidR="364457AB">
        <w:rPr>
          <w:rFonts w:ascii="Times New Roman" w:hAnsi="Times New Roman" w:cs="Times New Roman"/>
          <w:sz w:val="24"/>
          <w:szCs w:val="24"/>
          <w:lang w:val="es-PE"/>
        </w:rPr>
        <w:t>...............................</w:t>
      </w:r>
      <w:r w:rsidRPr="6DB2FDBC" w:rsidR="00B618FF">
        <w:rPr>
          <w:rFonts w:ascii="Times New Roman" w:hAnsi="Times New Roman" w:cs="Times New Roman"/>
          <w:sz w:val="24"/>
          <w:szCs w:val="24"/>
          <w:lang w:val="es-PE"/>
        </w:rPr>
        <w:t>;</w:t>
      </w:r>
    </w:p>
    <w:p w:rsidRPr="00B618FF" w:rsidR="00B618FF" w:rsidP="00B618FF" w:rsidRDefault="00B618FF" w14:paraId="36612FA5"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ES" w:eastAsia="es-ES"/>
        </w:rPr>
      </w:pPr>
    </w:p>
    <w:p w:rsidRPr="00B618FF" w:rsidR="00B618FF" w:rsidP="262A48F5" w:rsidRDefault="00B618FF" w14:paraId="496DAF8C" w14:textId="6EB1513C">
      <w:pPr>
        <w:suppressAutoHyphens/>
        <w:spacing w:after="0" w:line="240" w:lineRule="auto"/>
        <w:jc w:val="both"/>
        <w:rPr>
          <w:rFonts w:ascii="Times New Roman" w:hAnsi="Times New Roman" w:eastAsia="Times New Roman" w:cs="Times New Roman"/>
          <w:sz w:val="24"/>
          <w:szCs w:val="24"/>
          <w:lang w:val="es-MX" w:eastAsia="ar-SA"/>
        </w:rPr>
      </w:pPr>
      <w:r w:rsidRPr="262A48F5" w:rsidR="00B618FF">
        <w:rPr>
          <w:rFonts w:ascii="Times New Roman" w:hAnsi="Times New Roman" w:eastAsia="Times New Roman" w:cs="Times New Roman"/>
          <w:sz w:val="24"/>
          <w:szCs w:val="24"/>
          <w:lang w:val="es-MX" w:eastAsia="ar-SA"/>
        </w:rPr>
        <w:t xml:space="preserve">Que, a través del señalado recurso, </w:t>
      </w:r>
      <w:r w:rsidRPr="262A48F5" w:rsidR="5A1100D7">
        <w:rPr>
          <w:rFonts w:ascii="Times New Roman" w:hAnsi="Times New Roman" w:cs="Times New Roman"/>
          <w:sz w:val="24"/>
          <w:szCs w:val="24"/>
          <w:lang w:val="es-ES"/>
        </w:rPr>
        <w:t>....................................</w:t>
      </w:r>
      <w:r w:rsidRPr="262A48F5" w:rsidR="00B618FF">
        <w:rPr>
          <w:rFonts w:ascii="Times New Roman" w:hAnsi="Times New Roman" w:eastAsia="Times New Roman" w:cs="Times New Roman"/>
          <w:sz w:val="24"/>
          <w:szCs w:val="24"/>
          <w:lang w:val="es-MX" w:eastAsia="ar-SA"/>
        </w:rPr>
        <w:t xml:space="preserve"> cuestiona lo resuelto por este colegiado, señalando que el asegurado sí tuvo conocimiento del contenido contractual sobre el régimen de exclusiones, para cuyo efecto refiere a medios probatorios conforme a los cuales, no sólo se presentan las condiciones generales que contienen al régimen de exclusiones, sino  que los términos y condiciones, incluidos el señalado condicionado, fue puesto oportunamente en conocimiento del asegurado, quien contrató el seguro con conocimiento declarado de ello, de manera que en conforme a lo que ha sido analizado en la resolución recurrida, el rechazo sí está justificado, por lo que corresponde que la Defensoría revoque la resolución recurrida y desestime la reclamación;</w:t>
      </w:r>
    </w:p>
    <w:p w:rsidRPr="00B618FF" w:rsidR="00B618FF" w:rsidP="00B618FF" w:rsidRDefault="00B618FF" w14:paraId="0FF4693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B618FF" w:rsidR="00B618FF" w:rsidP="262A48F5" w:rsidRDefault="00B618FF" w14:paraId="2E748D1D" w14:textId="5D609E7C">
      <w:pPr>
        <w:suppressAutoHyphens/>
        <w:spacing w:after="0" w:line="240" w:lineRule="auto"/>
        <w:jc w:val="both"/>
        <w:rPr>
          <w:rFonts w:ascii="Times New Roman" w:hAnsi="Times New Roman" w:eastAsia="Times New Roman" w:cs="Times New Roman"/>
          <w:sz w:val="24"/>
          <w:szCs w:val="24"/>
          <w:lang w:val="es-MX" w:eastAsia="ar-SA"/>
        </w:rPr>
      </w:pPr>
      <w:r w:rsidRPr="262A48F5" w:rsidR="00B618FF">
        <w:rPr>
          <w:rFonts w:ascii="Times New Roman" w:hAnsi="Times New Roman" w:eastAsia="Times New Roman" w:cs="Times New Roman"/>
          <w:sz w:val="24"/>
          <w:szCs w:val="24"/>
          <w:lang w:val="es-MX" w:eastAsia="ar-SA"/>
        </w:rPr>
        <w:t xml:space="preserve">Que, habiéndosele corrido traslado de la señalada impugnación, el reclamante absolvió el respectivo trámite mediante la presentación de un escrito, con fecha 5 de abril de 2022, en el cual manifiesta resumidamente lo siguiente: a) El recurso impugnativo debe ser declarado improcedente porque ha sido presentado por persona que no se ha identificado, sin acreditar representación ni su colegiatura profesional, solicitando que la DEFASEG reporte este hecho al Colegio de Abogados de Lima para que se apliquen las sanciones correspondientes, b) </w:t>
      </w:r>
      <w:r w:rsidRPr="262A48F5" w:rsidR="5A1100D7">
        <w:rPr>
          <w:rFonts w:ascii="Times New Roman" w:hAnsi="Times New Roman" w:eastAsia="Times New Roman" w:cs="Times New Roman"/>
          <w:sz w:val="24"/>
          <w:szCs w:val="24"/>
          <w:lang w:val="es-MX" w:eastAsia="ar-SA"/>
        </w:rPr>
        <w:t>....................................</w:t>
      </w:r>
      <w:r w:rsidRPr="262A48F5" w:rsidR="00B618FF">
        <w:rPr>
          <w:rFonts w:ascii="Times New Roman" w:hAnsi="Times New Roman" w:eastAsia="Times New Roman" w:cs="Times New Roman"/>
          <w:sz w:val="24"/>
          <w:szCs w:val="24"/>
          <w:lang w:val="es-MX" w:eastAsia="ar-SA"/>
        </w:rPr>
        <w:t xml:space="preserve"> persiste en su argumento destinado a confundir una enfermedad preexistente con un accidente fortuito y casual, siendo que ya ha sido demostrado que las eventraciones abdominales sufridas en junio de 2021 no tienen relación alguna con la diástasis traumática corregida en su oportunidad, en Tailandia, en el año 2018, y c) Corresponde rechazar el recurso dilatorio presentado por la aseguradora, de manera que se atienda de inmediato al asegurado, evitándole mayores complicaciones a las que ya padece;</w:t>
      </w:r>
    </w:p>
    <w:p w:rsidRPr="00B618FF" w:rsidR="00B618FF" w:rsidP="00B618FF" w:rsidRDefault="00B618FF" w14:paraId="4856653B"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B618FF" w:rsidR="00B618FF" w:rsidP="00B618FF" w:rsidRDefault="00B618FF" w14:paraId="35765E27" w14:textId="77777777">
      <w:pPr>
        <w:suppressAutoHyphens/>
        <w:spacing w:after="0" w:line="240" w:lineRule="auto"/>
        <w:jc w:val="both"/>
        <w:rPr>
          <w:rFonts w:ascii="Times New Roman" w:hAnsi="Times New Roman" w:cs="Times New Roman"/>
          <w:bCs/>
          <w:sz w:val="24"/>
          <w:szCs w:val="24"/>
          <w:lang w:val="es-ES"/>
        </w:rPr>
      </w:pPr>
      <w:r w:rsidRPr="00B618FF">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B618FF" w:rsidR="00B618FF" w:rsidP="00B618FF" w:rsidRDefault="00B618FF" w14:paraId="1906D038"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B618FF" w:rsidR="00B618FF" w:rsidP="00B618FF" w:rsidRDefault="00B618FF" w14:paraId="356EA3D9"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B618FF">
        <w:rPr>
          <w:rFonts w:ascii="Times New Roman" w:hAnsi="Times New Roman" w:eastAsia="Times New Roman" w:cs="Times New Roman"/>
          <w:b/>
          <w:bCs/>
          <w:sz w:val="24"/>
          <w:szCs w:val="24"/>
          <w:lang w:val="es-MX" w:eastAsia="ar-SA"/>
        </w:rPr>
        <w:t>Considerando:</w:t>
      </w:r>
    </w:p>
    <w:p w:rsidRPr="00B618FF" w:rsidR="00B618FF" w:rsidP="00B618FF" w:rsidRDefault="00B618FF" w14:paraId="70909BD0" w14:textId="77777777">
      <w:pPr>
        <w:suppressAutoHyphens/>
        <w:spacing w:after="0" w:line="240" w:lineRule="auto"/>
        <w:jc w:val="both"/>
        <w:rPr>
          <w:rFonts w:ascii="Times New Roman" w:hAnsi="Times New Roman" w:eastAsia="Times New Roman" w:cs="Times New Roman"/>
          <w:sz w:val="24"/>
          <w:szCs w:val="24"/>
          <w:lang w:val="es-ES" w:eastAsia="ar-SA"/>
        </w:rPr>
      </w:pPr>
    </w:p>
    <w:p w:rsidRPr="00B618FF" w:rsidR="00B618FF" w:rsidP="00B618FF" w:rsidRDefault="00B618FF" w14:paraId="76B66E8C" w14:textId="77777777">
      <w:pPr>
        <w:spacing w:after="0" w:line="240" w:lineRule="auto"/>
        <w:jc w:val="both"/>
        <w:rPr>
          <w:rFonts w:ascii="Times New Roman" w:hAnsi="Times New Roman" w:cs="Times New Roman"/>
          <w:sz w:val="24"/>
          <w:szCs w:val="24"/>
          <w:lang w:val="es-PE"/>
        </w:rPr>
      </w:pPr>
      <w:r w:rsidRPr="00B618FF">
        <w:rPr>
          <w:rFonts w:ascii="Times New Roman" w:hAnsi="Times New Roman" w:cs="Times New Roman"/>
          <w:b/>
          <w:sz w:val="24"/>
          <w:szCs w:val="24"/>
          <w:u w:val="single"/>
          <w:lang w:val="es-PE"/>
        </w:rPr>
        <w:t>Primero</w:t>
      </w:r>
      <w:r w:rsidRPr="00B618FF">
        <w:rPr>
          <w:rFonts w:ascii="Times New Roman" w:hAnsi="Times New Roman" w:cs="Times New Roman"/>
          <w:b/>
          <w:sz w:val="24"/>
          <w:szCs w:val="24"/>
          <w:lang w:val="es-PE"/>
        </w:rPr>
        <w:t>:</w:t>
      </w:r>
      <w:r w:rsidRPr="00B618FF">
        <w:rPr>
          <w:rFonts w:ascii="Times New Roman" w:hAnsi="Times New Roman" w:cs="Times New Roman"/>
          <w:sz w:val="24"/>
          <w:szCs w:val="24"/>
          <w:lang w:val="es-PE"/>
        </w:rPr>
        <w:t xml:space="preserve"> El Reglamento de la DEFASEG </w:t>
      </w:r>
      <w:r w:rsidRPr="00B618FF">
        <w:rPr>
          <w:rFonts w:ascii="Times New Roman" w:hAnsi="Times New Roman" w:eastAsia="Arial Unicode MS" w:cs="Times New Roman"/>
          <w:sz w:val="24"/>
          <w:szCs w:val="24"/>
          <w:lang w:val="es-PE"/>
        </w:rPr>
        <w:t xml:space="preserve">(http://www.defaseg.com.pe/reglamento), en su artículo 10, </w:t>
      </w:r>
      <w:r w:rsidRPr="00B618FF">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B618FF">
        <w:rPr>
          <w:rFonts w:ascii="Times New Roman" w:hAnsi="Times New Roman" w:cs="Times New Roman"/>
          <w:sz w:val="24"/>
          <w:szCs w:val="24"/>
          <w:lang w:val="es-ES"/>
        </w:rPr>
        <w:t>usuario de seguro recurre en forma voluntaria a la Defensoría, siendo que la presentación de una reclamación n</w:t>
      </w:r>
      <w:r w:rsidRPr="00B618FF">
        <w:rPr>
          <w:rFonts w:ascii="Times New Roman" w:hAnsi="Times New Roman" w:cs="Times New Roman"/>
          <w:sz w:val="24"/>
          <w:szCs w:val="24"/>
          <w:lang w:val="es-PE"/>
        </w:rPr>
        <w:t xml:space="preserve">o limita su derecho a recurrir posteriormente ante el órgano administrativo o jurisdiccional que </w:t>
      </w:r>
      <w:r w:rsidRPr="00B618FF">
        <w:rPr>
          <w:rFonts w:ascii="Times New Roman" w:hAnsi="Times New Roman" w:cs="Times New Roman"/>
          <w:sz w:val="24"/>
          <w:szCs w:val="24"/>
          <w:lang w:val="es-PE"/>
        </w:rPr>
        <w:lastRenderedPageBreak/>
        <w:t xml:space="preserve">considere pertinente.  </w:t>
      </w:r>
      <w:proofErr w:type="gramStart"/>
      <w:r w:rsidRPr="00B618FF">
        <w:rPr>
          <w:rFonts w:ascii="Times New Roman" w:hAnsi="Times New Roman" w:cs="Times New Roman"/>
          <w:sz w:val="24"/>
          <w:szCs w:val="24"/>
          <w:lang w:val="es-PE"/>
        </w:rPr>
        <w:t>De acuerdo a</w:t>
      </w:r>
      <w:proofErr w:type="gramEnd"/>
      <w:r w:rsidRPr="00B618FF">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B618FF" w:rsidR="00B618FF" w:rsidP="00B618FF" w:rsidRDefault="00B618FF" w14:paraId="4FBBF7F4" w14:textId="77777777">
      <w:pPr>
        <w:spacing w:after="0" w:line="240" w:lineRule="auto"/>
        <w:jc w:val="both"/>
        <w:rPr>
          <w:rFonts w:ascii="Times New Roman" w:hAnsi="Times New Roman" w:cs="Times New Roman"/>
          <w:sz w:val="24"/>
          <w:szCs w:val="24"/>
          <w:lang w:val="es-PE"/>
        </w:rPr>
      </w:pPr>
    </w:p>
    <w:p w:rsidRPr="00B618FF" w:rsidR="00B618FF" w:rsidP="00B618FF" w:rsidRDefault="00B618FF" w14:paraId="792438A8" w14:textId="77777777">
      <w:pPr>
        <w:tabs>
          <w:tab w:val="left" w:pos="0"/>
          <w:tab w:val="left" w:pos="2160"/>
        </w:tabs>
        <w:spacing w:after="0" w:line="240" w:lineRule="auto"/>
        <w:jc w:val="both"/>
        <w:rPr>
          <w:rFonts w:ascii="Times New Roman" w:hAnsi="Times New Roman" w:cs="Times New Roman"/>
          <w:sz w:val="24"/>
          <w:szCs w:val="24"/>
          <w:lang w:val="es-PE"/>
        </w:rPr>
      </w:pPr>
      <w:r w:rsidRPr="00B618FF">
        <w:rPr>
          <w:rFonts w:ascii="Times New Roman" w:hAnsi="Times New Roman" w:cs="Times New Roman"/>
          <w:b/>
          <w:sz w:val="24"/>
          <w:szCs w:val="24"/>
          <w:u w:val="single"/>
          <w:lang w:val="es-PE"/>
        </w:rPr>
        <w:t>Segundo</w:t>
      </w:r>
      <w:r w:rsidRPr="00B618FF">
        <w:rPr>
          <w:rFonts w:ascii="Times New Roman" w:hAnsi="Times New Roman" w:cs="Times New Roman"/>
          <w:b/>
          <w:sz w:val="24"/>
          <w:szCs w:val="24"/>
          <w:lang w:val="es-PE"/>
        </w:rPr>
        <w:t>:</w:t>
      </w:r>
      <w:r w:rsidRPr="00B618FF">
        <w:rPr>
          <w:rFonts w:ascii="Times New Roman" w:hAnsi="Times New Roman" w:cs="Times New Roman"/>
          <w:sz w:val="24"/>
          <w:szCs w:val="24"/>
          <w:lang w:val="es-PE"/>
        </w:rPr>
        <w:t xml:space="preserve"> Conforme se aprecia del octavo considerando de la resolución recurrida, siendo que para fines del rechazo de cobertura se invocó una exclusión, este colegiado consideró que la misma estaba probada; empero, en atención que la aseguradora no había cumplido con acreditar que dicha exclusión formaba parte del contrato de seguro, entiéndase de la póliza y sus condicionados, ni que el régimen de exclusiones había sido informado oportuna, adecuada y suficientemente al asegurado, se resolvió declarar fundada la reclamación, pero dejando a salvo la circunstancia que, en vía de impugnación o revisión, la aseguradora podría acreditar lo que había sido invocado más no probado con ocasión de su absolución al traslado de la reclamación y a la fecha de expedirse la resolución recurrida.</w:t>
      </w:r>
    </w:p>
    <w:p w:rsidRPr="00B618FF" w:rsidR="00B618FF" w:rsidP="00B618FF" w:rsidRDefault="00B618FF" w14:paraId="7D9E903F" w14:textId="77777777">
      <w:pPr>
        <w:tabs>
          <w:tab w:val="left" w:pos="0"/>
          <w:tab w:val="left" w:pos="2160"/>
        </w:tabs>
        <w:spacing w:after="0" w:line="240" w:lineRule="auto"/>
        <w:jc w:val="both"/>
        <w:rPr>
          <w:rFonts w:ascii="Times New Roman" w:hAnsi="Times New Roman" w:cs="Times New Roman"/>
          <w:sz w:val="24"/>
          <w:szCs w:val="24"/>
          <w:lang w:val="es-PE"/>
        </w:rPr>
      </w:pPr>
    </w:p>
    <w:p w:rsidRPr="00B618FF" w:rsidR="00B618FF" w:rsidP="00B618FF" w:rsidRDefault="00B618FF" w14:paraId="4710AD9C" w14:textId="6439B320">
      <w:pPr>
        <w:tabs>
          <w:tab w:val="left" w:pos="0"/>
          <w:tab w:val="left" w:pos="2160"/>
        </w:tabs>
        <w:spacing w:after="0" w:line="240" w:lineRule="auto"/>
        <w:jc w:val="both"/>
        <w:rPr>
          <w:rFonts w:ascii="Times New Roman" w:hAnsi="Times New Roman" w:cs="Times New Roman"/>
          <w:sz w:val="24"/>
          <w:szCs w:val="24"/>
          <w:lang w:val="es-PE"/>
        </w:rPr>
      </w:pPr>
      <w:r w:rsidRPr="262A48F5" w:rsidR="00B618FF">
        <w:rPr>
          <w:rFonts w:ascii="Times New Roman" w:hAnsi="Times New Roman" w:cs="Times New Roman"/>
          <w:sz w:val="24"/>
          <w:szCs w:val="24"/>
          <w:lang w:val="es-PE"/>
        </w:rPr>
        <w:t xml:space="preserve">Conforme a lo anterior, </w:t>
      </w:r>
      <w:r w:rsidRPr="262A48F5" w:rsidR="5A1100D7">
        <w:rPr>
          <w:rFonts w:ascii="Times New Roman" w:hAnsi="Times New Roman" w:cs="Times New Roman"/>
          <w:sz w:val="24"/>
          <w:szCs w:val="24"/>
          <w:lang w:val="es-PE"/>
        </w:rPr>
        <w:t>....................................</w:t>
      </w:r>
      <w:r w:rsidRPr="262A48F5" w:rsidR="00B618FF">
        <w:rPr>
          <w:rFonts w:ascii="Times New Roman" w:hAnsi="Times New Roman" w:cs="Times New Roman"/>
          <w:sz w:val="24"/>
          <w:szCs w:val="24"/>
          <w:lang w:val="es-PE"/>
        </w:rPr>
        <w:t xml:space="preserve"> ha acreditado, en vía de revisión, que las condiciones generales de la póliza contienen el régimen de exclusiones invocado en su oportunidad para fines del rechazo (artículo 30), y que el mismo, además, no sólo era conocido con fecha 2 de febrero de 2020 al suscribirse la documentación relativa al contrato de seguro, sino que además fue puesto en conocimiento del asegurado, vía comunicación electrónica, de fecha 5 de febrero de 2020; en consecuencia, atendiendo a ello, se aprecia entonces por el mérito de esta prueba que el rechazo de cobertura sí fue legítimo y sustentado, dado que la exclusión por enfermedad preexistente sí era oponible al asegurado.</w:t>
      </w:r>
    </w:p>
    <w:p w:rsidRPr="00B618FF" w:rsidR="00B618FF" w:rsidP="00B618FF" w:rsidRDefault="00B618FF" w14:paraId="65E102BA" w14:textId="77777777">
      <w:pPr>
        <w:tabs>
          <w:tab w:val="left" w:pos="0"/>
          <w:tab w:val="left" w:pos="2160"/>
        </w:tabs>
        <w:spacing w:after="0" w:line="240" w:lineRule="auto"/>
        <w:jc w:val="both"/>
        <w:rPr>
          <w:rFonts w:ascii="Times New Roman" w:hAnsi="Times New Roman" w:cs="Times New Roman"/>
          <w:sz w:val="24"/>
          <w:szCs w:val="24"/>
          <w:lang w:val="es-PE"/>
        </w:rPr>
      </w:pPr>
    </w:p>
    <w:p w:rsidRPr="00B618FF" w:rsidR="00B618FF" w:rsidP="00B618FF" w:rsidRDefault="00B618FF" w14:paraId="0432773C" w14:textId="77777777">
      <w:pPr>
        <w:tabs>
          <w:tab w:val="left" w:pos="0"/>
          <w:tab w:val="left" w:pos="2160"/>
        </w:tabs>
        <w:spacing w:after="0" w:line="240" w:lineRule="auto"/>
        <w:jc w:val="both"/>
        <w:rPr>
          <w:rFonts w:ascii="Times New Roman" w:hAnsi="Times New Roman" w:cs="Times New Roman"/>
          <w:sz w:val="24"/>
          <w:szCs w:val="24"/>
          <w:lang w:val="es-PE"/>
        </w:rPr>
      </w:pPr>
      <w:r w:rsidRPr="00B618FF">
        <w:rPr>
          <w:rFonts w:ascii="Times New Roman" w:hAnsi="Times New Roman" w:cs="Times New Roman"/>
          <w:sz w:val="24"/>
          <w:szCs w:val="24"/>
          <w:lang w:val="es-PE"/>
        </w:rPr>
        <w:t>Se deja expresa constancia que el asegurado no ha desvirtuado ni cuestionado las alegaciones ni las pruebas aportadas por la aseguradora en su escrito de revisión, siendo más bien que retoma su apreciación que las eventraciones abdominales que invoca no son una exclusión, pese a que esta Defensoría ya se ha pronunciado expresamente sobre la materia, habiendo concluido cosa distinta, lo cual no ha sido recurrido oportunamente con nueva prueba o argumentos que pudiesen apreciar que este colegiado incurrió en error con ocasión de resolver.  En tal virtud, este colegiado destaca que lo expresado en los numerales 7.6 a 7.9 de la resolución recurrida ha quedado consentido.</w:t>
      </w:r>
    </w:p>
    <w:p w:rsidRPr="00B618FF" w:rsidR="00B618FF" w:rsidP="00B618FF" w:rsidRDefault="00B618FF" w14:paraId="1F14EE39" w14:textId="77777777">
      <w:pPr>
        <w:tabs>
          <w:tab w:val="left" w:pos="0"/>
          <w:tab w:val="left" w:pos="2160"/>
        </w:tabs>
        <w:spacing w:after="0" w:line="240" w:lineRule="auto"/>
        <w:jc w:val="both"/>
        <w:rPr>
          <w:rFonts w:ascii="Times New Roman" w:hAnsi="Times New Roman" w:cs="Times New Roman"/>
          <w:sz w:val="24"/>
          <w:szCs w:val="24"/>
          <w:lang w:val="es-PE"/>
        </w:rPr>
      </w:pPr>
    </w:p>
    <w:p w:rsidRPr="00B618FF" w:rsidR="00B618FF" w:rsidP="00B618FF" w:rsidRDefault="00B618FF" w14:paraId="0103C7BE" w14:textId="77777777">
      <w:pPr>
        <w:tabs>
          <w:tab w:val="left" w:pos="0"/>
          <w:tab w:val="left" w:pos="2160"/>
        </w:tabs>
        <w:spacing w:after="0" w:line="240" w:lineRule="auto"/>
        <w:jc w:val="both"/>
        <w:rPr>
          <w:rFonts w:ascii="Times New Roman" w:hAnsi="Times New Roman" w:cs="Times New Roman"/>
          <w:sz w:val="24"/>
          <w:szCs w:val="24"/>
          <w:lang w:val="es-ES"/>
        </w:rPr>
      </w:pPr>
      <w:r w:rsidRPr="00B618FF">
        <w:rPr>
          <w:rFonts w:ascii="Times New Roman" w:hAnsi="Times New Roman" w:cs="Times New Roman"/>
          <w:b/>
          <w:sz w:val="24"/>
          <w:szCs w:val="24"/>
          <w:u w:val="single"/>
          <w:lang w:val="es-PE"/>
        </w:rPr>
        <w:t>Tercero</w:t>
      </w:r>
      <w:r w:rsidRPr="00B618FF">
        <w:rPr>
          <w:rFonts w:ascii="Times New Roman" w:hAnsi="Times New Roman" w:cs="Times New Roman"/>
          <w:b/>
          <w:sz w:val="24"/>
          <w:szCs w:val="24"/>
          <w:lang w:val="es-PE"/>
        </w:rPr>
        <w:t xml:space="preserve">: </w:t>
      </w:r>
      <w:r w:rsidRPr="00B618FF">
        <w:rPr>
          <w:rFonts w:ascii="Times New Roman" w:hAnsi="Times New Roman" w:cs="Times New Roman"/>
          <w:sz w:val="24"/>
          <w:szCs w:val="24"/>
          <w:lang w:val="es-ES"/>
        </w:rPr>
        <w:t>Atendiendo a lo señalado precedentemente, siendo que ha quedado finalmente acreditado que la exclusión invocada para fines del rechazo</w:t>
      </w:r>
      <w:r w:rsidRPr="00B618FF">
        <w:rPr>
          <w:rFonts w:ascii="Times New Roman" w:hAnsi="Times New Roman" w:cs="Times New Roman"/>
          <w:sz w:val="24"/>
          <w:szCs w:val="24"/>
          <w:lang w:val="es-PE"/>
        </w:rPr>
        <w:t xml:space="preserve"> ha sido expresamente pactada, que la misma era de conocimiento oportuno, adecuad y suficiente del asegurado, aplicando el criterio uniforme ya señalado al expedirse la resolución recurrida, corresponde amparar la impugnación y, por consiguiente, revocar la resolución de vista y declarar infundada la reclamación</w:t>
      </w:r>
      <w:r w:rsidRPr="00B618FF">
        <w:rPr>
          <w:rFonts w:ascii="Times New Roman" w:hAnsi="Times New Roman" w:cs="Times New Roman"/>
          <w:sz w:val="24"/>
          <w:szCs w:val="24"/>
          <w:lang w:val="es-ES"/>
        </w:rPr>
        <w:t>; por lo tanto,</w:t>
      </w:r>
    </w:p>
    <w:p w:rsidRPr="00B618FF" w:rsidR="00B618FF" w:rsidP="00B618FF" w:rsidRDefault="00B618FF" w14:paraId="09127EFF" w14:textId="77777777">
      <w:pPr>
        <w:spacing w:after="0" w:line="240" w:lineRule="auto"/>
        <w:jc w:val="both"/>
        <w:rPr>
          <w:rFonts w:ascii="Times New Roman" w:hAnsi="Times New Roman" w:eastAsia="Times New Roman" w:cs="Times New Roman"/>
          <w:bCs/>
          <w:sz w:val="24"/>
          <w:szCs w:val="24"/>
          <w:lang w:val="es-ES" w:eastAsia="ar-SA"/>
        </w:rPr>
      </w:pPr>
    </w:p>
    <w:p w:rsidRPr="00B618FF" w:rsidR="00B618FF" w:rsidP="00B618FF" w:rsidRDefault="00B618FF" w14:paraId="259EAE3E" w14:textId="77777777">
      <w:pPr>
        <w:spacing w:after="0" w:line="240" w:lineRule="auto"/>
        <w:jc w:val="both"/>
        <w:rPr>
          <w:rFonts w:ascii="Times New Roman" w:hAnsi="Times New Roman" w:cs="Times New Roman"/>
          <w:b/>
          <w:sz w:val="24"/>
          <w:szCs w:val="24"/>
          <w:lang w:val="es-PE"/>
        </w:rPr>
      </w:pPr>
      <w:r w:rsidRPr="00B618FF">
        <w:rPr>
          <w:rFonts w:ascii="Times New Roman" w:hAnsi="Times New Roman" w:cs="Times New Roman"/>
          <w:b/>
          <w:sz w:val="24"/>
          <w:szCs w:val="24"/>
          <w:lang w:val="es-PE"/>
        </w:rPr>
        <w:t>Atendiendo a lo expresado, conforme a su reglamento, este colegiado resuelve:</w:t>
      </w:r>
    </w:p>
    <w:p w:rsidRPr="00B618FF" w:rsidR="00B618FF" w:rsidP="00B618FF" w:rsidRDefault="00B618FF" w14:paraId="538F48F1" w14:textId="77777777">
      <w:pPr>
        <w:spacing w:after="0" w:line="240" w:lineRule="auto"/>
        <w:jc w:val="both"/>
        <w:rPr>
          <w:rFonts w:ascii="Times New Roman" w:hAnsi="Times New Roman" w:eastAsia="Arial Unicode MS" w:cs="Times New Roman"/>
          <w:b/>
          <w:sz w:val="24"/>
          <w:szCs w:val="24"/>
          <w:lang w:val="es-PE"/>
        </w:rPr>
      </w:pPr>
    </w:p>
    <w:p w:rsidRPr="00B618FF" w:rsidR="00B618FF" w:rsidP="00B618FF" w:rsidRDefault="00B618FF" w14:paraId="3AEE2187" w14:textId="2E1AE2FF">
      <w:pPr>
        <w:spacing w:after="0" w:line="240" w:lineRule="auto"/>
        <w:jc w:val="both"/>
        <w:rPr>
          <w:rFonts w:ascii="Times New Roman" w:hAnsi="Times New Roman" w:eastAsia="Times New Roman" w:cs="Times New Roman"/>
          <w:sz w:val="24"/>
          <w:szCs w:val="24"/>
          <w:lang w:val="es-ES" w:eastAsia="ar-SA"/>
        </w:rPr>
      </w:pPr>
      <w:r w:rsidRPr="6DB2FDBC" w:rsidR="00B618FF">
        <w:rPr>
          <w:rFonts w:ascii="Times New Roman" w:hAnsi="Times New Roman" w:eastAsia="Arial Unicode MS" w:cs="Times New Roman"/>
          <w:b w:val="1"/>
          <w:bCs w:val="1"/>
          <w:sz w:val="24"/>
          <w:szCs w:val="24"/>
          <w:lang w:val="es-PE"/>
        </w:rPr>
        <w:t xml:space="preserve">Declarar FUNDADO el recurso impugnativo </w:t>
      </w:r>
      <w:r w:rsidRPr="6DB2FDBC" w:rsidR="00B618FF">
        <w:rPr>
          <w:rFonts w:ascii="Times New Roman" w:hAnsi="Times New Roman" w:eastAsia="Arial Unicode MS" w:cs="Times New Roman"/>
          <w:sz w:val="24"/>
          <w:szCs w:val="24"/>
          <w:lang w:val="es-PE"/>
        </w:rPr>
        <w:t xml:space="preserve">interpuesto por </w:t>
      </w:r>
      <w:r w:rsidRPr="6DB2FDBC" w:rsidR="5A1100D7">
        <w:rPr>
          <w:rFonts w:ascii="Times New Roman" w:hAnsi="Times New Roman" w:cs="Times New Roman"/>
          <w:sz w:val="24"/>
          <w:szCs w:val="24"/>
          <w:lang w:val="es-ES"/>
        </w:rPr>
        <w:t>....................................</w:t>
      </w:r>
      <w:r w:rsidRPr="6DB2FDBC" w:rsidR="00B618FF">
        <w:rPr>
          <w:rFonts w:ascii="Times New Roman" w:hAnsi="Times New Roman" w:eastAsia="Times New Roman" w:cs="Times New Roman"/>
          <w:sz w:val="24"/>
          <w:szCs w:val="24"/>
          <w:lang w:val="es-ES" w:eastAsia="ar-SA"/>
        </w:rPr>
        <w:t xml:space="preserve"> y, por consiguiente, revocar la Resolución Nro. </w:t>
      </w:r>
      <w:r w:rsidRPr="6DB2FDBC" w:rsidR="4EC97519">
        <w:rPr>
          <w:rFonts w:ascii="Times New Roman" w:hAnsi="Times New Roman" w:eastAsia="Times New Roman" w:cs="Times New Roman"/>
          <w:sz w:val="24"/>
          <w:szCs w:val="24"/>
          <w:lang w:val="es-ES" w:eastAsia="ar-SA"/>
        </w:rPr>
        <w:t>...............</w:t>
      </w:r>
      <w:r w:rsidRPr="6DB2FDBC" w:rsidR="00B618FF">
        <w:rPr>
          <w:rFonts w:ascii="Times New Roman" w:hAnsi="Times New Roman" w:eastAsia="Times New Roman" w:cs="Times New Roman"/>
          <w:sz w:val="24"/>
          <w:szCs w:val="24"/>
          <w:lang w:val="es-ES" w:eastAsia="ar-SA"/>
        </w:rPr>
        <w:t xml:space="preserve">, de fecha 24 de marzo de 2022, y declarar INFUNDADA </w:t>
      </w:r>
      <w:r w:rsidRPr="6DB2FDBC" w:rsidR="00B618FF">
        <w:rPr>
          <w:rFonts w:ascii="Times New Roman" w:hAnsi="Times New Roman" w:eastAsia="Arial Unicode MS" w:cs="Times New Roman"/>
          <w:sz w:val="24"/>
          <w:szCs w:val="24"/>
          <w:lang w:val="es-PE"/>
        </w:rPr>
        <w:t xml:space="preserve">la reclamación interpuesta por </w:t>
      </w:r>
      <w:r w:rsidRPr="6DB2FDBC" w:rsidR="00B618FF">
        <w:rPr>
          <w:rFonts w:ascii="Times New Roman" w:hAnsi="Times New Roman" w:eastAsia="Times New Roman" w:cs="Times New Roman"/>
          <w:sz w:val="24"/>
          <w:szCs w:val="24"/>
          <w:lang w:val="es-PE" w:eastAsia="es-ES"/>
        </w:rPr>
        <w:t>don</w:t>
      </w:r>
      <w:r w:rsidRPr="6DB2FDBC" w:rsidR="00B618FF">
        <w:rPr>
          <w:rFonts w:ascii="Times New Roman" w:hAnsi="Times New Roman" w:cs="Times New Roman"/>
          <w:b w:val="1"/>
          <w:bCs w:val="1"/>
          <w:sz w:val="24"/>
          <w:szCs w:val="24"/>
          <w:lang w:val="es-ES"/>
        </w:rPr>
        <w:t xml:space="preserve"> </w:t>
      </w:r>
      <w:r w:rsidRPr="6DB2FDBC" w:rsidR="14ADF603">
        <w:rPr>
          <w:rFonts w:ascii="Times New Roman" w:hAnsi="Times New Roman" w:cs="Times New Roman"/>
          <w:sz w:val="24"/>
          <w:szCs w:val="24"/>
          <w:lang w:val="es-ES"/>
        </w:rPr>
        <w:t>.....................................................</w:t>
      </w:r>
      <w:r w:rsidRPr="6DB2FDBC" w:rsidR="00B618FF">
        <w:rPr>
          <w:rFonts w:ascii="Times New Roman" w:hAnsi="Times New Roman" w:eastAsia="Times New Roman" w:cs="Times New Roman"/>
          <w:sz w:val="24"/>
          <w:szCs w:val="24"/>
          <w:lang w:val="es-PE" w:eastAsia="es-ES"/>
        </w:rPr>
        <w:t xml:space="preserve">, </w:t>
      </w:r>
      <w:r w:rsidRPr="6DB2FDBC" w:rsidR="00B618FF">
        <w:rPr>
          <w:rFonts w:ascii="Times New Roman" w:hAnsi="Times New Roman" w:cs="Times New Roman"/>
          <w:sz w:val="24"/>
          <w:szCs w:val="24"/>
          <w:lang w:val="es-ES"/>
        </w:rPr>
        <w:t>dejándose a salvo su derecho de acudir a otras instancias.</w:t>
      </w:r>
    </w:p>
    <w:p w:rsidRPr="00B618FF" w:rsidR="001E5803" w:rsidP="002F376A" w:rsidRDefault="001E5803" w14:paraId="70B36E9C" w14:textId="48C5F329">
      <w:pPr>
        <w:suppressAutoHyphens/>
        <w:spacing w:after="0" w:line="240" w:lineRule="auto"/>
        <w:jc w:val="both"/>
        <w:outlineLvl w:val="0"/>
        <w:rPr>
          <w:rFonts w:ascii="Times New Roman" w:hAnsi="Times New Roman" w:eastAsia="Times New Roman" w:cs="Times New Roman"/>
          <w:b/>
          <w:bCs/>
          <w:sz w:val="24"/>
          <w:szCs w:val="24"/>
          <w:lang w:val="es-ES" w:eastAsia="ar-SA"/>
        </w:rPr>
      </w:pPr>
    </w:p>
    <w:p w:rsidRPr="00B618FF" w:rsidR="00077B6F" w:rsidP="00C671F5" w:rsidRDefault="0091528B" w14:paraId="78A39B5B" w14:textId="58A9BC3D">
      <w:pPr>
        <w:suppressAutoHyphens/>
        <w:spacing w:after="0" w:line="240" w:lineRule="auto"/>
        <w:jc w:val="right"/>
        <w:outlineLvl w:val="0"/>
        <w:rPr>
          <w:rFonts w:ascii="Times New Roman" w:hAnsi="Times New Roman" w:eastAsia="Arial Unicode MS" w:cs="Times New Roman"/>
          <w:sz w:val="24"/>
          <w:szCs w:val="24"/>
          <w:lang w:val="es-PE" w:eastAsia="ar-SA"/>
        </w:rPr>
      </w:pPr>
      <w:r w:rsidRPr="00B618FF">
        <w:rPr>
          <w:rFonts w:ascii="Times New Roman" w:hAnsi="Times New Roman" w:eastAsia="Arial Unicode MS" w:cs="Times New Roman"/>
          <w:sz w:val="24"/>
          <w:szCs w:val="24"/>
          <w:lang w:val="es-PE" w:eastAsia="ar-SA"/>
        </w:rPr>
        <w:t xml:space="preserve">Lima, </w:t>
      </w:r>
      <w:r w:rsidRPr="00B618FF" w:rsidR="00D65AF1">
        <w:rPr>
          <w:rFonts w:ascii="Times New Roman" w:hAnsi="Times New Roman" w:eastAsia="Arial Unicode MS" w:cs="Times New Roman"/>
          <w:sz w:val="24"/>
          <w:szCs w:val="24"/>
          <w:lang w:val="es-PE" w:eastAsia="ar-SA"/>
        </w:rPr>
        <w:t>1</w:t>
      </w:r>
      <w:r w:rsidRPr="00B618FF" w:rsidR="00F919FC">
        <w:rPr>
          <w:rFonts w:ascii="Times New Roman" w:hAnsi="Times New Roman" w:eastAsia="Arial Unicode MS" w:cs="Times New Roman"/>
          <w:sz w:val="24"/>
          <w:szCs w:val="24"/>
          <w:lang w:val="es-PE" w:eastAsia="ar-SA"/>
        </w:rPr>
        <w:t>8</w:t>
      </w:r>
      <w:r w:rsidRPr="00B618FF" w:rsidR="00707C99">
        <w:rPr>
          <w:rFonts w:ascii="Times New Roman" w:hAnsi="Times New Roman" w:eastAsia="Arial Unicode MS" w:cs="Times New Roman"/>
          <w:sz w:val="24"/>
          <w:szCs w:val="24"/>
          <w:lang w:val="es-PE" w:eastAsia="ar-SA"/>
        </w:rPr>
        <w:t xml:space="preserve"> de </w:t>
      </w:r>
      <w:r w:rsidRPr="00B618FF" w:rsidR="00D65AF1">
        <w:rPr>
          <w:rFonts w:ascii="Times New Roman" w:hAnsi="Times New Roman" w:eastAsia="Arial Unicode MS" w:cs="Times New Roman"/>
          <w:sz w:val="24"/>
          <w:szCs w:val="24"/>
          <w:lang w:val="es-PE" w:eastAsia="ar-SA"/>
        </w:rPr>
        <w:t>abril</w:t>
      </w:r>
      <w:r w:rsidRPr="00B618FF" w:rsidR="00F06498">
        <w:rPr>
          <w:rFonts w:ascii="Times New Roman" w:hAnsi="Times New Roman" w:eastAsia="Arial Unicode MS" w:cs="Times New Roman"/>
          <w:sz w:val="24"/>
          <w:szCs w:val="24"/>
          <w:lang w:val="es-PE" w:eastAsia="ar-SA"/>
        </w:rPr>
        <w:t xml:space="preserve"> de 202</w:t>
      </w:r>
      <w:r w:rsidRPr="00B618FF" w:rsidR="00B93C7A">
        <w:rPr>
          <w:rFonts w:ascii="Times New Roman" w:hAnsi="Times New Roman" w:eastAsia="Arial Unicode MS" w:cs="Times New Roman"/>
          <w:sz w:val="24"/>
          <w:szCs w:val="24"/>
          <w:lang w:val="es-PE" w:eastAsia="ar-SA"/>
        </w:rPr>
        <w:t>2</w:t>
      </w:r>
      <w:r w:rsidRPr="00B618FF" w:rsidR="00707C99">
        <w:rPr>
          <w:rFonts w:ascii="Times New Roman" w:hAnsi="Times New Roman" w:eastAsia="Times New Roman" w:cs="Times New Roman"/>
          <w:sz w:val="24"/>
          <w:szCs w:val="24"/>
          <w:lang w:val="es-PE" w:eastAsia="ar-SA"/>
        </w:rPr>
        <w:t xml:space="preserve"> </w:t>
      </w:r>
    </w:p>
    <w:p w:rsidRPr="00B618FF"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B618FF"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B618FF"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B618F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B618FF"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B618FF"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B618FF">
        <w:rPr>
          <w:rFonts w:ascii="Times New Roman" w:hAnsi="Times New Roman" w:cs="Times New Roman"/>
          <w:b/>
          <w:bCs/>
          <w:sz w:val="24"/>
          <w:szCs w:val="24"/>
          <w:lang w:val="es-PE"/>
        </w:rPr>
        <w:t xml:space="preserve">María Eugenia Valdez Fernández Baca – </w:t>
      </w:r>
      <w:proofErr w:type="gramStart"/>
      <w:r w:rsidRPr="00B618FF">
        <w:rPr>
          <w:rFonts w:ascii="Times New Roman" w:hAnsi="Times New Roman" w:cs="Times New Roman"/>
          <w:b/>
          <w:bCs/>
          <w:sz w:val="24"/>
          <w:szCs w:val="24"/>
          <w:lang w:val="es-PE"/>
        </w:rPr>
        <w:t>Presidente</w:t>
      </w:r>
      <w:proofErr w:type="gramEnd"/>
    </w:p>
    <w:p w:rsidRPr="00B618FF"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B618FF">
        <w:rPr>
          <w:rFonts w:ascii="Times New Roman" w:hAnsi="Times New Roman" w:cs="Times New Roman"/>
          <w:b/>
          <w:bCs/>
          <w:sz w:val="24"/>
          <w:szCs w:val="24"/>
          <w:lang w:val="es-PE"/>
        </w:rPr>
        <w:t xml:space="preserve">Rolando Eyzaguirre </w:t>
      </w:r>
      <w:proofErr w:type="spellStart"/>
      <w:r w:rsidRPr="00B618FF">
        <w:rPr>
          <w:rFonts w:ascii="Times New Roman" w:hAnsi="Times New Roman" w:cs="Times New Roman"/>
          <w:b/>
          <w:bCs/>
          <w:sz w:val="24"/>
          <w:szCs w:val="24"/>
          <w:lang w:val="es-PE"/>
        </w:rPr>
        <w:t>Maccan</w:t>
      </w:r>
      <w:proofErr w:type="spellEnd"/>
      <w:r w:rsidRPr="00B618FF">
        <w:rPr>
          <w:rFonts w:ascii="Times New Roman" w:hAnsi="Times New Roman" w:cs="Times New Roman"/>
          <w:b/>
          <w:bCs/>
          <w:sz w:val="24"/>
          <w:szCs w:val="24"/>
          <w:lang w:val="es-PE"/>
        </w:rPr>
        <w:t xml:space="preserve"> – Vocal</w:t>
      </w:r>
    </w:p>
    <w:p w:rsidRPr="00B618FF"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B618FF">
        <w:rPr>
          <w:rFonts w:ascii="Times New Roman" w:hAnsi="Times New Roman" w:cs="Times New Roman"/>
          <w:b/>
          <w:bCs/>
          <w:sz w:val="24"/>
          <w:szCs w:val="24"/>
          <w:lang w:val="es-PE"/>
        </w:rPr>
        <w:t>Marco Antonio Ortega Piana – Vocal</w:t>
      </w:r>
    </w:p>
    <w:p w:rsidRPr="00B618FF"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B618FF">
        <w:rPr>
          <w:rFonts w:ascii="Times New Roman" w:hAnsi="Times New Roman" w:cs="Times New Roman"/>
          <w:b/>
          <w:bCs/>
          <w:sz w:val="24"/>
          <w:szCs w:val="24"/>
          <w:lang w:val="es-PE"/>
        </w:rPr>
        <w:t>Gonzalo Abad del Busto – Vocal</w:t>
      </w:r>
    </w:p>
    <w:p w:rsidRPr="00A446D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6532" w:rsidP="00784355" w:rsidRDefault="00676532" w14:paraId="11CF289D" w14:textId="77777777">
      <w:pPr>
        <w:spacing w:after="0" w:line="240" w:lineRule="auto"/>
      </w:pPr>
      <w:r>
        <w:separator/>
      </w:r>
    </w:p>
  </w:endnote>
  <w:endnote w:type="continuationSeparator" w:id="0">
    <w:p w:rsidR="00676532" w:rsidP="00784355" w:rsidRDefault="00676532" w14:paraId="1D0B22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6532" w:rsidP="00784355" w:rsidRDefault="00676532" w14:paraId="6A3AB012" w14:textId="77777777">
      <w:pPr>
        <w:spacing w:after="0" w:line="240" w:lineRule="auto"/>
      </w:pPr>
      <w:r>
        <w:separator/>
      </w:r>
    </w:p>
  </w:footnote>
  <w:footnote w:type="continuationSeparator" w:id="0">
    <w:p w:rsidR="00676532" w:rsidP="00784355" w:rsidRDefault="00676532" w14:paraId="4BD518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7"/>
  </w:num>
  <w:num w:numId="3" w16cid:durableId="760956054">
    <w:abstractNumId w:val="4"/>
  </w:num>
  <w:num w:numId="4" w16cid:durableId="1079518208">
    <w:abstractNumId w:val="3"/>
  </w:num>
  <w:num w:numId="5" w16cid:durableId="1198003566">
    <w:abstractNumId w:val="5"/>
  </w:num>
  <w:num w:numId="6" w16cid:durableId="1607540339">
    <w:abstractNumId w:val="0"/>
  </w:num>
  <w:num w:numId="7" w16cid:durableId="1490902120">
    <w:abstractNumId w:val="8"/>
  </w:num>
  <w:num w:numId="8" w16cid:durableId="615214413">
    <w:abstractNumId w:val="9"/>
  </w:num>
  <w:num w:numId="9" w16cid:durableId="1018119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4DBD"/>
    <w:rsid w:val="000365E3"/>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50874"/>
    <w:rsid w:val="001508BC"/>
    <w:rsid w:val="001529FE"/>
    <w:rsid w:val="0016101B"/>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2D37"/>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477C"/>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8773E"/>
    <w:rsid w:val="00E9734F"/>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14ADF603"/>
    <w:rsid w:val="262A48F5"/>
    <w:rsid w:val="364457AB"/>
    <w:rsid w:val="4EC97519"/>
    <w:rsid w:val="5A1100D7"/>
    <w:rsid w:val="6DB2FDBC"/>
    <w:rsid w:val="7D86C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97B5D99-2B65-4FED-9750-FEFA060C346F}"/>
</file>

<file path=customXml/itemProps3.xml><?xml version="1.0" encoding="utf-8"?>
<ds:datastoreItem xmlns:ds="http://schemas.openxmlformats.org/officeDocument/2006/customXml" ds:itemID="{993FFBF3-CA2A-464D-B412-AF053D3B44F4}"/>
</file>

<file path=customXml/itemProps4.xml><?xml version="1.0" encoding="utf-8"?>
<ds:datastoreItem xmlns:ds="http://schemas.openxmlformats.org/officeDocument/2006/customXml" ds:itemID="{C8F6FF8C-6D32-4B80-812B-27BE6FF3B0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78</cp:revision>
  <cp:lastPrinted>2022-04-19T15:40:00Z</cp:lastPrinted>
  <dcterms:created xsi:type="dcterms:W3CDTF">2020-12-18T20:17:00Z</dcterms:created>
  <dcterms:modified xsi:type="dcterms:W3CDTF">2025-11-26T21:13:08Z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