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7788A" w:rsidR="00707C99" w:rsidP="00272F4F" w:rsidRDefault="00201C0D" w14:paraId="19FE0E96" w14:textId="17AEC7E1">
      <w:pPr>
        <w:spacing w:after="0" w:line="240" w:lineRule="auto"/>
        <w:jc w:val="center"/>
        <w:rPr>
          <w:rFonts w:ascii="Times New Roman" w:hAnsi="Times New Roman" w:cs="Times New Roman"/>
          <w:b/>
          <w:sz w:val="24"/>
          <w:szCs w:val="24"/>
          <w:lang w:val="es-PE" w:eastAsia="ar-SA"/>
        </w:rPr>
      </w:pPr>
      <w:r w:rsidRPr="00F7788A">
        <w:rPr>
          <w:rFonts w:ascii="Times New Roman" w:hAnsi="Times New Roman" w:cs="Times New Roman"/>
          <w:b/>
          <w:sz w:val="24"/>
          <w:szCs w:val="24"/>
          <w:lang w:val="es-PE" w:eastAsia="ar-SA"/>
        </w:rPr>
        <w:t xml:space="preserve">RESOLUCIÓN DE RECURSO IMPUGNATIVO </w:t>
      </w:r>
      <w:proofErr w:type="spellStart"/>
      <w:r w:rsidRPr="00F7788A" w:rsidR="00707C99">
        <w:rPr>
          <w:rFonts w:ascii="Times New Roman" w:hAnsi="Times New Roman" w:cs="Times New Roman"/>
          <w:b/>
          <w:sz w:val="24"/>
          <w:szCs w:val="24"/>
          <w:lang w:val="es-PE" w:eastAsia="ar-SA"/>
        </w:rPr>
        <w:t>N°</w:t>
      </w:r>
      <w:proofErr w:type="spellEnd"/>
      <w:r w:rsidRPr="00F7788A" w:rsidR="00707C99">
        <w:rPr>
          <w:rFonts w:ascii="Times New Roman" w:hAnsi="Times New Roman" w:cs="Times New Roman"/>
          <w:b/>
          <w:sz w:val="24"/>
          <w:szCs w:val="24"/>
          <w:lang w:val="es-PE" w:eastAsia="ar-SA"/>
        </w:rPr>
        <w:t xml:space="preserve"> </w:t>
      </w:r>
      <w:r w:rsidRPr="00F7788A" w:rsidR="00C671F5">
        <w:rPr>
          <w:rFonts w:ascii="Times New Roman" w:hAnsi="Times New Roman" w:cs="Times New Roman"/>
          <w:b/>
          <w:sz w:val="24"/>
          <w:szCs w:val="24"/>
          <w:lang w:val="es-PE" w:eastAsia="ar-SA"/>
        </w:rPr>
        <w:t>0</w:t>
      </w:r>
      <w:r w:rsidRPr="00F7788A" w:rsidR="0009634E">
        <w:rPr>
          <w:rFonts w:ascii="Times New Roman" w:hAnsi="Times New Roman" w:cs="Times New Roman"/>
          <w:b/>
          <w:sz w:val="24"/>
          <w:szCs w:val="24"/>
          <w:lang w:val="es-PE" w:eastAsia="ar-SA"/>
        </w:rPr>
        <w:t>2</w:t>
      </w:r>
      <w:r w:rsidR="00860E34">
        <w:rPr>
          <w:rFonts w:ascii="Times New Roman" w:hAnsi="Times New Roman" w:cs="Times New Roman"/>
          <w:b/>
          <w:sz w:val="24"/>
          <w:szCs w:val="24"/>
          <w:lang w:val="es-PE" w:eastAsia="ar-SA"/>
        </w:rPr>
        <w:t>5</w:t>
      </w:r>
      <w:r w:rsidRPr="00F7788A" w:rsidR="00C671F5">
        <w:rPr>
          <w:rFonts w:ascii="Times New Roman" w:hAnsi="Times New Roman" w:cs="Times New Roman"/>
          <w:b/>
          <w:sz w:val="24"/>
          <w:szCs w:val="24"/>
          <w:lang w:val="es-PE" w:eastAsia="ar-SA"/>
        </w:rPr>
        <w:t>/2</w:t>
      </w:r>
      <w:r w:rsidRPr="00F7788A" w:rsidR="00B93C7A">
        <w:rPr>
          <w:rFonts w:ascii="Times New Roman" w:hAnsi="Times New Roman" w:cs="Times New Roman"/>
          <w:b/>
          <w:sz w:val="24"/>
          <w:szCs w:val="24"/>
          <w:lang w:val="es-PE" w:eastAsia="ar-SA"/>
        </w:rPr>
        <w:t>2</w:t>
      </w:r>
    </w:p>
    <w:p w:rsidRPr="00F7788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A47131" w:rsidR="00C94FD1" w:rsidP="00C94FD1" w:rsidRDefault="00C94FD1" w14:paraId="3DCFA3FA" w14:textId="77777777">
      <w:pPr>
        <w:spacing w:after="0" w:line="240" w:lineRule="auto"/>
        <w:jc w:val="both"/>
        <w:rPr>
          <w:rFonts w:ascii="Times New Roman" w:hAnsi="Times New Roman" w:cs="Times New Roman"/>
          <w:sz w:val="24"/>
          <w:szCs w:val="24"/>
          <w:lang w:val="es-PE"/>
        </w:rPr>
      </w:pPr>
      <w:r w:rsidRPr="00A47131">
        <w:rPr>
          <w:rFonts w:ascii="Times New Roman" w:hAnsi="Times New Roman" w:cs="Times New Roman"/>
          <w:b/>
          <w:sz w:val="24"/>
          <w:szCs w:val="24"/>
          <w:lang w:val="es-PE"/>
        </w:rPr>
        <w:t xml:space="preserve">Vistos: </w:t>
      </w:r>
    </w:p>
    <w:p w:rsidRPr="00A47131" w:rsidR="00C94FD1" w:rsidP="00C94FD1" w:rsidRDefault="00C94FD1" w14:paraId="61D28E40" w14:textId="77777777">
      <w:pPr>
        <w:spacing w:after="0" w:line="240" w:lineRule="auto"/>
        <w:jc w:val="both"/>
        <w:rPr>
          <w:rFonts w:ascii="Times New Roman" w:hAnsi="Times New Roman" w:cs="Times New Roman"/>
          <w:sz w:val="24"/>
          <w:szCs w:val="24"/>
          <w:lang w:val="es-PE"/>
        </w:rPr>
      </w:pPr>
    </w:p>
    <w:p w:rsidRPr="00A47131" w:rsidR="00C94FD1" w:rsidP="00C94FD1" w:rsidRDefault="00C94FD1" w14:paraId="65A824AF" w14:textId="01CE9656">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El Recurso Impugnativo presentado el 14 de febrero de 2022 por </w:t>
      </w:r>
      <w:r w:rsidRPr="58D40068" w:rsidR="07FA32CC">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respecto de la Resolución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010/22 emitida el 03 de febrero de 2022 por esta Defensoría del Asegurado (DEFASEG) que declaró INFUNDADA la reclamación interpuesta, sobre otorgamiento de cobertura al siniestro ocurrido por el fallecimiento del asegurado, </w:t>
      </w:r>
      <w:r w:rsidRPr="58D40068" w:rsidR="00C94FD1">
        <w:rPr>
          <w:rFonts w:ascii="Times New Roman" w:hAnsi="Times New Roman" w:cs="Times New Roman"/>
          <w:sz w:val="24"/>
          <w:szCs w:val="24"/>
          <w:lang w:val="es-PE"/>
        </w:rPr>
        <w:t>de acuerdo a</w:t>
      </w:r>
      <w:r w:rsidRPr="58D40068" w:rsidR="00C94FD1">
        <w:rPr>
          <w:rFonts w:ascii="Times New Roman" w:hAnsi="Times New Roman" w:cs="Times New Roman"/>
          <w:sz w:val="24"/>
          <w:szCs w:val="24"/>
          <w:lang w:val="es-PE"/>
        </w:rPr>
        <w:t xml:space="preserve"> las Condiciones de la Póliza de Desgravamen.</w:t>
      </w:r>
    </w:p>
    <w:p w:rsidRPr="00A47131" w:rsidR="00C94FD1" w:rsidP="00C94FD1" w:rsidRDefault="00C94FD1" w14:paraId="7E943BF1" w14:textId="2E4FCA24">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Que el señalado Recurso Impugnativo se fundamenta resumidamente en lo siguiente: 1) Que, en respuesta a la declaración de los vocales, donde declaran infundado su petitorio, la reclamante solicita se revise nuevamente su caso por todo lo expuesto anteriormente y porque cree que no se están tomando en cuenta que la casa también le pertenece por ser la conviviente y madre de la niña y, también como usuaria se ha visto sorprendida por el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y por su </w:t>
      </w:r>
      <w:r w:rsidRPr="58D40068" w:rsidR="00C94FD1">
        <w:rPr>
          <w:rFonts w:ascii="Times New Roman" w:hAnsi="Times New Roman" w:cs="Times New Roman"/>
          <w:sz w:val="24"/>
          <w:szCs w:val="24"/>
          <w:lang w:val="es-PE"/>
        </w:rPr>
        <w:t>ex pareja</w:t>
      </w:r>
      <w:r w:rsidRPr="58D40068" w:rsidR="00C94FD1">
        <w:rPr>
          <w:rFonts w:ascii="Times New Roman" w:hAnsi="Times New Roman" w:cs="Times New Roman"/>
          <w:sz w:val="24"/>
          <w:szCs w:val="24"/>
          <w:lang w:val="es-PE"/>
        </w:rPr>
        <w:t xml:space="preserve">. 2) Que, además uno de los vocales declara fundado su petitorio </w:t>
      </w:r>
      <w:r w:rsidRPr="58D40068" w:rsidR="00C94FD1">
        <w:rPr>
          <w:rFonts w:ascii="Times New Roman" w:hAnsi="Times New Roman" w:cs="Times New Roman"/>
          <w:sz w:val="24"/>
          <w:szCs w:val="24"/>
          <w:lang w:val="es-PE"/>
        </w:rPr>
        <w:t>y</w:t>
      </w:r>
      <w:r w:rsidRPr="58D40068" w:rsidR="00C94FD1">
        <w:rPr>
          <w:rFonts w:ascii="Times New Roman" w:hAnsi="Times New Roman" w:cs="Times New Roman"/>
          <w:sz w:val="24"/>
          <w:szCs w:val="24"/>
          <w:lang w:val="es-PE"/>
        </w:rPr>
        <w:t xml:space="preserve"> además, cuando su pareja fallece había una unión de hecho en camino, por lo que solicita que se revise nuevamente su caso. </w:t>
      </w:r>
      <w:r w:rsidRPr="58D40068" w:rsidR="00C94FD1">
        <w:rPr>
          <w:rFonts w:ascii="Times New Roman" w:hAnsi="Times New Roman" w:cs="Times New Roman"/>
          <w:sz w:val="24"/>
          <w:szCs w:val="24"/>
          <w:lang w:val="es-PE"/>
        </w:rPr>
        <w:t>3) Que, adicionalmente solicita se le otorgue un abogado de oficio, porque desea que el seguro se haga cargo de una deuda que ni su hija ni ella adquirieron y que por lo tanto considera injusto adquirir.</w:t>
      </w:r>
      <w:r w:rsidRPr="58D40068" w:rsidR="00C94FD1">
        <w:rPr>
          <w:rFonts w:ascii="Times New Roman" w:hAnsi="Times New Roman" w:cs="Times New Roman"/>
          <w:sz w:val="24"/>
          <w:szCs w:val="24"/>
          <w:lang w:val="es-PE"/>
        </w:rPr>
        <w:t xml:space="preserve"> 4) Que, quiere dejar en claro que el banco siempre supo de su existencia, es así </w:t>
      </w:r>
      <w:r w:rsidRPr="58D40068" w:rsidR="00C94FD1">
        <w:rPr>
          <w:rFonts w:ascii="Times New Roman" w:hAnsi="Times New Roman" w:cs="Times New Roman"/>
          <w:sz w:val="24"/>
          <w:szCs w:val="24"/>
          <w:lang w:val="es-PE"/>
        </w:rPr>
        <w:t>que</w:t>
      </w:r>
      <w:r w:rsidRPr="58D40068" w:rsidR="00C94FD1">
        <w:rPr>
          <w:rFonts w:ascii="Times New Roman" w:hAnsi="Times New Roman" w:cs="Times New Roman"/>
          <w:sz w:val="24"/>
          <w:szCs w:val="24"/>
          <w:lang w:val="es-PE"/>
        </w:rPr>
        <w:t xml:space="preserve"> se le notifica como un tercero para que desocupe la casa. </w:t>
      </w:r>
    </w:p>
    <w:p w:rsidRPr="00A47131" w:rsidR="00C94FD1" w:rsidP="00C94FD1" w:rsidRDefault="00C94FD1" w14:paraId="17CC7BBF" w14:textId="6D691505">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Que, </w:t>
      </w:r>
      <w:r w:rsidRPr="58D40068" w:rsidR="1B1F5B2F">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en respuesta al escrito enviado por el reclamante, expresa lo siguiente:  Que, respecto al presente caso corresponde señalar que la Defensoría ya estimó los hechos que la reclamante pide revisar. Sin perjuicio de ello, la aseguradora reitera su posición bajo los siguientes argumentos, señalando que el asegurado mantenía tres seguros de desgravamen con el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w:t>
      </w:r>
    </w:p>
    <w:p w:rsidRPr="00A47131" w:rsidR="00C94FD1" w:rsidP="00C94FD1" w:rsidRDefault="00C94FD1" w14:paraId="1AB41725" w14:textId="09903B73">
      <w:pPr>
        <w:pStyle w:val="Prrafodelista"/>
        <w:numPr>
          <w:ilvl w:val="0"/>
          <w:numId w:val="12"/>
        </w:numPr>
        <w:spacing w:after="200"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Con respecto al Seguro de Desgravamen 1, correspondiente al Crédito Hipotecario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w:t>
      </w:r>
      <w:r w:rsidRPr="58D40068" w:rsidR="48BA4978">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la fecha de cese de pago de primas ocurrió el 11 de marzo de 2021, fecha posterior al siniestro (08 de febrero de 2021), por eso </w:t>
      </w:r>
      <w:r w:rsidRPr="58D40068" w:rsidR="1B1F5B2F">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w:t>
      </w:r>
      <w:r w:rsidRPr="58D40068" w:rsidR="00C94FD1">
        <w:rPr>
          <w:rFonts w:ascii="Times New Roman" w:hAnsi="Times New Roman" w:cs="Times New Roman"/>
          <w:sz w:val="24"/>
          <w:szCs w:val="24"/>
          <w:lang w:val="es-PE"/>
        </w:rPr>
        <w:t>procedió a activar la cobertura del Seguro de Desgravamen 1, toda vez que la póliza se encontraba vigente y el asegurado había cumplido con el pago de las primas hasta la fecha de su fallecimiento.</w:t>
      </w:r>
      <w:r w:rsidRPr="58D40068" w:rsidR="00C94FD1">
        <w:rPr>
          <w:rFonts w:ascii="Times New Roman" w:hAnsi="Times New Roman" w:cs="Times New Roman"/>
          <w:sz w:val="24"/>
          <w:szCs w:val="24"/>
          <w:lang w:val="es-PE"/>
        </w:rPr>
        <w:t xml:space="preserve"> En consecuencia, </w:t>
      </w:r>
      <w:r w:rsidRPr="58D40068" w:rsidR="1B1F5B2F">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procedió a realizar el pago al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por un monto ascendiente al saldo deudor del crédito, vale decir US$ 23,010.17 dólares americanos.</w:t>
      </w:r>
    </w:p>
    <w:p w:rsidRPr="00A47131" w:rsidR="00C94FD1" w:rsidP="00C94FD1" w:rsidRDefault="00C94FD1" w14:paraId="09E8A83B" w14:textId="3EEBA763">
      <w:pPr>
        <w:pStyle w:val="Prrafodelista"/>
        <w:numPr>
          <w:ilvl w:val="0"/>
          <w:numId w:val="12"/>
        </w:numPr>
        <w:spacing w:after="200"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Que, con respecto al Seguro de Desgravamen 2, correspondiente al Crédito Efectivo con Garantía Hipotecaria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w:t>
      </w:r>
      <w:r w:rsidRPr="58D40068" w:rsidR="3BEB91D0">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el cese de pago de primas fue el 16 de octubre de 2020 correspondiente a la cobertura del mes de septiembre”. Añadiendo que “la fecha de vencimiento de la prima que quedó impaga depende del cronograma de pagos del préstamo previamente pactado con el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directamente, sin la intervención de </w:t>
      </w:r>
      <w:r w:rsidRPr="58D40068" w:rsidR="1B1F5B2F">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Es decir, no es una fecha determinada por nuestra Compañía”.</w:t>
      </w:r>
    </w:p>
    <w:p w:rsidRPr="00A47131" w:rsidR="00C94FD1" w:rsidP="00C94FD1" w:rsidRDefault="00C94FD1" w14:paraId="3D8AA558" w14:textId="77777777">
      <w:pPr>
        <w:pStyle w:val="Prrafodelista"/>
        <w:numPr>
          <w:ilvl w:val="0"/>
          <w:numId w:val="12"/>
        </w:numPr>
        <w:spacing w:after="200"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Que, </w:t>
      </w:r>
      <w:proofErr w:type="gramStart"/>
      <w:r w:rsidRPr="00A47131">
        <w:rPr>
          <w:rFonts w:ascii="Times New Roman" w:hAnsi="Times New Roman" w:cs="Times New Roman"/>
          <w:sz w:val="24"/>
          <w:szCs w:val="24"/>
          <w:lang w:val="es-PE"/>
        </w:rPr>
        <w:t>en relación al</w:t>
      </w:r>
      <w:proofErr w:type="gramEnd"/>
      <w:r w:rsidRPr="00A47131">
        <w:rPr>
          <w:rFonts w:ascii="Times New Roman" w:hAnsi="Times New Roman" w:cs="Times New Roman"/>
          <w:sz w:val="24"/>
          <w:szCs w:val="24"/>
          <w:lang w:val="es-PE"/>
        </w:rPr>
        <w:t xml:space="preserve"> Seguro de Desgravamen 3, correspondiente a la Tarjeta de Crédito, la fecha de cese de pago de primas ocurrió el 11 de diciembre de 2019.</w:t>
      </w:r>
    </w:p>
    <w:p w:rsidRPr="00A47131" w:rsidR="00C94FD1" w:rsidP="00C94FD1" w:rsidRDefault="00C94FD1" w14:paraId="0AF5E681" w14:textId="77777777">
      <w:pPr>
        <w:spacing w:line="240" w:lineRule="auto"/>
        <w:jc w:val="both"/>
        <w:rPr>
          <w:rFonts w:ascii="Times New Roman" w:hAnsi="Times New Roman" w:cs="Times New Roman"/>
          <w:i/>
          <w:sz w:val="24"/>
          <w:szCs w:val="24"/>
          <w:lang w:val="es-PE"/>
        </w:rPr>
      </w:pPr>
      <w:r w:rsidRPr="00A47131">
        <w:rPr>
          <w:rFonts w:ascii="Times New Roman" w:hAnsi="Times New Roman" w:cs="Times New Roman"/>
          <w:sz w:val="24"/>
          <w:szCs w:val="24"/>
          <w:lang w:val="es-PE"/>
        </w:rPr>
        <w:t>Que, atendiendo a lo expuesto, esta Defensoría resuelve finalmente lo siguiente:</w:t>
      </w:r>
    </w:p>
    <w:p w:rsidRPr="00A47131" w:rsidR="00C94FD1" w:rsidP="00C94FD1" w:rsidRDefault="00C94FD1" w14:paraId="1698ABEC" w14:textId="62D9FD90">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b w:val="1"/>
          <w:bCs w:val="1"/>
          <w:sz w:val="24"/>
          <w:szCs w:val="24"/>
          <w:lang w:val="es-PE"/>
        </w:rPr>
        <w:t>PRIMERO:</w:t>
      </w:r>
      <w:r w:rsidRPr="58D40068" w:rsidR="00C94FD1">
        <w:rPr>
          <w:rFonts w:ascii="Times New Roman" w:hAnsi="Times New Roman" w:cs="Times New Roman"/>
          <w:sz w:val="24"/>
          <w:szCs w:val="24"/>
          <w:lang w:val="es-PE"/>
        </w:rPr>
        <w:t xml:space="preserve"> Que el artículo 10 (Procedimiento) del Reglamento de la DEFASEG (</w:t>
      </w:r>
      <w:hyperlink r:id="Rc13959e41a954d3d">
        <w:r w:rsidRPr="58D40068" w:rsidR="00C94FD1">
          <w:rPr>
            <w:rStyle w:val="Hipervnculo"/>
            <w:rFonts w:ascii="Times New Roman" w:hAnsi="Times New Roman" w:cs="Times New Roman"/>
            <w:sz w:val="24"/>
            <w:szCs w:val="24"/>
            <w:lang w:val="es-PE"/>
          </w:rPr>
          <w:t>http://www.defaseg.com.pe/reglamento</w:t>
        </w:r>
      </w:hyperlink>
      <w:r w:rsidRPr="58D40068" w:rsidR="00C94FD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8D40068" w:rsidR="07FA32CC">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A47131" w:rsidR="00C94FD1" w:rsidP="00C94FD1" w:rsidRDefault="00C94FD1" w14:paraId="7A083407"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b/>
          <w:sz w:val="24"/>
          <w:szCs w:val="24"/>
          <w:lang w:val="es-PE"/>
        </w:rPr>
        <w:t>SEGUNDO:</w:t>
      </w:r>
      <w:r w:rsidRPr="00A47131">
        <w:rPr>
          <w:rFonts w:ascii="Times New Roman" w:hAnsi="Times New Roman" w:cs="Times New Roman"/>
          <w:sz w:val="24"/>
          <w:szCs w:val="24"/>
          <w:lang w:val="es-PE"/>
        </w:rPr>
        <w:t xml:space="preserve"> Que, de la lectura del Recurso Impugnativo interpuesto se aprecia que la reclamante insiste en lo ya expresado con ocasión de presentar su escrito de reclamación. No obstante, a efectos de tener mayores elementos de juicio sobre los tres seguros materia de reclamo, se solicitó información complementaria; y, en particular se solicitó a la aseguradora precisar la fecha de vencimiento de la prima del seguro de desgravamen 2, que quedó impaga, conforme se indica a continuación; concluyéndose lo siguiente:  </w:t>
      </w:r>
    </w:p>
    <w:p w:rsidRPr="00A47131" w:rsidR="00C94FD1" w:rsidP="00C94FD1" w:rsidRDefault="00C94FD1" w14:paraId="27C0F2B2" w14:textId="185C730C">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x) Que, no es materia controvertida que </w:t>
      </w:r>
      <w:r w:rsidRPr="58D40068" w:rsidR="1B1F5B2F">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cumplió con pagar el saldo deudor del Seguro de Desgravamen 1, en razón que, a la fecha de fallecimiento del asegurado, la prima de dicho seguro se encontraba al día en sus pagos. Cobertura reconocida por la aseguradora en escrito adicional, de lo cual se dejó constancia en la resolución impugnada.  </w:t>
      </w:r>
    </w:p>
    <w:p w:rsidRPr="00A47131" w:rsidR="00C94FD1" w:rsidP="00C94FD1" w:rsidRDefault="00C94FD1" w14:paraId="302B5DC6" w14:textId="77777777">
      <w:pPr>
        <w:spacing w:line="240" w:lineRule="auto"/>
        <w:jc w:val="both"/>
        <w:rPr>
          <w:rFonts w:ascii="Times New Roman" w:hAnsi="Times New Roman" w:cs="Times New Roman"/>
          <w:sz w:val="24"/>
          <w:szCs w:val="24"/>
          <w:lang w:val="es-PE"/>
        </w:rPr>
      </w:pPr>
      <w:proofErr w:type="spellStart"/>
      <w:r w:rsidRPr="00A47131">
        <w:rPr>
          <w:rFonts w:ascii="Times New Roman" w:hAnsi="Times New Roman" w:cs="Times New Roman"/>
          <w:sz w:val="24"/>
          <w:szCs w:val="24"/>
          <w:lang w:val="es-PE"/>
        </w:rPr>
        <w:t>xx</w:t>
      </w:r>
      <w:proofErr w:type="spellEnd"/>
      <w:r w:rsidRPr="00A47131">
        <w:rPr>
          <w:rFonts w:ascii="Times New Roman" w:hAnsi="Times New Roman" w:cs="Times New Roman"/>
          <w:sz w:val="24"/>
          <w:szCs w:val="24"/>
          <w:lang w:val="es-PE"/>
        </w:rPr>
        <w:t>) Que, no es materia controvertida que, a la fecha de fallecimiento del asegurado, el Seguro de Desgravamen  3, correspondiente a una tarjeta de crédito, ya no se encontraba vigente en razón de que las primas correspondientes se abonaron hasta diciembre de 2019, es decir, dejaron de pagarse más de un año antes del fallecimiento del asegurado que ocurrió el 8 de febrero de 2021, por lo que en aplicación del artículo 21 de la Ley 29946, que expresa lo siguiente, el contrato de seguro ya se había extinguido a dicha fecha.</w:t>
      </w:r>
    </w:p>
    <w:p w:rsidRPr="00A47131" w:rsidR="00C94FD1" w:rsidP="00C94FD1" w:rsidRDefault="00C94FD1" w14:paraId="0AB936DF" w14:textId="77777777">
      <w:pPr>
        <w:spacing w:line="240" w:lineRule="auto"/>
        <w:ind w:left="708"/>
        <w:jc w:val="both"/>
        <w:rPr>
          <w:rFonts w:ascii="Times New Roman" w:hAnsi="Times New Roman" w:cs="Times New Roman"/>
          <w:i/>
          <w:iCs/>
          <w:sz w:val="24"/>
          <w:szCs w:val="24"/>
          <w:lang w:val="es-PE"/>
        </w:rPr>
      </w:pPr>
      <w:r w:rsidRPr="00A47131">
        <w:rPr>
          <w:rFonts w:ascii="Times New Roman" w:hAnsi="Times New Roman" w:cs="Times New Roman"/>
          <w:sz w:val="24"/>
          <w:szCs w:val="24"/>
          <w:lang w:val="es-PE"/>
        </w:rPr>
        <w:t>“</w:t>
      </w:r>
      <w:r w:rsidRPr="00A47131">
        <w:rPr>
          <w:rFonts w:ascii="Times New Roman" w:hAnsi="Times New Roman" w:cs="Times New Roman"/>
          <w:i/>
          <w:iCs/>
          <w:sz w:val="24"/>
          <w:szCs w:val="24"/>
          <w:lang w:val="es-PE"/>
        </w:rPr>
        <w:t>Si el asegurador no reclama el pago de la prima dentro de los noventa (90) días siguientes al vencimiento del plazo, se entiende que el contrato queda extinguido “</w:t>
      </w:r>
    </w:p>
    <w:p w:rsidRPr="00A47131" w:rsidR="00C94FD1" w:rsidP="00C94FD1" w:rsidRDefault="00C94FD1" w14:paraId="7E7AB67D" w14:textId="508F61F9">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xxx</w:t>
      </w:r>
      <w:r w:rsidRPr="58D40068" w:rsidR="00C94FD1">
        <w:rPr>
          <w:rFonts w:ascii="Times New Roman" w:hAnsi="Times New Roman" w:cs="Times New Roman"/>
          <w:sz w:val="24"/>
          <w:szCs w:val="24"/>
          <w:lang w:val="es-PE"/>
        </w:rPr>
        <w:t xml:space="preserve">) Que, en el caso del Seguro de Desgravamen 2 correspondiente al Crédito Efectivo con Garantía Hipotecaria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w:t>
      </w:r>
      <w:r w:rsidRPr="58D40068" w:rsidR="3BEB91D0">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esta Defensoría entendió en primera instancia que no se había pagado la prima del mes de setiembre de 2020,  y que por lo tanto el seguro se había extinguido en el mes de enero, antes del del fallecimiento del asegurado (siendo que inicialmente la aseguradora señaló en sus descargos que la fecha de fallecimiento del asegurado fue el 8 de abril de 2021, lo que quedó aclarado posteriormente, pues el fallecimiento ocurrió el 8 de febrero de 2021). </w:t>
      </w:r>
    </w:p>
    <w:p w:rsidRPr="00A47131" w:rsidR="00C94FD1" w:rsidP="00C94FD1" w:rsidRDefault="00C94FD1" w14:paraId="44B7E36E"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No obstante, con motivo del recurso impugnatorio se revisó nuevamente la documentación presentada, en particular los cuadros con información de pagos presentados por la aseguradora, solicitándose expresamente a la aseguradora la siguiente aclaración: “precisen respecto del seguro de desgravamen 2 (i) en qué fecha exacta se pagó o cargó la última prima y (</w:t>
      </w:r>
      <w:proofErr w:type="spellStart"/>
      <w:r w:rsidRPr="00A47131">
        <w:rPr>
          <w:rFonts w:ascii="Times New Roman" w:hAnsi="Times New Roman" w:cs="Times New Roman"/>
          <w:sz w:val="24"/>
          <w:szCs w:val="24"/>
          <w:lang w:val="es-PE"/>
        </w:rPr>
        <w:t>ii</w:t>
      </w:r>
      <w:proofErr w:type="spellEnd"/>
      <w:r w:rsidRPr="00A47131">
        <w:rPr>
          <w:rFonts w:ascii="Times New Roman" w:hAnsi="Times New Roman" w:cs="Times New Roman"/>
          <w:sz w:val="24"/>
          <w:szCs w:val="24"/>
          <w:lang w:val="es-PE"/>
        </w:rPr>
        <w:t xml:space="preserve">) cuál era la fecha de vencimiento de la prima que quedó impaga. Toda vez que el cuadro que presentan como sustento pareciera indicar que la prima del mes de setiembre fue la última pagada habiendo sido cargada el 16/10/2020. De no ser este el caso, deben presentar algún documento del Banco que acredite cuándo se pagó la última prima, y precisar cuál era la fecha de vencimiento de la siguiente prima.” </w:t>
      </w:r>
    </w:p>
    <w:p w:rsidRPr="00A47131" w:rsidR="00C94FD1" w:rsidP="00C94FD1" w:rsidRDefault="00C94FD1" w14:paraId="5D9CBCEA"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En respuesta la aseguradora señaló: </w:t>
      </w:r>
    </w:p>
    <w:p w:rsidRPr="00A47131" w:rsidR="00C94FD1" w:rsidP="00C94FD1" w:rsidRDefault="00AB5E65" w14:paraId="6108418F" w14:textId="032374E7">
      <w:pPr>
        <w:spacing w:line="240" w:lineRule="auto"/>
        <w:jc w:val="both"/>
      </w:pPr>
      <w:r w:rsidR="37F8390D">
        <w:rPr/>
        <w:t>...............................................................................................................................................................</w:t>
      </w:r>
    </w:p>
    <w:p w:rsidRPr="00A47131" w:rsidR="00C94FD1" w:rsidP="00C94FD1" w:rsidRDefault="00C94FD1" w14:paraId="14C80203" w14:textId="61F1C989">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Al respecto, si la aseguradora invoca la extinción por falta de pago de primas, corresponde a ella acreditar cuál es la fecha de vencimiento otorgada al asegurado para el pago de la prima, a fin de poder determinar cuándo se inicia el </w:t>
      </w:r>
      <w:r w:rsidRPr="58D40068" w:rsidR="00C94FD1">
        <w:rPr>
          <w:rFonts w:ascii="Times New Roman" w:hAnsi="Times New Roman" w:cs="Times New Roman"/>
          <w:sz w:val="24"/>
          <w:szCs w:val="24"/>
          <w:lang w:val="es-PE"/>
        </w:rPr>
        <w:t>computo</w:t>
      </w:r>
      <w:r w:rsidRPr="58D40068" w:rsidR="00C94FD1">
        <w:rPr>
          <w:rFonts w:ascii="Times New Roman" w:hAnsi="Times New Roman" w:cs="Times New Roman"/>
          <w:sz w:val="24"/>
          <w:szCs w:val="24"/>
          <w:lang w:val="es-PE"/>
        </w:rPr>
        <w:t xml:space="preserve"> del plazo de los 90 días para que proceda la extinción del contrato de seguro, más aún cuando es ella quien contrata el seguro de desgravamen con el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xml:space="preserve"> y quien está en mejor capacidad de requerir dicha información al Banco. No resulta razonable que, en respuesta al requerimiento formulado, se manifieste que esa fecha es determinada por el </w:t>
      </w:r>
      <w:r w:rsidRPr="58D40068" w:rsidR="7816884D">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y no se proporcione dicha información; no correspondiendo a esta Defensoría suplir las deficiencias probatorias de la compañía de seguros</w:t>
      </w:r>
    </w:p>
    <w:p w:rsidRPr="00A47131" w:rsidR="00C94FD1" w:rsidP="00C94FD1" w:rsidRDefault="00C94FD1" w14:paraId="5801F89E"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Siendo que la carga de la prueba sobre la extinción del contrato de </w:t>
      </w:r>
      <w:proofErr w:type="gramStart"/>
      <w:r w:rsidRPr="00A47131">
        <w:rPr>
          <w:rFonts w:ascii="Times New Roman" w:hAnsi="Times New Roman" w:cs="Times New Roman"/>
          <w:sz w:val="24"/>
          <w:szCs w:val="24"/>
          <w:lang w:val="es-PE"/>
        </w:rPr>
        <w:t>seguro,</w:t>
      </w:r>
      <w:proofErr w:type="gramEnd"/>
      <w:r w:rsidRPr="00A47131">
        <w:rPr>
          <w:rFonts w:ascii="Times New Roman" w:hAnsi="Times New Roman" w:cs="Times New Roman"/>
          <w:sz w:val="24"/>
          <w:szCs w:val="24"/>
          <w:lang w:val="es-PE"/>
        </w:rPr>
        <w:t xml:space="preserve"> corresponde a la aseguradora, y que esta no la ha acreditado -pues no se tiene información sobre la fecha a partir de la cual debe computarse el plazo de 90 días-, no se puede concluir que el contrato de seguro de desgravamen 2 quedó extinguido a la fecha de fallecimiento del asegurado.  </w:t>
      </w:r>
    </w:p>
    <w:p w:rsidRPr="00A47131" w:rsidR="00C94FD1" w:rsidP="00C94FD1" w:rsidRDefault="00C94FD1" w14:paraId="5EABA2D5"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En este caso en particular, no se cuentan con elementos para concluir que el plazo de 90 días había vencido antes del fallecimiento del asegurado que ocurrió el 8 de febrero de 2021, </w:t>
      </w:r>
      <w:proofErr w:type="gramStart"/>
      <w:r w:rsidRPr="00A47131">
        <w:rPr>
          <w:rFonts w:ascii="Times New Roman" w:hAnsi="Times New Roman" w:cs="Times New Roman"/>
          <w:sz w:val="24"/>
          <w:szCs w:val="24"/>
          <w:lang w:val="es-PE"/>
        </w:rPr>
        <w:t>ya que</w:t>
      </w:r>
      <w:proofErr w:type="gramEnd"/>
      <w:r w:rsidRPr="00A47131">
        <w:rPr>
          <w:rFonts w:ascii="Times New Roman" w:hAnsi="Times New Roman" w:cs="Times New Roman"/>
          <w:sz w:val="24"/>
          <w:szCs w:val="24"/>
          <w:lang w:val="es-PE"/>
        </w:rPr>
        <w:t xml:space="preserve"> de haberse otorgado plazo para el pago de prima hasta la quincena de noviembre de 2020, los 90 días no se habrían vencido antes del fallecimiento del asegurado.</w:t>
      </w:r>
    </w:p>
    <w:p w:rsidRPr="00A47131" w:rsidR="00C94FD1" w:rsidP="00C94FD1" w:rsidRDefault="00C94FD1" w14:paraId="7992B29F"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La aseguradora tiene dos posibilidades ante la falta de pago de prima: (i) enviar una comunicación de suspensión de cobertura, lo que no hizo en el presente caso; o, (</w:t>
      </w:r>
      <w:proofErr w:type="spellStart"/>
      <w:r w:rsidRPr="00A47131">
        <w:rPr>
          <w:rFonts w:ascii="Times New Roman" w:hAnsi="Times New Roman" w:cs="Times New Roman"/>
          <w:sz w:val="24"/>
          <w:szCs w:val="24"/>
          <w:lang w:val="es-PE"/>
        </w:rPr>
        <w:t>ii</w:t>
      </w:r>
      <w:proofErr w:type="spellEnd"/>
      <w:r w:rsidRPr="00A47131">
        <w:rPr>
          <w:rFonts w:ascii="Times New Roman" w:hAnsi="Times New Roman" w:cs="Times New Roman"/>
          <w:sz w:val="24"/>
          <w:szCs w:val="24"/>
          <w:lang w:val="es-PE"/>
        </w:rPr>
        <w:t>) no enviar una comunicación de suspensión, en cuyo caso la extinción se produce si el pago no se realiza dentro de los 90 días siguientes al vencimiento del plazo otorgado para el pago, correspondiendo a quien invoca la extinción acreditar dicho vencimiento, y por ende, la fecha exacta en la cual se habría producido la extinción, lo que no ha ocurrido en este caso.</w:t>
      </w:r>
    </w:p>
    <w:p w:rsidRPr="00A47131" w:rsidR="00C94FD1" w:rsidP="00C94FD1" w:rsidRDefault="00C94FD1" w14:paraId="0BDB7786"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A mayor abundamiento del cuadro que exhibe la aseguradora, se aprecia que las fechas de vencimiento son al mes siguiente del mes de cobertura, en fechas variables que van del día 11 al día 20 del mes siguiente, de donde se concluiría que si el último pago se produjo el 16 de octubre de 2020 por la cobertura del mes de setiembre, la cuota por la cobertura del mes de octubre habría vencido entre el 11 y 20 de noviembre de 2020, en cuyo caso los 90 días habrían vencido entre el 11 y 20 de febrero de 2021, esto es, después del fallecimiento del asegurado que ocurrió el 8 de febrero de 2021. </w:t>
      </w:r>
    </w:p>
    <w:p w:rsidRPr="00A47131" w:rsidR="00C94FD1" w:rsidP="00C94FD1" w:rsidRDefault="00C94FD1" w14:paraId="7D850999" w14:textId="77777777">
      <w:pPr>
        <w:spacing w:line="240" w:lineRule="auto"/>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 xml:space="preserve">En atención a las consideraciones precedentes, corresponde revocar la resolución impugnada modificándola en el extremo señalado </w:t>
      </w:r>
      <w:proofErr w:type="gramStart"/>
      <w:r w:rsidRPr="00A47131">
        <w:rPr>
          <w:rFonts w:ascii="Times New Roman" w:hAnsi="Times New Roman" w:cs="Times New Roman"/>
          <w:sz w:val="24"/>
          <w:szCs w:val="24"/>
          <w:lang w:val="es-PE"/>
        </w:rPr>
        <w:t>y</w:t>
      </w:r>
      <w:proofErr w:type="gramEnd"/>
      <w:r w:rsidRPr="00A47131">
        <w:rPr>
          <w:rFonts w:ascii="Times New Roman" w:hAnsi="Times New Roman" w:cs="Times New Roman"/>
          <w:sz w:val="24"/>
          <w:szCs w:val="24"/>
          <w:lang w:val="es-PE"/>
        </w:rPr>
        <w:t xml:space="preserve"> por lo tanto, en mayoría,</w:t>
      </w:r>
    </w:p>
    <w:p w:rsidRPr="00A47131" w:rsidR="00C94FD1" w:rsidP="00C94FD1" w:rsidRDefault="00C94FD1" w14:paraId="73CE1C14" w14:textId="77777777">
      <w:pPr>
        <w:spacing w:line="240" w:lineRule="auto"/>
        <w:jc w:val="both"/>
        <w:rPr>
          <w:rFonts w:ascii="Times New Roman" w:hAnsi="Times New Roman" w:cs="Times New Roman"/>
          <w:b/>
          <w:sz w:val="24"/>
          <w:szCs w:val="24"/>
          <w:lang w:val="es-PE"/>
        </w:rPr>
      </w:pPr>
      <w:r w:rsidRPr="00A47131">
        <w:rPr>
          <w:rFonts w:ascii="Times New Roman" w:hAnsi="Times New Roman" w:cs="Times New Roman"/>
          <w:b/>
          <w:sz w:val="24"/>
          <w:szCs w:val="24"/>
          <w:lang w:val="es-PE"/>
        </w:rPr>
        <w:t xml:space="preserve">SE RESUELVE: </w:t>
      </w:r>
    </w:p>
    <w:p w:rsidRPr="00A47131" w:rsidR="00C94FD1" w:rsidP="00C94FD1" w:rsidRDefault="00C94FD1" w14:paraId="451821E1" w14:textId="63421DC2">
      <w:pPr>
        <w:spacing w:line="240" w:lineRule="auto"/>
        <w:jc w:val="both"/>
        <w:rPr>
          <w:rFonts w:ascii="Times New Roman" w:hAnsi="Times New Roman" w:cs="Times New Roman"/>
          <w:sz w:val="24"/>
          <w:szCs w:val="24"/>
          <w:lang w:val="es-PE"/>
        </w:rPr>
      </w:pPr>
      <w:r w:rsidRPr="58D40068" w:rsidR="00C94FD1">
        <w:rPr>
          <w:rFonts w:ascii="Times New Roman" w:hAnsi="Times New Roman" w:cs="Times New Roman"/>
          <w:sz w:val="24"/>
          <w:szCs w:val="24"/>
          <w:lang w:val="es-PE"/>
        </w:rPr>
        <w:t xml:space="preserve">Declarar </w:t>
      </w:r>
      <w:r w:rsidRPr="58D40068" w:rsidR="00C94FD1">
        <w:rPr>
          <w:rFonts w:ascii="Times New Roman" w:hAnsi="Times New Roman" w:cs="Times New Roman"/>
          <w:b w:val="1"/>
          <w:bCs w:val="1"/>
          <w:sz w:val="24"/>
          <w:szCs w:val="24"/>
          <w:lang w:val="es-PE"/>
        </w:rPr>
        <w:t>FUNDADO</w:t>
      </w:r>
      <w:r w:rsidRPr="58D40068" w:rsidR="00C94FD1">
        <w:rPr>
          <w:rFonts w:ascii="Times New Roman" w:hAnsi="Times New Roman" w:cs="Times New Roman"/>
          <w:sz w:val="24"/>
          <w:szCs w:val="24"/>
          <w:lang w:val="es-PE"/>
        </w:rPr>
        <w:t xml:space="preserve"> en parte el Recurso Impugnativo interpuesto y, por consiguiente, MODIFICAR la Resolución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010/22 que declaró INFUNDADA la reclamación interpuesta, la cual se declara fundada en parte, debiendo la aseguradora otorgar cobertura respecto del seguro de Desgravamen Crédito Efectivo con Garantía Hipotecaria </w:t>
      </w:r>
      <w:r w:rsidRPr="58D40068" w:rsidR="00C94FD1">
        <w:rPr>
          <w:rFonts w:ascii="Times New Roman" w:hAnsi="Times New Roman" w:cs="Times New Roman"/>
          <w:sz w:val="24"/>
          <w:szCs w:val="24"/>
          <w:lang w:val="es-PE"/>
        </w:rPr>
        <w:t>N°</w:t>
      </w:r>
      <w:r w:rsidRPr="58D40068" w:rsidR="00C94FD1">
        <w:rPr>
          <w:rFonts w:ascii="Times New Roman" w:hAnsi="Times New Roman" w:cs="Times New Roman"/>
          <w:sz w:val="24"/>
          <w:szCs w:val="24"/>
          <w:lang w:val="es-PE"/>
        </w:rPr>
        <w:t xml:space="preserve"> </w:t>
      </w:r>
      <w:r w:rsidRPr="58D40068" w:rsidR="3BEB91D0">
        <w:rPr>
          <w:rFonts w:ascii="Times New Roman" w:hAnsi="Times New Roman" w:cs="Times New Roman"/>
          <w:sz w:val="24"/>
          <w:szCs w:val="24"/>
          <w:lang w:val="es-PE"/>
        </w:rPr>
        <w:t>.................................................</w:t>
      </w:r>
      <w:r w:rsidRPr="58D40068" w:rsidR="00C94FD1">
        <w:rPr>
          <w:rFonts w:ascii="Times New Roman" w:hAnsi="Times New Roman" w:cs="Times New Roman"/>
          <w:sz w:val="24"/>
          <w:szCs w:val="24"/>
          <w:lang w:val="es-PE"/>
        </w:rPr>
        <w:t>, e infundada en lo demás que contiene.</w:t>
      </w:r>
    </w:p>
    <w:p w:rsidRPr="00A47131" w:rsidR="00C94FD1" w:rsidP="00C94FD1" w:rsidRDefault="00C94FD1" w14:paraId="49D87CE5" w14:textId="77777777">
      <w:pPr>
        <w:spacing w:line="240" w:lineRule="auto"/>
        <w:jc w:val="both"/>
        <w:rPr>
          <w:rFonts w:ascii="Times New Roman" w:hAnsi="Times New Roman" w:cs="Times New Roman"/>
          <w:sz w:val="24"/>
          <w:szCs w:val="24"/>
          <w:lang w:val="es-PE"/>
        </w:rPr>
      </w:pPr>
    </w:p>
    <w:p w:rsidRPr="00A47131" w:rsidR="001E5803" w:rsidP="002F376A" w:rsidRDefault="001E5803" w14:paraId="70B36E9C" w14:textId="48C5F329">
      <w:pPr>
        <w:suppressAutoHyphens/>
        <w:spacing w:after="0" w:line="240" w:lineRule="auto"/>
        <w:jc w:val="both"/>
        <w:outlineLvl w:val="0"/>
        <w:rPr>
          <w:rFonts w:ascii="Times New Roman" w:hAnsi="Times New Roman" w:eastAsia="Times New Roman" w:cs="Times New Roman"/>
          <w:b/>
          <w:bCs/>
          <w:sz w:val="24"/>
          <w:szCs w:val="24"/>
          <w:lang w:val="es-PE" w:eastAsia="ar-SA"/>
        </w:rPr>
      </w:pPr>
    </w:p>
    <w:p w:rsidRPr="00A47131" w:rsidR="00077B6F" w:rsidP="00C671F5" w:rsidRDefault="0091528B" w14:paraId="78A39B5B" w14:textId="40F2D9CB">
      <w:pPr>
        <w:suppressAutoHyphens/>
        <w:spacing w:after="0" w:line="240" w:lineRule="auto"/>
        <w:jc w:val="right"/>
        <w:outlineLvl w:val="0"/>
        <w:rPr>
          <w:rFonts w:ascii="Times New Roman" w:hAnsi="Times New Roman" w:eastAsia="Arial Unicode MS" w:cs="Times New Roman"/>
          <w:sz w:val="24"/>
          <w:szCs w:val="24"/>
          <w:lang w:val="es-PE" w:eastAsia="ar-SA"/>
        </w:rPr>
      </w:pPr>
      <w:r w:rsidRPr="00A47131">
        <w:rPr>
          <w:rFonts w:ascii="Times New Roman" w:hAnsi="Times New Roman" w:eastAsia="Arial Unicode MS" w:cs="Times New Roman"/>
          <w:sz w:val="24"/>
          <w:szCs w:val="24"/>
          <w:lang w:val="es-PE" w:eastAsia="ar-SA"/>
        </w:rPr>
        <w:t xml:space="preserve">Lima, </w:t>
      </w:r>
      <w:r w:rsidRPr="00A47131" w:rsidR="00413C3F">
        <w:rPr>
          <w:rFonts w:ascii="Times New Roman" w:hAnsi="Times New Roman" w:eastAsia="Arial Unicode MS" w:cs="Times New Roman"/>
          <w:sz w:val="24"/>
          <w:szCs w:val="24"/>
          <w:lang w:val="es-PE" w:eastAsia="ar-SA"/>
        </w:rPr>
        <w:t>25</w:t>
      </w:r>
      <w:r w:rsidRPr="00A47131" w:rsidR="00707C99">
        <w:rPr>
          <w:rFonts w:ascii="Times New Roman" w:hAnsi="Times New Roman" w:eastAsia="Arial Unicode MS" w:cs="Times New Roman"/>
          <w:sz w:val="24"/>
          <w:szCs w:val="24"/>
          <w:lang w:val="es-PE" w:eastAsia="ar-SA"/>
        </w:rPr>
        <w:t xml:space="preserve"> de </w:t>
      </w:r>
      <w:r w:rsidRPr="00A47131" w:rsidR="00D65AF1">
        <w:rPr>
          <w:rFonts w:ascii="Times New Roman" w:hAnsi="Times New Roman" w:eastAsia="Arial Unicode MS" w:cs="Times New Roman"/>
          <w:sz w:val="24"/>
          <w:szCs w:val="24"/>
          <w:lang w:val="es-PE" w:eastAsia="ar-SA"/>
        </w:rPr>
        <w:t>abril</w:t>
      </w:r>
      <w:r w:rsidRPr="00A47131" w:rsidR="00F06498">
        <w:rPr>
          <w:rFonts w:ascii="Times New Roman" w:hAnsi="Times New Roman" w:eastAsia="Arial Unicode MS" w:cs="Times New Roman"/>
          <w:sz w:val="24"/>
          <w:szCs w:val="24"/>
          <w:lang w:val="es-PE" w:eastAsia="ar-SA"/>
        </w:rPr>
        <w:t xml:space="preserve"> de 202</w:t>
      </w:r>
      <w:r w:rsidRPr="00A47131" w:rsidR="00B93C7A">
        <w:rPr>
          <w:rFonts w:ascii="Times New Roman" w:hAnsi="Times New Roman" w:eastAsia="Arial Unicode MS" w:cs="Times New Roman"/>
          <w:sz w:val="24"/>
          <w:szCs w:val="24"/>
          <w:lang w:val="es-PE" w:eastAsia="ar-SA"/>
        </w:rPr>
        <w:t>2</w:t>
      </w:r>
      <w:r w:rsidRPr="00A47131" w:rsidR="00707C99">
        <w:rPr>
          <w:rFonts w:ascii="Times New Roman" w:hAnsi="Times New Roman" w:eastAsia="Times New Roman" w:cs="Times New Roman"/>
          <w:sz w:val="24"/>
          <w:szCs w:val="24"/>
          <w:lang w:val="es-PE" w:eastAsia="ar-SA"/>
        </w:rPr>
        <w:t xml:space="preserve"> </w:t>
      </w:r>
    </w:p>
    <w:p w:rsidRPr="00A47131"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A47131"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47131"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A4713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47131"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A47131"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A47131">
        <w:rPr>
          <w:rFonts w:ascii="Times New Roman" w:hAnsi="Times New Roman" w:cs="Times New Roman"/>
          <w:b/>
          <w:bCs/>
          <w:sz w:val="24"/>
          <w:szCs w:val="24"/>
          <w:lang w:val="es-PE"/>
        </w:rPr>
        <w:t xml:space="preserve">María Eugenia Valdez Fernández Baca – </w:t>
      </w:r>
      <w:proofErr w:type="gramStart"/>
      <w:r w:rsidRPr="00A47131">
        <w:rPr>
          <w:rFonts w:ascii="Times New Roman" w:hAnsi="Times New Roman" w:cs="Times New Roman"/>
          <w:b/>
          <w:bCs/>
          <w:sz w:val="24"/>
          <w:szCs w:val="24"/>
          <w:lang w:val="es-PE"/>
        </w:rPr>
        <w:t>Presidente</w:t>
      </w:r>
      <w:proofErr w:type="gramEnd"/>
    </w:p>
    <w:p w:rsidRPr="00A47131"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A47131">
        <w:rPr>
          <w:rFonts w:ascii="Times New Roman" w:hAnsi="Times New Roman" w:cs="Times New Roman"/>
          <w:b/>
          <w:bCs/>
          <w:sz w:val="24"/>
          <w:szCs w:val="24"/>
          <w:lang w:val="es-PE"/>
        </w:rPr>
        <w:t xml:space="preserve">Rolando Eyzaguirre </w:t>
      </w:r>
      <w:proofErr w:type="spellStart"/>
      <w:r w:rsidRPr="00A47131">
        <w:rPr>
          <w:rFonts w:ascii="Times New Roman" w:hAnsi="Times New Roman" w:cs="Times New Roman"/>
          <w:b/>
          <w:bCs/>
          <w:sz w:val="24"/>
          <w:szCs w:val="24"/>
          <w:lang w:val="es-PE"/>
        </w:rPr>
        <w:t>Maccan</w:t>
      </w:r>
      <w:proofErr w:type="spellEnd"/>
      <w:r w:rsidRPr="00A47131">
        <w:rPr>
          <w:rFonts w:ascii="Times New Roman" w:hAnsi="Times New Roman" w:cs="Times New Roman"/>
          <w:b/>
          <w:bCs/>
          <w:sz w:val="24"/>
          <w:szCs w:val="24"/>
          <w:lang w:val="es-PE"/>
        </w:rPr>
        <w:t xml:space="preserve"> – Vocal</w:t>
      </w:r>
    </w:p>
    <w:p w:rsidRPr="00A47131" w:rsidR="00860E34" w:rsidP="001233F2" w:rsidRDefault="00860E34" w14:paraId="3651445F" w14:textId="77777777">
      <w:pPr>
        <w:spacing w:after="0" w:line="360" w:lineRule="auto"/>
        <w:jc w:val="center"/>
        <w:rPr>
          <w:rFonts w:ascii="Times New Roman" w:hAnsi="Times New Roman" w:cs="Times New Roman"/>
          <w:b/>
          <w:bCs/>
          <w:sz w:val="24"/>
          <w:szCs w:val="24"/>
          <w:lang w:val="es-PE"/>
        </w:rPr>
      </w:pPr>
    </w:p>
    <w:p w:rsidRPr="00A47131" w:rsidR="0014407B" w:rsidP="0014407B" w:rsidRDefault="0014407B" w14:paraId="75933348" w14:textId="77777777">
      <w:pPr>
        <w:outlineLvl w:val="0"/>
        <w:rPr>
          <w:rFonts w:ascii="Times New Roman" w:hAnsi="Times New Roman" w:cs="Times New Roman"/>
          <w:b/>
          <w:sz w:val="24"/>
          <w:szCs w:val="24"/>
          <w:u w:val="single"/>
          <w:lang w:val="es-PE"/>
        </w:rPr>
      </w:pPr>
    </w:p>
    <w:p w:rsidRPr="00A47131" w:rsidR="0014407B" w:rsidP="00A47131" w:rsidRDefault="007D40B7" w14:paraId="72585623" w14:textId="04D73D4A">
      <w:pPr>
        <w:jc w:val="center"/>
        <w:outlineLvl w:val="0"/>
        <w:rPr>
          <w:rFonts w:ascii="Times New Roman" w:hAnsi="Times New Roman" w:cs="Times New Roman"/>
          <w:b/>
          <w:sz w:val="24"/>
          <w:szCs w:val="24"/>
          <w:u w:val="single"/>
          <w:lang w:val="es-PE"/>
        </w:rPr>
      </w:pPr>
      <w:r w:rsidRPr="00A47131">
        <w:rPr>
          <w:rFonts w:ascii="Times New Roman" w:hAnsi="Times New Roman" w:cs="Times New Roman"/>
          <w:b/>
          <w:sz w:val="24"/>
          <w:szCs w:val="24"/>
          <w:u w:val="single"/>
          <w:lang w:val="es-PE"/>
        </w:rPr>
        <w:t xml:space="preserve">VOTO EN DISCORDIA DEL VOCAL </w:t>
      </w:r>
      <w:r w:rsidRPr="00A47131">
        <w:rPr>
          <w:rFonts w:ascii="Times New Roman" w:hAnsi="Times New Roman" w:cs="Times New Roman"/>
          <w:b/>
          <w:sz w:val="24"/>
          <w:szCs w:val="24"/>
          <w:u w:val="single"/>
          <w:lang w:val="es-PE"/>
        </w:rPr>
        <w:t>GONZALO ABAD DEL BUSTO</w:t>
      </w:r>
    </w:p>
    <w:p w:rsidRPr="00A47131" w:rsidR="00A47131" w:rsidP="00A47131" w:rsidRDefault="00A47131" w14:paraId="5056FAA0" w14:textId="77777777">
      <w:pPr>
        <w:jc w:val="center"/>
        <w:outlineLvl w:val="0"/>
        <w:rPr>
          <w:rFonts w:ascii="Times New Roman" w:hAnsi="Times New Roman" w:cs="Times New Roman"/>
          <w:b/>
          <w:sz w:val="24"/>
          <w:szCs w:val="24"/>
          <w:u w:val="single"/>
          <w:lang w:val="es-PE"/>
        </w:rPr>
      </w:pPr>
    </w:p>
    <w:p w:rsidRPr="00A47131" w:rsidR="00A47131" w:rsidP="00A47131" w:rsidRDefault="00A47131" w14:paraId="3BCF293A" w14:textId="499F17CF">
      <w:pPr>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El voto en discordia del vocal Gonzalo Abad del Busto es como sigue</w:t>
      </w:r>
      <w:r w:rsidRPr="00A47131">
        <w:rPr>
          <w:rFonts w:ascii="Times New Roman" w:hAnsi="Times New Roman" w:cs="Times New Roman"/>
          <w:sz w:val="24"/>
          <w:szCs w:val="24"/>
          <w:lang w:val="es-PE"/>
        </w:rPr>
        <w:t>:</w:t>
      </w:r>
    </w:p>
    <w:p w:rsidRPr="00A47131" w:rsidR="0014407B" w:rsidP="0014407B" w:rsidRDefault="0014407B" w14:paraId="4ECE7B93" w14:textId="5A6A0D15">
      <w:pPr>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Primero: Que, las razones por la</w:t>
      </w:r>
      <w:r w:rsidRPr="00A47131">
        <w:rPr>
          <w:rFonts w:ascii="Times New Roman" w:hAnsi="Times New Roman" w:cs="Times New Roman"/>
          <w:sz w:val="24"/>
          <w:szCs w:val="24"/>
          <w:lang w:val="es-PE"/>
        </w:rPr>
        <w:t>s que</w:t>
      </w:r>
      <w:r w:rsidRPr="00A47131">
        <w:rPr>
          <w:rFonts w:ascii="Times New Roman" w:hAnsi="Times New Roman" w:cs="Times New Roman"/>
          <w:sz w:val="24"/>
          <w:szCs w:val="24"/>
          <w:lang w:val="es-PE"/>
        </w:rPr>
        <w:t xml:space="preserve"> este vocal emite un voto en </w:t>
      </w:r>
      <w:r w:rsidRPr="00A47131">
        <w:rPr>
          <w:rFonts w:ascii="Times New Roman" w:hAnsi="Times New Roman" w:cs="Times New Roman"/>
          <w:sz w:val="24"/>
          <w:szCs w:val="24"/>
          <w:lang w:val="es-PE"/>
        </w:rPr>
        <w:t>discordia</w:t>
      </w:r>
      <w:r w:rsidRPr="00A47131">
        <w:rPr>
          <w:rFonts w:ascii="Times New Roman" w:hAnsi="Times New Roman" w:cs="Times New Roman"/>
          <w:sz w:val="24"/>
          <w:szCs w:val="24"/>
          <w:lang w:val="es-PE"/>
        </w:rPr>
        <w:t xml:space="preserve"> son las siguientes:</w:t>
      </w:r>
    </w:p>
    <w:p w:rsidRPr="00A47131" w:rsidR="0014407B" w:rsidP="0014407B" w:rsidRDefault="0014407B" w14:paraId="62679D5A" w14:textId="77777777">
      <w:pPr>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a) Que, en la Resolución de primera instancia, el colegiado analizó los documentos probatorios remitidos por las partes y consideró por mayoría declarar infundado el reclamo en función de que la prima del seguro Desgravamen 2  del mes de setiembre de 2020 no había sido pagada y por lo tanto al vencer el plazo de pago en octubre de 2020, a partir de esa fecha se cuenta los 90 días en que si la aseguradora no reclama el pago vencido, es de aplicación la extinción del seguro, siendo que el fallecimiento del asegurado ocurrió el 08 de febrero de 2021.</w:t>
      </w:r>
    </w:p>
    <w:p w:rsidRPr="00A47131" w:rsidR="0014407B" w:rsidP="0014407B" w:rsidRDefault="0014407B" w14:paraId="3C0C7590" w14:textId="2F17AFDD">
      <w:pPr>
        <w:jc w:val="both"/>
        <w:rPr>
          <w:rFonts w:ascii="Times New Roman" w:hAnsi="Times New Roman" w:cs="Times New Roman"/>
          <w:sz w:val="24"/>
          <w:szCs w:val="24"/>
          <w:lang w:val="es-PE"/>
        </w:rPr>
      </w:pPr>
      <w:r w:rsidRPr="58D40068" w:rsidR="0014407B">
        <w:rPr>
          <w:rFonts w:ascii="Times New Roman" w:hAnsi="Times New Roman" w:cs="Times New Roman"/>
          <w:sz w:val="24"/>
          <w:szCs w:val="24"/>
          <w:lang w:val="es-PE"/>
        </w:rPr>
        <w:t xml:space="preserve">b) Que, ante la presentación por parte de la reclamante del Recurso Impugnativo, el colegiado creyó conveniente solicitar a </w:t>
      </w:r>
      <w:r w:rsidRPr="58D40068" w:rsidR="1B1F5B2F">
        <w:rPr>
          <w:rFonts w:ascii="Times New Roman" w:hAnsi="Times New Roman" w:cs="Times New Roman"/>
          <w:sz w:val="24"/>
          <w:szCs w:val="24"/>
          <w:lang w:val="es-PE"/>
        </w:rPr>
        <w:t>............................</w:t>
      </w:r>
      <w:r w:rsidRPr="58D40068" w:rsidR="0014407B">
        <w:rPr>
          <w:rFonts w:ascii="Times New Roman" w:hAnsi="Times New Roman" w:cs="Times New Roman"/>
          <w:sz w:val="24"/>
          <w:szCs w:val="24"/>
          <w:lang w:val="es-PE"/>
        </w:rPr>
        <w:t>, precisar respecto del seguro de desgravamen 2, (i) en fecha se pagó o se cargó la última prima y (</w:t>
      </w:r>
      <w:r w:rsidRPr="58D40068" w:rsidR="0014407B">
        <w:rPr>
          <w:rFonts w:ascii="Times New Roman" w:hAnsi="Times New Roman" w:cs="Times New Roman"/>
          <w:sz w:val="24"/>
          <w:szCs w:val="24"/>
          <w:lang w:val="es-PE"/>
        </w:rPr>
        <w:t>ii</w:t>
      </w:r>
      <w:r w:rsidRPr="58D40068" w:rsidR="0014407B">
        <w:rPr>
          <w:rFonts w:ascii="Times New Roman" w:hAnsi="Times New Roman" w:cs="Times New Roman"/>
          <w:sz w:val="24"/>
          <w:szCs w:val="24"/>
          <w:lang w:val="es-PE"/>
        </w:rPr>
        <w:t>) cuál era la fecha de vencimiento de la prima que quedó impaga", toda vez que el cuadro que presenta como sustento pareciera indicar que la prima del mes de setiembre fue la última pagada, habiendo sido cargada el 16 de octubre de 2020.</w:t>
      </w:r>
    </w:p>
    <w:p w:rsidRPr="00A47131" w:rsidR="0014407B" w:rsidP="0014407B" w:rsidRDefault="0014407B" w14:paraId="4506F66B" w14:textId="1E3BFDAA">
      <w:pPr>
        <w:jc w:val="both"/>
        <w:rPr>
          <w:rFonts w:ascii="Times New Roman" w:hAnsi="Times New Roman" w:cs="Times New Roman"/>
          <w:sz w:val="24"/>
          <w:szCs w:val="24"/>
          <w:lang w:val="es-PE"/>
        </w:rPr>
      </w:pPr>
      <w:r w:rsidRPr="58D40068" w:rsidR="0014407B">
        <w:rPr>
          <w:rFonts w:ascii="Times New Roman" w:hAnsi="Times New Roman" w:cs="Times New Roman"/>
          <w:sz w:val="24"/>
          <w:szCs w:val="24"/>
          <w:lang w:val="es-PE"/>
        </w:rPr>
        <w:t xml:space="preserve">c) Que, en respuesta a lo solicitado, </w:t>
      </w:r>
      <w:r w:rsidRPr="58D40068" w:rsidR="1B1F5B2F">
        <w:rPr>
          <w:rFonts w:ascii="Times New Roman" w:hAnsi="Times New Roman" w:cs="Times New Roman"/>
          <w:sz w:val="24"/>
          <w:szCs w:val="24"/>
          <w:lang w:val="es-PE"/>
        </w:rPr>
        <w:t>............................</w:t>
      </w:r>
      <w:r w:rsidRPr="58D40068" w:rsidR="0014407B">
        <w:rPr>
          <w:rFonts w:ascii="Times New Roman" w:hAnsi="Times New Roman" w:cs="Times New Roman"/>
          <w:sz w:val="24"/>
          <w:szCs w:val="24"/>
          <w:lang w:val="es-PE"/>
        </w:rPr>
        <w:t xml:space="preserve"> señaló:</w:t>
      </w:r>
    </w:p>
    <w:p w:rsidRPr="00A47131" w:rsidR="0014407B" w:rsidP="0014407B" w:rsidRDefault="0014407B" w14:paraId="3728504C" w14:textId="7473A31F">
      <w:pPr>
        <w:jc w:val="both"/>
        <w:rPr>
          <w:rFonts w:ascii="Times New Roman" w:hAnsi="Times New Roman" w:cs="Times New Roman"/>
          <w:sz w:val="24"/>
          <w:szCs w:val="24"/>
          <w:lang w:val="es-PE"/>
        </w:rPr>
      </w:pPr>
      <w:r w:rsidRPr="58D40068" w:rsidR="0014407B">
        <w:rPr>
          <w:rFonts w:ascii="Times New Roman" w:hAnsi="Times New Roman" w:cs="Times New Roman"/>
          <w:sz w:val="24"/>
          <w:szCs w:val="24"/>
          <w:lang w:val="es-PE"/>
        </w:rPr>
        <w:t xml:space="preserve">"Cumplimos con informar que, el cese de pago de primas del seguro de Desgravamen 2, fue el 16 de octubre de 2020, correspondiente a la cobertura del mes de septiembre. Por otro lado, la fecha de vencimiento de la prima que quedó </w:t>
      </w:r>
      <w:r w:rsidRPr="58D40068" w:rsidR="0014407B">
        <w:rPr>
          <w:rFonts w:ascii="Times New Roman" w:hAnsi="Times New Roman" w:cs="Times New Roman"/>
          <w:sz w:val="24"/>
          <w:szCs w:val="24"/>
          <w:lang w:val="es-PE"/>
        </w:rPr>
        <w:t>impaga,</w:t>
      </w:r>
      <w:r w:rsidRPr="58D40068" w:rsidR="0014407B">
        <w:rPr>
          <w:rFonts w:ascii="Times New Roman" w:hAnsi="Times New Roman" w:cs="Times New Roman"/>
          <w:sz w:val="24"/>
          <w:szCs w:val="24"/>
          <w:lang w:val="es-PE"/>
        </w:rPr>
        <w:t xml:space="preserve"> depende del cronograma de pagos del préstamo, previamente pactado con el </w:t>
      </w:r>
      <w:r w:rsidRPr="58D40068" w:rsidR="7816884D">
        <w:rPr>
          <w:rFonts w:ascii="Times New Roman" w:hAnsi="Times New Roman" w:cs="Times New Roman"/>
          <w:sz w:val="24"/>
          <w:szCs w:val="24"/>
          <w:lang w:val="es-PE"/>
        </w:rPr>
        <w:t>.............</w:t>
      </w:r>
      <w:r w:rsidRPr="58D40068" w:rsidR="0014407B">
        <w:rPr>
          <w:rFonts w:ascii="Times New Roman" w:hAnsi="Times New Roman" w:cs="Times New Roman"/>
          <w:sz w:val="24"/>
          <w:szCs w:val="24"/>
          <w:lang w:val="es-PE"/>
        </w:rPr>
        <w:t xml:space="preserve"> directamente, sin la intervención de </w:t>
      </w:r>
      <w:r w:rsidRPr="58D40068" w:rsidR="1B1F5B2F">
        <w:rPr>
          <w:rFonts w:ascii="Times New Roman" w:hAnsi="Times New Roman" w:cs="Times New Roman"/>
          <w:sz w:val="24"/>
          <w:szCs w:val="24"/>
          <w:lang w:val="es-PE"/>
        </w:rPr>
        <w:t>............................</w:t>
      </w:r>
      <w:r w:rsidRPr="58D40068" w:rsidR="0014407B">
        <w:rPr>
          <w:rFonts w:ascii="Times New Roman" w:hAnsi="Times New Roman" w:cs="Times New Roman"/>
          <w:sz w:val="24"/>
          <w:szCs w:val="24"/>
          <w:lang w:val="es-PE"/>
        </w:rPr>
        <w:t>, es decir, no es una fecha determinada por la compañía"</w:t>
      </w:r>
    </w:p>
    <w:p w:rsidRPr="00A47131" w:rsidR="0014407B" w:rsidP="0014407B" w:rsidRDefault="0014407B" w14:paraId="209D3CE4" w14:textId="7425EC8A">
      <w:pPr>
        <w:jc w:val="both"/>
        <w:rPr>
          <w:rFonts w:ascii="Times New Roman" w:hAnsi="Times New Roman" w:cs="Times New Roman"/>
          <w:sz w:val="24"/>
          <w:szCs w:val="24"/>
          <w:lang w:val="es-PE"/>
        </w:rPr>
      </w:pPr>
      <w:r w:rsidRPr="58D40068" w:rsidR="0014407B">
        <w:rPr>
          <w:rFonts w:ascii="Times New Roman" w:hAnsi="Times New Roman" w:cs="Times New Roman"/>
          <w:sz w:val="24"/>
          <w:szCs w:val="24"/>
          <w:lang w:val="es-PE"/>
        </w:rPr>
        <w:t xml:space="preserve">d) Que, </w:t>
      </w:r>
      <w:r w:rsidRPr="58D40068" w:rsidR="0014407B">
        <w:rPr>
          <w:rFonts w:ascii="Times New Roman" w:hAnsi="Times New Roman" w:cs="Times New Roman"/>
          <w:sz w:val="24"/>
          <w:szCs w:val="24"/>
          <w:lang w:val="es-PE"/>
        </w:rPr>
        <w:t>en razón de</w:t>
      </w:r>
      <w:r w:rsidRPr="58D40068" w:rsidR="0014407B">
        <w:rPr>
          <w:rFonts w:ascii="Times New Roman" w:hAnsi="Times New Roman" w:cs="Times New Roman"/>
          <w:sz w:val="24"/>
          <w:szCs w:val="24"/>
          <w:lang w:val="es-PE"/>
        </w:rPr>
        <w:t xml:space="preserve"> lo contestado por </w:t>
      </w:r>
      <w:r w:rsidRPr="58D40068" w:rsidR="1B1F5B2F">
        <w:rPr>
          <w:rFonts w:ascii="Times New Roman" w:hAnsi="Times New Roman" w:cs="Times New Roman"/>
          <w:sz w:val="24"/>
          <w:szCs w:val="24"/>
          <w:lang w:val="es-PE"/>
        </w:rPr>
        <w:t>............................</w:t>
      </w:r>
      <w:r w:rsidRPr="58D40068" w:rsidR="0014407B">
        <w:rPr>
          <w:rFonts w:ascii="Times New Roman" w:hAnsi="Times New Roman" w:cs="Times New Roman"/>
          <w:sz w:val="24"/>
          <w:szCs w:val="24"/>
          <w:lang w:val="es-PE"/>
        </w:rPr>
        <w:t xml:space="preserve"> al requerimiento de la DEFASEG, respuesta que es la misma de su escrito de contestación a la reclamación, el vocal que suscribe considera por lo mencionado y lo mostrado en el cuadro adjuntado por la aseguradora que, la </w:t>
      </w:r>
      <w:r w:rsidRPr="58D40068" w:rsidR="0014407B">
        <w:rPr>
          <w:rFonts w:ascii="Times New Roman" w:hAnsi="Times New Roman" w:cs="Times New Roman"/>
          <w:sz w:val="24"/>
          <w:szCs w:val="24"/>
          <w:lang w:val="es-PE"/>
        </w:rPr>
        <w:t>cuota del seguro del mes de setiembre de 2020 no fue pagada y que el vencimiento para pagarla era el 16 de octubre de 2020, pago que no ocurrió.</w:t>
      </w:r>
    </w:p>
    <w:p w:rsidRPr="00A47131" w:rsidR="0014407B" w:rsidP="0014407B" w:rsidRDefault="0014407B" w14:paraId="6887D954" w14:textId="77777777">
      <w:pPr>
        <w:jc w:val="both"/>
        <w:rPr>
          <w:rFonts w:ascii="Times New Roman" w:hAnsi="Times New Roman" w:cs="Times New Roman"/>
          <w:sz w:val="24"/>
          <w:szCs w:val="24"/>
          <w:lang w:val="es-PE"/>
        </w:rPr>
      </w:pPr>
      <w:r w:rsidRPr="00A47131">
        <w:rPr>
          <w:rFonts w:ascii="Times New Roman" w:hAnsi="Times New Roman" w:cs="Times New Roman"/>
          <w:sz w:val="24"/>
          <w:szCs w:val="24"/>
          <w:lang w:val="es-PE"/>
        </w:rPr>
        <w:t>Que, como consecuencia de lo expresado, el vocal que suscribe considera que el Recurso Impugnativo debe ser declarado INFUNDADO.</w:t>
      </w:r>
    </w:p>
    <w:p w:rsidRPr="00A47131" w:rsidR="008F708B" w:rsidP="008F708B" w:rsidRDefault="008F708B" w14:paraId="214188C9" w14:textId="77777777">
      <w:pPr>
        <w:spacing w:after="0" w:line="360" w:lineRule="auto"/>
        <w:rPr>
          <w:rFonts w:ascii="Times New Roman" w:hAnsi="Times New Roman" w:cs="Times New Roman"/>
          <w:b/>
          <w:bCs/>
          <w:sz w:val="24"/>
          <w:szCs w:val="24"/>
          <w:lang w:val="es-PE"/>
        </w:rPr>
      </w:pPr>
    </w:p>
    <w:p w:rsidRPr="00A47131" w:rsidR="00860E34" w:rsidP="008F708B" w:rsidRDefault="008F708B" w14:paraId="4092A7E0" w14:textId="69634B02">
      <w:pPr>
        <w:spacing w:after="0" w:line="360" w:lineRule="auto"/>
        <w:rPr>
          <w:rFonts w:ascii="Times New Roman" w:hAnsi="Times New Roman" w:cs="Times New Roman"/>
          <w:b/>
          <w:bCs/>
          <w:sz w:val="24"/>
          <w:szCs w:val="24"/>
          <w:lang w:val="es-PE"/>
        </w:rPr>
      </w:pPr>
      <w:r w:rsidRPr="00A47131">
        <w:rPr>
          <w:rFonts w:ascii="Times New Roman" w:hAnsi="Times New Roman" w:cs="Times New Roman"/>
          <w:b/>
          <w:bCs/>
          <w:i/>
          <w:iCs/>
          <w:sz w:val="24"/>
          <w:szCs w:val="24"/>
          <w:lang w:val="es-ES_tradnl"/>
        </w:rPr>
        <w:t>La Secretaría Técnica certifica el voto del vocal cuyo nombre figura a continuación.</w:t>
      </w:r>
    </w:p>
    <w:p w:rsidRPr="00A47131" w:rsidR="00860E34" w:rsidP="008F708B" w:rsidRDefault="00860E34" w14:paraId="5E32887A" w14:textId="77777777">
      <w:pPr>
        <w:spacing w:after="0" w:line="360" w:lineRule="auto"/>
        <w:rPr>
          <w:rFonts w:ascii="Times New Roman" w:hAnsi="Times New Roman" w:cs="Times New Roman"/>
          <w:b/>
          <w:bCs/>
          <w:sz w:val="24"/>
          <w:szCs w:val="24"/>
          <w:lang w:val="es-PE"/>
        </w:rPr>
      </w:pPr>
    </w:p>
    <w:p w:rsidRPr="00A47131" w:rsidR="001233F2" w:rsidP="001233F2" w:rsidRDefault="001233F2" w14:paraId="1D4E3330" w14:textId="31888A68">
      <w:pPr>
        <w:spacing w:after="0" w:line="360" w:lineRule="auto"/>
        <w:jc w:val="center"/>
        <w:rPr>
          <w:rFonts w:ascii="Times New Roman" w:hAnsi="Times New Roman" w:cs="Times New Roman"/>
          <w:sz w:val="24"/>
          <w:szCs w:val="24"/>
          <w:lang w:val="es-PE"/>
        </w:rPr>
      </w:pPr>
      <w:r w:rsidRPr="00A47131">
        <w:rPr>
          <w:rFonts w:ascii="Times New Roman" w:hAnsi="Times New Roman" w:cs="Times New Roman"/>
          <w:b/>
          <w:bCs/>
          <w:sz w:val="24"/>
          <w:szCs w:val="24"/>
          <w:lang w:val="es-PE"/>
        </w:rPr>
        <w:t>Gonzalo Abad del Busto – Vocal</w:t>
      </w:r>
    </w:p>
    <w:p w:rsidRPr="00A47131"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A4713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A47131" w:rsidR="00C671F5" w:rsidSect="00077B6F">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50B9" w:rsidP="00784355" w:rsidRDefault="001950B9" w14:paraId="3B132466" w14:textId="77777777">
      <w:pPr>
        <w:spacing w:after="0" w:line="240" w:lineRule="auto"/>
      </w:pPr>
      <w:r>
        <w:separator/>
      </w:r>
    </w:p>
  </w:endnote>
  <w:endnote w:type="continuationSeparator" w:id="0">
    <w:p w:rsidR="001950B9" w:rsidP="00784355" w:rsidRDefault="001950B9" w14:paraId="7F84F2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50B9" w:rsidP="00784355" w:rsidRDefault="001950B9" w14:paraId="0C55D9E0" w14:textId="77777777">
      <w:pPr>
        <w:spacing w:after="0" w:line="240" w:lineRule="auto"/>
      </w:pPr>
      <w:r>
        <w:separator/>
      </w:r>
    </w:p>
  </w:footnote>
  <w:footnote w:type="continuationSeparator" w:id="0">
    <w:p w:rsidR="001950B9" w:rsidP="00784355" w:rsidRDefault="001950B9" w14:paraId="52E118A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8"/>
  </w:num>
  <w:num w:numId="3" w16cid:durableId="760956054">
    <w:abstractNumId w:val="5"/>
  </w:num>
  <w:num w:numId="4" w16cid:durableId="1079518208">
    <w:abstractNumId w:val="4"/>
  </w:num>
  <w:num w:numId="5" w16cid:durableId="1198003566">
    <w:abstractNumId w:val="6"/>
  </w:num>
  <w:num w:numId="6" w16cid:durableId="1607540339">
    <w:abstractNumId w:val="0"/>
  </w:num>
  <w:num w:numId="7" w16cid:durableId="1490902120">
    <w:abstractNumId w:val="9"/>
  </w:num>
  <w:num w:numId="8" w16cid:durableId="615214413">
    <w:abstractNumId w:val="10"/>
  </w:num>
  <w:num w:numId="9" w16cid:durableId="1018119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DCE"/>
    <w:rsid w:val="00187BFD"/>
    <w:rsid w:val="001950B9"/>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2E6"/>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08B"/>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07FA32CC"/>
    <w:rsid w:val="1B1F5B2F"/>
    <w:rsid w:val="1DB918F2"/>
    <w:rsid w:val="37F8390D"/>
    <w:rsid w:val="3BEB91D0"/>
    <w:rsid w:val="3FA7676F"/>
    <w:rsid w:val="48BA4978"/>
    <w:rsid w:val="58D40068"/>
    <w:rsid w:val="5AD69A31"/>
    <w:rsid w:val="6CD17935"/>
    <w:rsid w:val="78168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c13959e41a954d3d" Type="http://schemas.openxmlformats.org/officeDocument/2006/relationships/hyperlink" Target="http://www.defaseg.com.pe/reglamento" TargetMode="Externa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E410F28-8AD2-49B5-B0BE-51E8EDAD45A7}"/>
</file>

<file path=customXml/itemProps3.xml><?xml version="1.0" encoding="utf-8"?>
<ds:datastoreItem xmlns:ds="http://schemas.openxmlformats.org/officeDocument/2006/customXml" ds:itemID="{7ADBF78D-8597-49A3-B13F-87B689E9B714}"/>
</file>

<file path=customXml/itemProps4.xml><?xml version="1.0" encoding="utf-8"?>
<ds:datastoreItem xmlns:ds="http://schemas.openxmlformats.org/officeDocument/2006/customXml" ds:itemID="{1F5C6982-1E23-421C-AC2F-3A6D271A5A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89</cp:revision>
  <cp:lastPrinted>2022-04-26T16:06:00Z</cp:lastPrinted>
  <dcterms:created xsi:type="dcterms:W3CDTF">2020-12-18T20:17:00Z</dcterms:created>
  <dcterms:modified xsi:type="dcterms:W3CDTF">2025-11-26T21:08:00Z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