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10F71" w:rsidR="00707C99" w:rsidP="00272F4F" w:rsidRDefault="00201C0D" w14:paraId="19FE0E96" w14:textId="18B6D481">
      <w:pPr>
        <w:spacing w:after="0" w:line="240" w:lineRule="auto"/>
        <w:jc w:val="center"/>
        <w:rPr>
          <w:rFonts w:ascii="Times New Roman" w:hAnsi="Times New Roman" w:cs="Times New Roman"/>
          <w:b/>
          <w:sz w:val="24"/>
          <w:szCs w:val="24"/>
          <w:lang w:val="es-PE" w:eastAsia="ar-SA"/>
        </w:rPr>
      </w:pPr>
      <w:r w:rsidRPr="00B10F71">
        <w:rPr>
          <w:rFonts w:ascii="Times New Roman" w:hAnsi="Times New Roman" w:cs="Times New Roman"/>
          <w:b/>
          <w:sz w:val="24"/>
          <w:szCs w:val="24"/>
          <w:lang w:val="es-PE" w:eastAsia="ar-SA"/>
        </w:rPr>
        <w:t xml:space="preserve">RESOLUCIÓN DE RECURSO IMPUGNATIVO </w:t>
      </w:r>
      <w:proofErr w:type="spellStart"/>
      <w:r w:rsidRPr="00B10F71" w:rsidR="00707C99">
        <w:rPr>
          <w:rFonts w:ascii="Times New Roman" w:hAnsi="Times New Roman" w:cs="Times New Roman"/>
          <w:b/>
          <w:sz w:val="24"/>
          <w:szCs w:val="24"/>
          <w:lang w:val="es-PE" w:eastAsia="ar-SA"/>
        </w:rPr>
        <w:t>N°</w:t>
      </w:r>
      <w:proofErr w:type="spellEnd"/>
      <w:r w:rsidRPr="00B10F71" w:rsidR="00707C99">
        <w:rPr>
          <w:rFonts w:ascii="Times New Roman" w:hAnsi="Times New Roman" w:cs="Times New Roman"/>
          <w:b/>
          <w:sz w:val="24"/>
          <w:szCs w:val="24"/>
          <w:lang w:val="es-PE" w:eastAsia="ar-SA"/>
        </w:rPr>
        <w:t xml:space="preserve"> </w:t>
      </w:r>
      <w:r w:rsidRPr="00B10F71" w:rsidR="00C671F5">
        <w:rPr>
          <w:rFonts w:ascii="Times New Roman" w:hAnsi="Times New Roman" w:cs="Times New Roman"/>
          <w:b/>
          <w:sz w:val="24"/>
          <w:szCs w:val="24"/>
          <w:lang w:val="es-PE" w:eastAsia="ar-SA"/>
        </w:rPr>
        <w:t>0</w:t>
      </w:r>
      <w:r w:rsidRPr="00B10F71" w:rsidR="0009634E">
        <w:rPr>
          <w:rFonts w:ascii="Times New Roman" w:hAnsi="Times New Roman" w:cs="Times New Roman"/>
          <w:b/>
          <w:sz w:val="24"/>
          <w:szCs w:val="24"/>
          <w:lang w:val="es-PE" w:eastAsia="ar-SA"/>
        </w:rPr>
        <w:t>2</w:t>
      </w:r>
      <w:r w:rsidRPr="00B10F71" w:rsidR="00B01C3A">
        <w:rPr>
          <w:rFonts w:ascii="Times New Roman" w:hAnsi="Times New Roman" w:cs="Times New Roman"/>
          <w:b/>
          <w:sz w:val="24"/>
          <w:szCs w:val="24"/>
          <w:lang w:val="es-PE" w:eastAsia="ar-SA"/>
        </w:rPr>
        <w:t>7</w:t>
      </w:r>
      <w:r w:rsidRPr="00B10F71" w:rsidR="00C671F5">
        <w:rPr>
          <w:rFonts w:ascii="Times New Roman" w:hAnsi="Times New Roman" w:cs="Times New Roman"/>
          <w:b/>
          <w:sz w:val="24"/>
          <w:szCs w:val="24"/>
          <w:lang w:val="es-PE" w:eastAsia="ar-SA"/>
        </w:rPr>
        <w:t>/2</w:t>
      </w:r>
      <w:r w:rsidRPr="00B10F71" w:rsidR="00B93C7A">
        <w:rPr>
          <w:rFonts w:ascii="Times New Roman" w:hAnsi="Times New Roman" w:cs="Times New Roman"/>
          <w:b/>
          <w:sz w:val="24"/>
          <w:szCs w:val="24"/>
          <w:lang w:val="es-PE" w:eastAsia="ar-SA"/>
        </w:rPr>
        <w:t>2</w:t>
      </w:r>
    </w:p>
    <w:p w:rsidRPr="00B10F71"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Pr="00B10F71" w:rsidR="00B10F71" w:rsidP="00B10F71" w:rsidRDefault="00B10F71" w14:paraId="51974F0B" w14:textId="77777777">
      <w:pPr>
        <w:jc w:val="both"/>
        <w:outlineLvl w:val="0"/>
        <w:rPr>
          <w:rFonts w:ascii="Times New Roman" w:hAnsi="Times New Roman" w:cs="Times New Roman"/>
          <w:b/>
          <w:bCs/>
          <w:sz w:val="24"/>
          <w:szCs w:val="24"/>
          <w:lang w:val="es-MX"/>
        </w:rPr>
      </w:pPr>
      <w:r w:rsidRPr="00B10F71">
        <w:rPr>
          <w:rFonts w:ascii="Times New Roman" w:hAnsi="Times New Roman" w:cs="Times New Roman"/>
          <w:b/>
          <w:bCs/>
          <w:sz w:val="24"/>
          <w:szCs w:val="24"/>
          <w:lang w:val="es-MX"/>
        </w:rPr>
        <w:t>VISTOS:</w:t>
      </w:r>
    </w:p>
    <w:p w:rsidRPr="00B10F71" w:rsidR="00B10F71" w:rsidP="00B10F71" w:rsidRDefault="00B10F71" w14:paraId="4C039212" w14:textId="25917FF5">
      <w:pPr>
        <w:pStyle w:val="Default"/>
        <w:jc w:val="both"/>
        <w:rPr>
          <w:rFonts w:ascii="Times New Roman" w:hAnsi="Times New Roman" w:cs="Times New Roman"/>
        </w:rPr>
      </w:pPr>
      <w:r w:rsidRPr="42645638" w:rsidR="00B10F71">
        <w:rPr>
          <w:rFonts w:ascii="Times New Roman" w:hAnsi="Times New Roman" w:cs="Times New Roman"/>
        </w:rPr>
        <w:t xml:space="preserve">El recurso de impugnación presentado por </w:t>
      </w:r>
      <w:r w:rsidRPr="42645638" w:rsidR="6F750AB0">
        <w:rPr>
          <w:rFonts w:ascii="Times New Roman" w:hAnsi="Times New Roman" w:cs="Times New Roman"/>
          <w:b w:val="1"/>
          <w:bCs w:val="1"/>
          <w:lang w:val="es-MX"/>
        </w:rPr>
        <w:t>..........................................................</w:t>
      </w:r>
      <w:r w:rsidRPr="42645638" w:rsidR="00B10F71">
        <w:rPr>
          <w:rFonts w:ascii="Times New Roman" w:hAnsi="Times New Roman" w:cs="Times New Roman"/>
          <w:lang w:val="es-MX"/>
        </w:rPr>
        <w:t xml:space="preserve"> </w:t>
      </w:r>
      <w:r w:rsidRPr="42645638" w:rsidR="00B10F71">
        <w:rPr>
          <w:rFonts w:ascii="Times New Roman" w:hAnsi="Times New Roman" w:cs="Times New Roman"/>
        </w:rPr>
        <w:t xml:space="preserve">respecto de la Resolución Nro. 043/22, expedida por esta Defensoría del Asegurado y, conforme a la cual se declaró INFUNDADA la reclamación interpuesta contra </w:t>
      </w:r>
      <w:r w:rsidRPr="42645638" w:rsidR="52442275">
        <w:rPr>
          <w:rFonts w:ascii="Times New Roman" w:hAnsi="Times New Roman" w:cs="Times New Roman"/>
          <w:b w:val="1"/>
          <w:bCs w:val="1"/>
          <w:lang w:val="es-MX"/>
        </w:rPr>
        <w:t>...........................</w:t>
      </w:r>
      <w:r w:rsidRPr="42645638" w:rsidR="00B10F71">
        <w:rPr>
          <w:rFonts w:ascii="Times New Roman" w:hAnsi="Times New Roman" w:cs="Times New Roman"/>
        </w:rPr>
        <w:t xml:space="preserve">, </w:t>
      </w:r>
      <w:r w:rsidRPr="42645638" w:rsidR="00B10F71">
        <w:rPr>
          <w:rFonts w:ascii="Times New Roman" w:hAnsi="Times New Roman" w:cs="Times New Roman"/>
        </w:rPr>
        <w:t>en relación al</w:t>
      </w:r>
      <w:r w:rsidRPr="42645638" w:rsidR="00B10F71">
        <w:rPr>
          <w:rFonts w:ascii="Times New Roman" w:hAnsi="Times New Roman" w:cs="Times New Roman"/>
        </w:rPr>
        <w:t xml:space="preserve"> </w:t>
      </w:r>
      <w:r w:rsidRPr="42645638" w:rsidR="00B10F71">
        <w:rPr>
          <w:rFonts w:ascii="Times New Roman" w:hAnsi="Times New Roman" w:cs="Times New Roman"/>
          <w:b w:val="1"/>
          <w:bCs w:val="1"/>
        </w:rPr>
        <w:t xml:space="preserve">SEGURO OBLIGATORIO DE ACCIDENTES DE TRÁNSITO (SOAT) - PÓLIZA NO </w:t>
      </w:r>
      <w:r w:rsidRPr="42645638" w:rsidR="110E3766">
        <w:rPr>
          <w:rFonts w:ascii="Times New Roman" w:hAnsi="Times New Roman" w:cs="Times New Roman"/>
          <w:b w:val="1"/>
          <w:bCs w:val="1"/>
        </w:rPr>
        <w:t>...........................</w:t>
      </w:r>
      <w:r w:rsidRPr="42645638" w:rsidR="00B10F71">
        <w:rPr>
          <w:rFonts w:ascii="Times New Roman" w:hAnsi="Times New Roman" w:cs="Times New Roman"/>
        </w:rPr>
        <w:t>;</w:t>
      </w:r>
    </w:p>
    <w:p w:rsidRPr="00B10F71" w:rsidR="00B10F71" w:rsidP="00B10F71" w:rsidRDefault="00B10F71" w14:paraId="400790D5" w14:textId="77777777">
      <w:pPr>
        <w:jc w:val="both"/>
        <w:rPr>
          <w:rFonts w:ascii="Times New Roman" w:hAnsi="Times New Roman" w:cs="Times New Roman"/>
          <w:sz w:val="24"/>
          <w:szCs w:val="24"/>
          <w:lang w:val="es-PE"/>
        </w:rPr>
      </w:pPr>
    </w:p>
    <w:p w:rsidRPr="00B10F71" w:rsidR="00B10F71" w:rsidP="42645638" w:rsidRDefault="00B10F71" w14:paraId="7D4C227A" w14:textId="62D36683">
      <w:pPr>
        <w:pStyle w:val="Textoindependiente"/>
        <w:rPr>
          <w:b w:val="1"/>
          <w:bCs w:val="1"/>
        </w:rPr>
      </w:pPr>
      <w:r w:rsidR="00B10F71">
        <w:rPr/>
        <w:t xml:space="preserve">Que, el indicado recurso se sustenta resumidamente en lo siguiente: (1) considera que sí existe evidencia médica respecto a las patologías adquiridas como consecuencia del accidente vehicular ocurrido el 18 de junio de 2021; (2) el Instituto Nacional de Rehabilitación, con fecha 9 de noviembre de 2021, emitió el Dictamen por Incapacidad Temporal “SOAT”, mediante el cual se da cuenta que considera los exámenes auxiliares de radiografía de columna de </w:t>
      </w:r>
      <w:r w:rsidR="063C054B">
        <w:rPr/>
        <w:t>...........................</w:t>
      </w:r>
      <w:r w:rsidR="00B10F71">
        <w:rPr/>
        <w:t xml:space="preserve">(18 de junio de 2021), tomografía lumbosacra (28 de junio de 2021) e informe de electromiografía de miembro inferior derecho (reporte de auditoría – 16 de julio de 2021); (3) se ha determinado el diagnóstico de lumbalgia, esguince de columna lumbar y contractura muscular de cadera producto del accidente de tránsito; (4) el Dictamen de Incapacidad Temporal del Instituto de Rehabilitación, ni ningún informe de auditoría médica han deslindado en qué medida el tratamiento prescrito a la recurrente está orientado a superar la enfermedad crónica, degenerativa que se alega; (5) tanto el referido dictamen como los diagnósticos emitidos por los médicos tratantes aluden únicamente a lesiones ocasionadas como consecuencia de accidente vehicular; (6) aunque teóricamente las lesiones sufridas podrían haber incidido en dolencias preexistentes, tal aspecto debió haber sido dilucidado por </w:t>
      </w:r>
      <w:r w:rsidR="52442275">
        <w:rPr/>
        <w:t>...........................</w:t>
      </w:r>
      <w:r w:rsidR="00B10F71">
        <w:rPr/>
        <w:t>, empleando los mecanismos previstos en el Reglamento del SOAT, sin afectar la inmediatez que es propia de este tipo de seguros obligatorios; (7) la aseguradora ha vulnerado el derecho a la salud de la recurrente, al haber negado las prestaciones previstas por el SOAT, sin que haya algún diagnóstico o prueba que demuestre en forma y modo alguno que en calidad de víctima haya superado favorablemente las consecuencias de las lesiones generadas producto del accidente vehicular.</w:t>
      </w:r>
    </w:p>
    <w:p w:rsidRPr="00B10F71" w:rsidR="00B10F71" w:rsidP="00B10F71" w:rsidRDefault="00B10F71" w14:paraId="6CD3A01F" w14:textId="77777777">
      <w:pPr>
        <w:pStyle w:val="Textoindependiente"/>
        <w:rPr>
          <w:b/>
          <w:bCs w:val="0"/>
        </w:rPr>
      </w:pPr>
    </w:p>
    <w:p w:rsidRPr="00B10F71" w:rsidR="00B10F71" w:rsidP="00B10F71" w:rsidRDefault="00B10F71" w14:paraId="0DB2C491" w14:textId="4B2BD79F">
      <w:pPr>
        <w:pStyle w:val="Textoindependiente"/>
        <w:rPr>
          <w:color w:val="000000"/>
          <w:lang w:val="es-PE" w:eastAsia="es-PE"/>
        </w:rPr>
      </w:pPr>
      <w:r w:rsidR="00B10F71">
        <w:rPr/>
        <w:t xml:space="preserve">Que, la aseguradora absolvió el traslado del recurso impugnatorio manifestando, en síntesis, lo siguiente: (1) </w:t>
      </w:r>
      <w:r w:rsidRPr="42645638" w:rsidR="00B10F71">
        <w:rPr>
          <w:color w:val="000000" w:themeColor="text1" w:themeTint="FF" w:themeShade="FF"/>
          <w:lang w:val="es-PE" w:eastAsia="es-PE"/>
        </w:rPr>
        <w:t xml:space="preserve">la recurrente reitera que su diagnóstico de lumbalgia, esguince de columna lumbar y contractura muscular de cadera; serían producto del accidente de tránsito de fecha 18 de junio del 2021; (2) en el accidente de tránsito que da origen a la solicitud de la recurrente, no existió impacto entre los vehículos involucrados; siendo que la maniobra realizada únicamente despistó al auto de placa </w:t>
      </w:r>
      <w:r w:rsidRPr="42645638" w:rsidR="5D73B85A">
        <w:rPr>
          <w:color w:val="000000" w:themeColor="text1" w:themeTint="FF" w:themeShade="FF"/>
          <w:lang w:val="es-PE" w:eastAsia="es-PE"/>
        </w:rPr>
        <w:t>...........................</w:t>
      </w:r>
      <w:r w:rsidRPr="42645638" w:rsidR="00B10F71">
        <w:rPr>
          <w:color w:val="000000" w:themeColor="text1" w:themeTint="FF" w:themeShade="FF"/>
          <w:lang w:val="es-PE" w:eastAsia="es-PE"/>
        </w:rPr>
        <w:t xml:space="preserve">; (3) el Reglamento SOAT busca cubrir los daños personales sufridos por las víctimas </w:t>
      </w:r>
      <w:r w:rsidRPr="42645638" w:rsidR="00B10F71">
        <w:rPr>
          <w:color w:val="000000" w:themeColor="text1" w:themeTint="FF" w:themeShade="FF"/>
          <w:lang w:val="es-PE" w:eastAsia="es-PE"/>
        </w:rPr>
        <w:t xml:space="preserve">como consecuencia </w:t>
      </w:r>
      <w:r w:rsidRPr="42645638" w:rsidR="00B10F71">
        <w:rPr>
          <w:color w:val="000000" w:themeColor="text1" w:themeTint="FF" w:themeShade="FF"/>
          <w:lang w:val="es-PE" w:eastAsia="es-PE"/>
        </w:rPr>
        <w:t xml:space="preserve">de un accidente de tránsito; (4) para el caso de la cobertura de gastos médicos, la norma prevé que el pago de este beneficio se encuentre sustentado (ya sea en la historia clínica u documentos médicos) a fin de que se cubran los gastos por los tratamientos efectivamente realizados para la recuperación de las lesiones sufridas como consecuencia al accidente; (5) cualquier otro tipo de patologías o dolencias no relacionadas al incidente de tránsito materia de reclamo, no deberían ser cubiertas por la Compañía de Seguros; (6) el SOAT cubrirá aquellas atenciones que servirán para aliviar o curar las consecuencias del accidente (generalmente traumatismos); pero el tratamiento propio de la patología presentada por el paciente, no debería ser cubierto; (7) las atenciones aprobadas corresponden a la atención </w:t>
      </w:r>
      <w:r w:rsidRPr="42645638" w:rsidR="00B10F71">
        <w:rPr>
          <w:color w:val="000000" w:themeColor="text1" w:themeTint="FF" w:themeShade="FF"/>
          <w:lang w:val="es-PE" w:eastAsia="es-PE"/>
        </w:rPr>
        <w:t xml:space="preserve">de la emergencia y posteriores, debido al traumatismo sufrido en el accidente; esto ha incluido las terapias físicas en la </w:t>
      </w:r>
      <w:r w:rsidRPr="42645638" w:rsidR="4ABC0320">
        <w:rPr>
          <w:color w:val="000000" w:themeColor="text1" w:themeTint="FF" w:themeShade="FF"/>
          <w:lang w:val="es-PE" w:eastAsia="es-PE"/>
        </w:rPr>
        <w:t>...........................</w:t>
      </w:r>
      <w:r w:rsidRPr="42645638" w:rsidR="00B10F71">
        <w:rPr>
          <w:color w:val="000000" w:themeColor="text1" w:themeTint="FF" w:themeShade="FF"/>
          <w:lang w:val="es-PE" w:eastAsia="es-PE"/>
        </w:rPr>
        <w:t xml:space="preserve">, ya que la paciente refirió dolor lumbar a causa del accidente; (8) al momento de solicitar el tratamiento por medicina física y rehabilitación, la </w:t>
      </w:r>
      <w:r w:rsidRPr="42645638" w:rsidR="062AD988">
        <w:rPr>
          <w:color w:val="000000" w:themeColor="text1" w:themeTint="FF" w:themeShade="FF"/>
          <w:lang w:val="es-PE" w:eastAsia="es-PE"/>
        </w:rPr>
        <w:t>...........................</w:t>
      </w:r>
      <w:r w:rsidRPr="42645638" w:rsidR="00B10F71">
        <w:rPr>
          <w:color w:val="000000" w:themeColor="text1" w:themeTint="FF" w:themeShade="FF"/>
          <w:lang w:val="es-PE" w:eastAsia="es-PE"/>
        </w:rPr>
        <w:t xml:space="preserve"> ha sustentado este requerimiento en la patología descrita en la Tomografía tomada a la paciente, la cual refiere: - Prominencia del Disco L5S1 - Leves cambios </w:t>
      </w:r>
      <w:r w:rsidRPr="42645638" w:rsidR="00B10F71">
        <w:rPr>
          <w:color w:val="000000" w:themeColor="text1" w:themeTint="FF" w:themeShade="FF"/>
          <w:lang w:val="es-PE" w:eastAsia="es-PE"/>
        </w:rPr>
        <w:t>espondiloartrósicos</w:t>
      </w:r>
      <w:r w:rsidRPr="42645638" w:rsidR="00B10F71">
        <w:rPr>
          <w:color w:val="000000" w:themeColor="text1" w:themeTint="FF" w:themeShade="FF"/>
          <w:lang w:val="es-PE" w:eastAsia="es-PE"/>
        </w:rPr>
        <w:t xml:space="preserve"> lumbares </w:t>
      </w:r>
      <w:r w:rsidRPr="42645638" w:rsidR="00B10F71">
        <w:rPr>
          <w:color w:val="000000" w:themeColor="text1" w:themeTint="FF" w:themeShade="FF"/>
          <w:lang w:val="es-PE" w:eastAsia="es-PE"/>
        </w:rPr>
        <w:t xml:space="preserve">- Disminución de la Lordosis Lumbar; (9) </w:t>
      </w:r>
      <w:r w:rsidRPr="42645638" w:rsidR="00B10F71">
        <w:rPr>
          <w:color w:val="000000" w:themeColor="text1" w:themeTint="FF" w:themeShade="FF"/>
          <w:lang w:val="es-PE" w:eastAsia="es-PE"/>
        </w:rPr>
        <w:t xml:space="preserve">las patologías señaladas como sustento para el segundo bloque de terapias son de naturaleza crónica y degenerativa, es decir que no tienen naturaleza traumática, por lo que no deben ser consideradas como asociadas al accidente; (10) se evidencia que la </w:t>
      </w:r>
      <w:r w:rsidRPr="42645638" w:rsidR="062AD988">
        <w:rPr>
          <w:color w:val="000000" w:themeColor="text1" w:themeTint="FF" w:themeShade="FF"/>
          <w:lang w:val="es-PE" w:eastAsia="es-PE"/>
        </w:rPr>
        <w:t>...........................</w:t>
      </w:r>
      <w:r w:rsidRPr="42645638" w:rsidR="00B10F71">
        <w:rPr>
          <w:color w:val="000000" w:themeColor="text1" w:themeTint="FF" w:themeShade="FF"/>
          <w:lang w:val="es-PE" w:eastAsia="es-PE"/>
        </w:rPr>
        <w:t xml:space="preserve"> solicita el tratamiento para tratar la patología crónica degenerativa presentada por la señora Lorenzo; y no para el tratamiento de patologías de naturaleza traumática o secuelas del accidente. </w:t>
      </w:r>
    </w:p>
    <w:p w:rsidRPr="00B10F71" w:rsidR="00B10F71" w:rsidP="00B10F71" w:rsidRDefault="00B10F71" w14:paraId="1E2BB988" w14:textId="77777777">
      <w:pPr>
        <w:pStyle w:val="Textoindependiente"/>
      </w:pPr>
    </w:p>
    <w:p w:rsidRPr="00B10F71" w:rsidR="00B10F71" w:rsidP="00B10F71" w:rsidRDefault="00B10F71" w14:paraId="0E795B7E" w14:textId="77777777">
      <w:pPr>
        <w:pStyle w:val="Textoindependiente"/>
        <w:tabs>
          <w:tab w:val="left" w:pos="930"/>
        </w:tabs>
      </w:pPr>
      <w:r w:rsidRPr="00B10F71">
        <w:t>Que, atendiendo a lo expuesto, esta Defensoría resuelve finalmente lo siguiente:</w:t>
      </w:r>
    </w:p>
    <w:p w:rsidRPr="00B10F71" w:rsidR="00B10F71" w:rsidP="00B10F71" w:rsidRDefault="00B10F71" w14:paraId="60B7B661" w14:textId="77777777">
      <w:pPr>
        <w:jc w:val="both"/>
        <w:rPr>
          <w:rFonts w:ascii="Times New Roman" w:hAnsi="Times New Roman" w:cs="Times New Roman"/>
          <w:b/>
          <w:sz w:val="24"/>
          <w:szCs w:val="24"/>
          <w:u w:val="single"/>
          <w:lang w:val="es-PE"/>
        </w:rPr>
      </w:pPr>
    </w:p>
    <w:p w:rsidRPr="00B10F71" w:rsidR="00B10F71" w:rsidP="00B10F71" w:rsidRDefault="00B10F71" w14:paraId="02DC9DA1" w14:textId="77777777">
      <w:pPr>
        <w:jc w:val="both"/>
        <w:rPr>
          <w:rFonts w:ascii="Times New Roman" w:hAnsi="Times New Roman" w:cs="Times New Roman"/>
          <w:sz w:val="24"/>
          <w:szCs w:val="24"/>
          <w:lang w:val="es-PE"/>
        </w:rPr>
      </w:pPr>
      <w:r w:rsidRPr="00B10F71">
        <w:rPr>
          <w:rFonts w:ascii="Times New Roman" w:hAnsi="Times New Roman" w:cs="Times New Roman"/>
          <w:b/>
          <w:sz w:val="24"/>
          <w:szCs w:val="24"/>
          <w:u w:val="single"/>
          <w:lang w:val="es-PE"/>
        </w:rPr>
        <w:t>PRIMERO</w:t>
      </w:r>
      <w:r w:rsidRPr="00B10F71">
        <w:rPr>
          <w:rFonts w:ascii="Times New Roman" w:hAnsi="Times New Roman" w:cs="Times New Roman"/>
          <w:b/>
          <w:sz w:val="24"/>
          <w:szCs w:val="24"/>
          <w:lang w:val="es-PE"/>
        </w:rPr>
        <w:t>:</w:t>
      </w:r>
      <w:r w:rsidRPr="00B10F71">
        <w:rPr>
          <w:rFonts w:ascii="Times New Roman" w:hAnsi="Times New Roman" w:cs="Times New Roman"/>
          <w:sz w:val="24"/>
          <w:szCs w:val="24"/>
          <w:lang w:val="es-PE"/>
        </w:rPr>
        <w:t xml:space="preserve"> El artículo 10 (Procedimiento) del Reglamento de la DEFASEG </w:t>
      </w:r>
      <w:r w:rsidRPr="00B10F71">
        <w:rPr>
          <w:rFonts w:ascii="Times New Roman" w:hAnsi="Times New Roman" w:eastAsia="Arial Unicode MS" w:cs="Times New Roman"/>
          <w:sz w:val="24"/>
          <w:szCs w:val="24"/>
          <w:lang w:val="es-PE"/>
        </w:rPr>
        <w:t>(http://www.defaseg.com.pe/reglamento)</w:t>
      </w:r>
      <w:r w:rsidRPr="00B10F71">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B10F71" w:rsidR="00B10F71" w:rsidP="00B10F71" w:rsidRDefault="00B10F71" w14:paraId="6497DCAA" w14:textId="77777777">
      <w:pPr>
        <w:jc w:val="both"/>
        <w:rPr>
          <w:rFonts w:ascii="Times New Roman" w:hAnsi="Times New Roman" w:cs="Times New Roman"/>
          <w:sz w:val="24"/>
          <w:szCs w:val="24"/>
          <w:lang w:val="es-PE"/>
        </w:rPr>
      </w:pPr>
    </w:p>
    <w:p w:rsidRPr="00B10F71" w:rsidR="00B10F71" w:rsidP="00B10F71" w:rsidRDefault="00B10F71" w14:paraId="30F941EC" w14:textId="77777777">
      <w:pPr>
        <w:jc w:val="both"/>
        <w:rPr>
          <w:rFonts w:ascii="Times New Roman" w:hAnsi="Times New Roman" w:cs="Times New Roman"/>
          <w:bCs/>
          <w:sz w:val="24"/>
          <w:szCs w:val="24"/>
          <w:lang w:val="es-ES"/>
        </w:rPr>
      </w:pPr>
      <w:r w:rsidRPr="00B10F71">
        <w:rPr>
          <w:rFonts w:ascii="Times New Roman" w:hAnsi="Times New Roman" w:cs="Times New Roman"/>
          <w:b/>
          <w:bCs/>
          <w:sz w:val="24"/>
          <w:szCs w:val="24"/>
          <w:u w:val="single"/>
          <w:lang w:val="es-PE"/>
        </w:rPr>
        <w:t>SEGUNDO</w:t>
      </w:r>
      <w:r w:rsidRPr="00B10F71">
        <w:rPr>
          <w:rFonts w:ascii="Times New Roman" w:hAnsi="Times New Roman" w:cs="Times New Roman"/>
          <w:b/>
          <w:bCs/>
          <w:sz w:val="24"/>
          <w:szCs w:val="24"/>
          <w:lang w:val="es-PE"/>
        </w:rPr>
        <w:t>:</w:t>
      </w:r>
      <w:r w:rsidRPr="00B10F71">
        <w:rPr>
          <w:rFonts w:ascii="Times New Roman" w:hAnsi="Times New Roman" w:cs="Times New Roman"/>
          <w:bCs/>
          <w:sz w:val="24"/>
          <w:szCs w:val="24"/>
          <w:lang w:val="es-PE"/>
        </w:rPr>
        <w:t xml:space="preserve"> </w:t>
      </w:r>
      <w:r w:rsidRPr="00B10F71">
        <w:rPr>
          <w:rFonts w:ascii="Times New Roman" w:hAnsi="Times New Roman" w:cs="Times New Roman"/>
          <w:sz w:val="24"/>
          <w:szCs w:val="24"/>
          <w:lang w:val="es-PE"/>
        </w:rPr>
        <w:t xml:space="preserve">Conforme a ello, en el caso concreto, la reclamante </w:t>
      </w:r>
      <w:r w:rsidRPr="00B10F71">
        <w:rPr>
          <w:rFonts w:ascii="Times New Roman" w:hAnsi="Times New Roman" w:cs="Times New Roman"/>
          <w:bCs/>
          <w:sz w:val="24"/>
          <w:szCs w:val="24"/>
          <w:lang w:val="es-PE"/>
        </w:rPr>
        <w:t>sustenta su impugnación en insistir en la argumentación que fue analizada y desestimada por esta Defensoría. Adicionalmente, la recurrente aporta nuevos medios probatorios.</w:t>
      </w:r>
    </w:p>
    <w:p w:rsidRPr="00B10F71" w:rsidR="00B10F71" w:rsidP="00B10F71" w:rsidRDefault="00B10F71" w14:paraId="6562D53F" w14:textId="77777777">
      <w:pPr>
        <w:pStyle w:val="Textoindependiente"/>
        <w:tabs>
          <w:tab w:val="left" w:pos="0"/>
          <w:tab w:val="left" w:pos="720"/>
        </w:tabs>
        <w:rPr>
          <w:u w:val="single"/>
          <w:lang w:val="es-PE"/>
        </w:rPr>
      </w:pPr>
    </w:p>
    <w:p w:rsidRPr="00B10F71" w:rsidR="00B10F71" w:rsidP="00B10F71" w:rsidRDefault="00B10F71" w14:paraId="1B9BBBEA" w14:textId="77777777">
      <w:pPr>
        <w:jc w:val="both"/>
        <w:rPr>
          <w:rFonts w:ascii="Times New Roman" w:hAnsi="Times New Roman" w:cs="Times New Roman"/>
          <w:sz w:val="24"/>
          <w:szCs w:val="24"/>
          <w:lang w:val="es-ES"/>
        </w:rPr>
      </w:pPr>
      <w:r w:rsidRPr="00B10F71">
        <w:rPr>
          <w:rFonts w:ascii="Times New Roman" w:hAnsi="Times New Roman" w:cs="Times New Roman"/>
          <w:bCs/>
          <w:sz w:val="24"/>
          <w:szCs w:val="24"/>
          <w:lang w:val="es-PE"/>
        </w:rPr>
        <w:t xml:space="preserve">De acuerdo a la resolución impugnada, la reclamación fue desestimada </w:t>
      </w:r>
      <w:proofErr w:type="gramStart"/>
      <w:r w:rsidRPr="00B10F71">
        <w:rPr>
          <w:rFonts w:ascii="Times New Roman" w:hAnsi="Times New Roman" w:cs="Times New Roman"/>
          <w:bCs/>
          <w:sz w:val="24"/>
          <w:szCs w:val="24"/>
          <w:lang w:val="es-PE"/>
        </w:rPr>
        <w:t>puesto que</w:t>
      </w:r>
      <w:proofErr w:type="gramEnd"/>
      <w:r w:rsidRPr="00B10F71">
        <w:rPr>
          <w:rFonts w:ascii="Times New Roman" w:hAnsi="Times New Roman" w:cs="Times New Roman"/>
          <w:bCs/>
          <w:sz w:val="24"/>
          <w:szCs w:val="24"/>
          <w:lang w:val="es-PE"/>
        </w:rPr>
        <w:t xml:space="preserve"> del examen de tomografía, </w:t>
      </w:r>
      <w:r w:rsidRPr="00B10F71">
        <w:rPr>
          <w:rFonts w:ascii="Times New Roman" w:hAnsi="Times New Roman" w:cs="Times New Roman"/>
          <w:sz w:val="24"/>
          <w:szCs w:val="24"/>
          <w:lang w:val="es-PE"/>
        </w:rPr>
        <w:t xml:space="preserve">no se acredita la existencia de una patología derivada de un traumatismo producto del accidente, sino que son dolencias de naturaleza crónica y degenerativa, por lo que la asegurada. </w:t>
      </w:r>
    </w:p>
    <w:p w:rsidRPr="00B10F71" w:rsidR="00B10F71" w:rsidP="00B10F71" w:rsidRDefault="00B10F71" w14:paraId="4084B44F" w14:textId="77777777">
      <w:pPr>
        <w:jc w:val="both"/>
        <w:rPr>
          <w:rFonts w:ascii="Times New Roman" w:hAnsi="Times New Roman" w:cs="Times New Roman"/>
          <w:sz w:val="24"/>
          <w:szCs w:val="24"/>
          <w:lang w:val="es-PE"/>
        </w:rPr>
      </w:pPr>
    </w:p>
    <w:p w:rsidRPr="00B10F71" w:rsidR="00B10F71" w:rsidP="00B10F71" w:rsidRDefault="00B10F71" w14:paraId="3E060C4C" w14:textId="77777777">
      <w:pPr>
        <w:jc w:val="both"/>
        <w:rPr>
          <w:rFonts w:ascii="Times New Roman" w:hAnsi="Times New Roman" w:cs="Times New Roman"/>
          <w:sz w:val="24"/>
          <w:szCs w:val="24"/>
          <w:lang w:val="es-PE"/>
        </w:rPr>
      </w:pPr>
      <w:r w:rsidRPr="00B10F71">
        <w:rPr>
          <w:rFonts w:ascii="Times New Roman" w:hAnsi="Times New Roman" w:cs="Times New Roman"/>
          <w:sz w:val="24"/>
          <w:szCs w:val="24"/>
          <w:lang w:val="es-PE"/>
        </w:rPr>
        <w:t>En ese sentido, se verificó que no existe evidencia médica que permita concluir que dichas patologías deben ser consideradas como asociadas al accidente.</w:t>
      </w:r>
    </w:p>
    <w:p w:rsidRPr="00B10F71" w:rsidR="00B10F71" w:rsidP="00B10F71" w:rsidRDefault="00B10F71" w14:paraId="09129209" w14:textId="77777777">
      <w:pPr>
        <w:jc w:val="both"/>
        <w:rPr>
          <w:rFonts w:ascii="Times New Roman" w:hAnsi="Times New Roman" w:cs="Times New Roman"/>
          <w:sz w:val="24"/>
          <w:szCs w:val="24"/>
          <w:lang w:val="es-PE"/>
        </w:rPr>
      </w:pPr>
    </w:p>
    <w:p w:rsidRPr="00B10F71" w:rsidR="00B10F71" w:rsidP="00B10F71" w:rsidRDefault="00B10F71" w14:paraId="28790F41" w14:textId="77777777">
      <w:pPr>
        <w:jc w:val="both"/>
        <w:rPr>
          <w:rFonts w:ascii="Times New Roman" w:hAnsi="Times New Roman" w:cs="Times New Roman"/>
          <w:sz w:val="24"/>
          <w:szCs w:val="24"/>
          <w:lang w:val="es-PE"/>
        </w:rPr>
      </w:pPr>
      <w:r w:rsidRPr="00B10F71">
        <w:rPr>
          <w:rFonts w:ascii="Times New Roman" w:hAnsi="Times New Roman" w:cs="Times New Roman"/>
          <w:sz w:val="24"/>
          <w:szCs w:val="24"/>
          <w:lang w:val="es-PE"/>
        </w:rPr>
        <w:t>En efecto, tal como se</w:t>
      </w:r>
      <w:r w:rsidRPr="00B10F71">
        <w:rPr>
          <w:rFonts w:ascii="Times New Roman" w:hAnsi="Times New Roman" w:cs="Times New Roman"/>
          <w:bCs/>
          <w:sz w:val="24"/>
          <w:szCs w:val="24"/>
          <w:lang w:val="es-PE"/>
        </w:rPr>
        <w:t xml:space="preserve"> desarrolla en los considerandos de la resolución en cuestión, el colegiado </w:t>
      </w:r>
      <w:r w:rsidRPr="00B10F71">
        <w:rPr>
          <w:rFonts w:ascii="Times New Roman" w:hAnsi="Times New Roman" w:cs="Times New Roman"/>
          <w:sz w:val="24"/>
          <w:szCs w:val="24"/>
          <w:lang w:val="es-PE"/>
        </w:rPr>
        <w:t>verificó que no está probada la causalidad:</w:t>
      </w:r>
    </w:p>
    <w:p w:rsidRPr="00B10F71" w:rsidR="00B10F71" w:rsidP="00B10F71" w:rsidRDefault="00B10F71" w14:paraId="474AFBFE" w14:textId="77777777">
      <w:pPr>
        <w:jc w:val="both"/>
        <w:rPr>
          <w:rFonts w:ascii="Times New Roman" w:hAnsi="Times New Roman" w:cs="Times New Roman"/>
          <w:sz w:val="24"/>
          <w:szCs w:val="24"/>
          <w:lang w:val="es-PE"/>
        </w:rPr>
      </w:pPr>
    </w:p>
    <w:p w:rsidRPr="00B10F71" w:rsidR="00B10F71" w:rsidP="00B10F71" w:rsidRDefault="00B10F71" w14:paraId="22B20EC6" w14:textId="77777777">
      <w:pPr>
        <w:autoSpaceDE w:val="0"/>
        <w:autoSpaceDN w:val="0"/>
        <w:adjustRightInd w:val="0"/>
        <w:ind w:left="708"/>
        <w:jc w:val="both"/>
        <w:rPr>
          <w:rFonts w:ascii="Times New Roman" w:hAnsi="Times New Roman" w:cs="Times New Roman"/>
          <w:i/>
          <w:iCs/>
          <w:color w:val="000000"/>
          <w:sz w:val="24"/>
          <w:szCs w:val="24"/>
          <w:lang w:val="es-PE" w:eastAsia="es-PE"/>
        </w:rPr>
      </w:pPr>
      <w:r w:rsidRPr="00B10F71">
        <w:rPr>
          <w:rFonts w:ascii="Times New Roman" w:hAnsi="Times New Roman" w:cs="Times New Roman"/>
          <w:i/>
          <w:iCs/>
          <w:color w:val="000000"/>
          <w:sz w:val="24"/>
          <w:szCs w:val="24"/>
          <w:lang w:val="es-PE" w:eastAsia="es-PE"/>
        </w:rPr>
        <w:t xml:space="preserve">“Resulta incuestionable que la causalidad entre daño y accidente debe ser probada, máxime cuando de manera posterior a la ocurrencia del accidente de tránsito se invoca una pretendida secuela, la misma que podría derivarse de una causa distinta a la del accidente. </w:t>
      </w:r>
    </w:p>
    <w:p w:rsidRPr="00B10F71" w:rsidR="00B10F71" w:rsidP="00B10F71" w:rsidRDefault="00B10F71" w14:paraId="23ED910E" w14:textId="77777777">
      <w:pPr>
        <w:autoSpaceDE w:val="0"/>
        <w:autoSpaceDN w:val="0"/>
        <w:adjustRightInd w:val="0"/>
        <w:ind w:left="708"/>
        <w:jc w:val="both"/>
        <w:rPr>
          <w:rFonts w:ascii="Times New Roman" w:hAnsi="Times New Roman" w:cs="Times New Roman"/>
          <w:i/>
          <w:iCs/>
          <w:color w:val="000000"/>
          <w:sz w:val="24"/>
          <w:szCs w:val="24"/>
          <w:lang w:val="es-PE" w:eastAsia="es-PE"/>
        </w:rPr>
      </w:pPr>
      <w:r w:rsidRPr="00B10F71">
        <w:rPr>
          <w:rFonts w:ascii="Times New Roman" w:hAnsi="Times New Roman" w:cs="Times New Roman"/>
          <w:i/>
          <w:iCs/>
          <w:color w:val="000000"/>
          <w:sz w:val="24"/>
          <w:szCs w:val="24"/>
          <w:lang w:val="es-PE" w:eastAsia="es-PE"/>
        </w:rPr>
        <w:lastRenderedPageBreak/>
        <w:t xml:space="preserve">Corresponde, en consecuencia, que la reclamante demuestre la causalidad entre la afectación que invoca y el accidente de tránsito ocurrido en su oportunidad (atendiendo además al tiempo transcurrido), accidente que en su oportunidad fue cubierto inmediatamente por la aseguradora. </w:t>
      </w:r>
    </w:p>
    <w:p w:rsidRPr="00B10F71" w:rsidR="00B10F71" w:rsidP="00B10F71" w:rsidRDefault="00B10F71" w14:paraId="6BE298BB" w14:textId="77777777">
      <w:pPr>
        <w:autoSpaceDE w:val="0"/>
        <w:autoSpaceDN w:val="0"/>
        <w:adjustRightInd w:val="0"/>
        <w:ind w:left="708"/>
        <w:jc w:val="both"/>
        <w:rPr>
          <w:rFonts w:ascii="Times New Roman" w:hAnsi="Times New Roman" w:cs="Times New Roman"/>
          <w:i/>
          <w:iCs/>
          <w:color w:val="000000"/>
          <w:sz w:val="24"/>
          <w:szCs w:val="24"/>
          <w:lang w:val="es-PE" w:eastAsia="es-PE"/>
        </w:rPr>
      </w:pPr>
      <w:r w:rsidRPr="00B10F71">
        <w:rPr>
          <w:rFonts w:ascii="Times New Roman" w:hAnsi="Times New Roman" w:cs="Times New Roman"/>
          <w:i/>
          <w:iCs/>
          <w:color w:val="000000"/>
          <w:sz w:val="24"/>
          <w:szCs w:val="24"/>
          <w:lang w:val="es-PE" w:eastAsia="es-PE"/>
        </w:rPr>
        <w:t>Dicha exigencia resulta consistente con la elemental carga probatoria que se asume al plantearse una reclamación, ya que debe acreditarse tanto el hecho positivo, en este caso, la afectación como la causalidad que daría título a la reclamación.</w:t>
      </w:r>
    </w:p>
    <w:p w:rsidRPr="00B10F71" w:rsidR="00B10F71" w:rsidP="00B10F71" w:rsidRDefault="00B10F71" w14:paraId="6F0A252F" w14:textId="77777777">
      <w:pPr>
        <w:autoSpaceDE w:val="0"/>
        <w:autoSpaceDN w:val="0"/>
        <w:adjustRightInd w:val="0"/>
        <w:ind w:left="708"/>
        <w:jc w:val="both"/>
        <w:rPr>
          <w:rFonts w:ascii="Times New Roman" w:hAnsi="Times New Roman" w:cs="Times New Roman"/>
          <w:i/>
          <w:iCs/>
          <w:color w:val="000000"/>
          <w:sz w:val="24"/>
          <w:szCs w:val="24"/>
          <w:lang w:val="es-PE" w:eastAsia="es-PE"/>
        </w:rPr>
      </w:pPr>
      <w:r w:rsidRPr="00B10F71">
        <w:rPr>
          <w:rFonts w:ascii="Times New Roman" w:hAnsi="Times New Roman" w:cs="Times New Roman"/>
          <w:i/>
          <w:iCs/>
          <w:sz w:val="24"/>
          <w:szCs w:val="24"/>
          <w:lang w:val="es-PE"/>
        </w:rPr>
        <w:t xml:space="preserve">En consecuencia, no es que se niegue la posibilidad de cobertura a una eventual secuela del accidente, sino que dicha secuela debe ser probada objetivamente, para evitar generar una cobertura </w:t>
      </w:r>
      <w:proofErr w:type="spellStart"/>
      <w:r w:rsidRPr="00B10F71">
        <w:rPr>
          <w:rFonts w:ascii="Times New Roman" w:hAnsi="Times New Roman" w:cs="Times New Roman"/>
          <w:i/>
          <w:iCs/>
          <w:sz w:val="24"/>
          <w:szCs w:val="24"/>
          <w:lang w:val="es-PE"/>
        </w:rPr>
        <w:t>incausada</w:t>
      </w:r>
      <w:proofErr w:type="spellEnd"/>
      <w:r w:rsidRPr="00B10F71">
        <w:rPr>
          <w:rFonts w:ascii="Times New Roman" w:hAnsi="Times New Roman" w:cs="Times New Roman"/>
          <w:i/>
          <w:iCs/>
          <w:sz w:val="24"/>
          <w:szCs w:val="24"/>
          <w:lang w:val="es-PE"/>
        </w:rPr>
        <w:t>.”</w:t>
      </w:r>
    </w:p>
    <w:p w:rsidRPr="00B10F71" w:rsidR="00B10F71" w:rsidP="00B10F71" w:rsidRDefault="00B10F71" w14:paraId="73416199" w14:textId="77777777">
      <w:pPr>
        <w:jc w:val="both"/>
        <w:rPr>
          <w:rFonts w:ascii="Times New Roman" w:hAnsi="Times New Roman" w:cs="Times New Roman"/>
          <w:sz w:val="24"/>
          <w:szCs w:val="24"/>
          <w:lang w:val="es-PE" w:eastAsia="ar-SA"/>
        </w:rPr>
      </w:pPr>
    </w:p>
    <w:p w:rsidRPr="00B10F71" w:rsidR="00B10F71" w:rsidP="00B10F71" w:rsidRDefault="00B10F71" w14:paraId="2E4A2F95" w14:textId="10825B08">
      <w:pPr>
        <w:jc w:val="both"/>
        <w:rPr>
          <w:rFonts w:ascii="Times New Roman" w:hAnsi="Times New Roman" w:cs="Times New Roman"/>
          <w:sz w:val="24"/>
          <w:szCs w:val="24"/>
          <w:lang w:val="es-PE"/>
        </w:rPr>
      </w:pPr>
      <w:r w:rsidRPr="42645638" w:rsidR="00B10F71">
        <w:rPr>
          <w:rFonts w:ascii="Times New Roman" w:hAnsi="Times New Roman" w:cs="Times New Roman"/>
          <w:sz w:val="24"/>
          <w:szCs w:val="24"/>
          <w:lang w:val="es-PE"/>
        </w:rPr>
        <w:t>En vía de impugnación la recurrente presente nueva prueba consistente en: (i) Informe de Electromiografía y velocidad de conducción; (</w:t>
      </w:r>
      <w:r w:rsidRPr="42645638" w:rsidR="00B10F71">
        <w:rPr>
          <w:rFonts w:ascii="Times New Roman" w:hAnsi="Times New Roman" w:cs="Times New Roman"/>
          <w:sz w:val="24"/>
          <w:szCs w:val="24"/>
          <w:lang w:val="es-PE"/>
        </w:rPr>
        <w:t>ii</w:t>
      </w:r>
      <w:r w:rsidRPr="42645638" w:rsidR="00B10F71">
        <w:rPr>
          <w:rFonts w:ascii="Times New Roman" w:hAnsi="Times New Roman" w:cs="Times New Roman"/>
          <w:sz w:val="24"/>
          <w:szCs w:val="24"/>
          <w:lang w:val="es-PE"/>
        </w:rPr>
        <w:t>) Dictamen por Incapacidad Temporal SOAT; (</w:t>
      </w:r>
      <w:r w:rsidRPr="42645638" w:rsidR="00B10F71">
        <w:rPr>
          <w:rFonts w:ascii="Times New Roman" w:hAnsi="Times New Roman" w:cs="Times New Roman"/>
          <w:sz w:val="24"/>
          <w:szCs w:val="24"/>
          <w:lang w:val="es-PE"/>
        </w:rPr>
        <w:t>iii</w:t>
      </w:r>
      <w:r w:rsidRPr="42645638" w:rsidR="00B10F71">
        <w:rPr>
          <w:rFonts w:ascii="Times New Roman" w:hAnsi="Times New Roman" w:cs="Times New Roman"/>
          <w:sz w:val="24"/>
          <w:szCs w:val="24"/>
          <w:lang w:val="es-PE"/>
        </w:rPr>
        <w:t xml:space="preserve">) Interconsulta </w:t>
      </w:r>
      <w:r w:rsidRPr="42645638" w:rsidR="3382DC77">
        <w:rPr>
          <w:rFonts w:ascii="Times New Roman" w:hAnsi="Times New Roman" w:cs="Times New Roman"/>
          <w:sz w:val="24"/>
          <w:szCs w:val="24"/>
          <w:lang w:val="es-PE"/>
        </w:rPr>
        <w:t>...........................</w:t>
      </w:r>
      <w:r w:rsidRPr="42645638" w:rsidR="00B10F71">
        <w:rPr>
          <w:rFonts w:ascii="Times New Roman" w:hAnsi="Times New Roman" w:cs="Times New Roman"/>
          <w:sz w:val="24"/>
          <w:szCs w:val="24"/>
          <w:lang w:val="es-PE"/>
        </w:rPr>
        <w:t>; y, (</w:t>
      </w:r>
      <w:r w:rsidRPr="42645638" w:rsidR="00B10F71">
        <w:rPr>
          <w:rFonts w:ascii="Times New Roman" w:hAnsi="Times New Roman" w:cs="Times New Roman"/>
          <w:sz w:val="24"/>
          <w:szCs w:val="24"/>
          <w:lang w:val="es-PE"/>
        </w:rPr>
        <w:t>iv</w:t>
      </w:r>
      <w:r w:rsidRPr="42645638" w:rsidR="00B10F71">
        <w:rPr>
          <w:rFonts w:ascii="Times New Roman" w:hAnsi="Times New Roman" w:cs="Times New Roman"/>
          <w:sz w:val="24"/>
          <w:szCs w:val="24"/>
          <w:lang w:val="es-PE"/>
        </w:rPr>
        <w:t>) Requerimiento del médico fisiatra.</w:t>
      </w:r>
    </w:p>
    <w:p w:rsidRPr="00B10F71" w:rsidR="00B10F71" w:rsidP="00B10F71" w:rsidRDefault="00B10F71" w14:paraId="6F102A7D" w14:textId="77777777">
      <w:pPr>
        <w:jc w:val="both"/>
        <w:rPr>
          <w:rFonts w:ascii="Times New Roman" w:hAnsi="Times New Roman" w:cs="Times New Roman"/>
          <w:sz w:val="24"/>
          <w:szCs w:val="24"/>
          <w:lang w:val="es-PE"/>
        </w:rPr>
      </w:pPr>
    </w:p>
    <w:p w:rsidRPr="00B10F71" w:rsidR="00B10F71" w:rsidP="00B10F71" w:rsidRDefault="00B10F71" w14:paraId="5A3AE290" w14:textId="77777777">
      <w:pPr>
        <w:jc w:val="both"/>
        <w:rPr>
          <w:rFonts w:ascii="Times New Roman" w:hAnsi="Times New Roman" w:cs="Times New Roman"/>
          <w:sz w:val="24"/>
          <w:szCs w:val="24"/>
          <w:lang w:val="es-PE"/>
        </w:rPr>
      </w:pPr>
      <w:r w:rsidRPr="00B10F71">
        <w:rPr>
          <w:rFonts w:ascii="Times New Roman" w:hAnsi="Times New Roman" w:cs="Times New Roman"/>
          <w:sz w:val="24"/>
          <w:szCs w:val="24"/>
          <w:lang w:val="es-PE"/>
        </w:rPr>
        <w:t>Al valorar la nueva prueba, esta Defensoría advierte que en ninguno de esos documentos se concluye que las patologías de la recurrente son consecuencia adecuada del accidente de tránsito.</w:t>
      </w:r>
    </w:p>
    <w:p w:rsidRPr="00B10F71" w:rsidR="00B10F71" w:rsidP="00B10F71" w:rsidRDefault="00B10F71" w14:paraId="2012908C" w14:textId="77777777">
      <w:pPr>
        <w:jc w:val="both"/>
        <w:rPr>
          <w:rFonts w:ascii="Times New Roman" w:hAnsi="Times New Roman" w:cs="Times New Roman"/>
          <w:sz w:val="24"/>
          <w:szCs w:val="24"/>
          <w:lang w:val="es-PE"/>
        </w:rPr>
      </w:pPr>
    </w:p>
    <w:p w:rsidRPr="00B10F71" w:rsidR="00B10F71" w:rsidP="00B10F71" w:rsidRDefault="00B10F71" w14:paraId="0340035C" w14:textId="77777777">
      <w:pPr>
        <w:jc w:val="both"/>
        <w:rPr>
          <w:rFonts w:ascii="Times New Roman" w:hAnsi="Times New Roman" w:cs="Times New Roman"/>
          <w:sz w:val="24"/>
          <w:szCs w:val="24"/>
          <w:lang w:val="es-PE"/>
        </w:rPr>
      </w:pPr>
      <w:r w:rsidRPr="00B10F71">
        <w:rPr>
          <w:rFonts w:ascii="Times New Roman" w:hAnsi="Times New Roman" w:cs="Times New Roman"/>
          <w:sz w:val="24"/>
          <w:szCs w:val="24"/>
          <w:lang w:val="es-PE"/>
        </w:rPr>
        <w:t xml:space="preserve">Es así que respecto del primero (i), se evidencian las dolencias y patologías </w:t>
      </w:r>
      <w:proofErr w:type="spellStart"/>
      <w:r w:rsidRPr="00B10F71">
        <w:rPr>
          <w:rFonts w:ascii="Times New Roman" w:hAnsi="Times New Roman" w:cs="Times New Roman"/>
          <w:sz w:val="24"/>
          <w:szCs w:val="24"/>
          <w:lang w:val="es-PE"/>
        </w:rPr>
        <w:t>dse</w:t>
      </w:r>
      <w:proofErr w:type="spellEnd"/>
      <w:r w:rsidRPr="00B10F71">
        <w:rPr>
          <w:rFonts w:ascii="Times New Roman" w:hAnsi="Times New Roman" w:cs="Times New Roman"/>
          <w:sz w:val="24"/>
          <w:szCs w:val="24"/>
          <w:lang w:val="es-PE"/>
        </w:rPr>
        <w:t xml:space="preserve"> la recurrente, sin </w:t>
      </w:r>
      <w:proofErr w:type="gramStart"/>
      <w:r w:rsidRPr="00B10F71">
        <w:rPr>
          <w:rFonts w:ascii="Times New Roman" w:hAnsi="Times New Roman" w:cs="Times New Roman"/>
          <w:sz w:val="24"/>
          <w:szCs w:val="24"/>
          <w:lang w:val="es-PE"/>
        </w:rPr>
        <w:t>embargo</w:t>
      </w:r>
      <w:proofErr w:type="gramEnd"/>
      <w:r w:rsidRPr="00B10F71">
        <w:rPr>
          <w:rFonts w:ascii="Times New Roman" w:hAnsi="Times New Roman" w:cs="Times New Roman"/>
          <w:sz w:val="24"/>
          <w:szCs w:val="24"/>
          <w:lang w:val="es-PE"/>
        </w:rPr>
        <w:t xml:space="preserve"> no se identifica una correlación con el accidente de tránsito.</w:t>
      </w:r>
    </w:p>
    <w:p w:rsidRPr="00B10F71" w:rsidR="00B10F71" w:rsidP="00B10F71" w:rsidRDefault="00B10F71" w14:paraId="49CD9240" w14:textId="77777777">
      <w:pPr>
        <w:jc w:val="both"/>
        <w:rPr>
          <w:rFonts w:ascii="Times New Roman" w:hAnsi="Times New Roman" w:cs="Times New Roman"/>
          <w:sz w:val="24"/>
          <w:szCs w:val="24"/>
          <w:lang w:val="es-PE"/>
        </w:rPr>
      </w:pPr>
    </w:p>
    <w:p w:rsidRPr="00B10F71" w:rsidR="00B10F71" w:rsidP="00B10F71" w:rsidRDefault="00B10F71" w14:paraId="6E707312" w14:textId="7ECC065C">
      <w:pPr>
        <w:jc w:val="both"/>
      </w:pPr>
      <w:r w:rsidR="6C8201CC">
        <w:rPr/>
        <w:t>.........................................................................................................................................................</w:t>
      </w:r>
    </w:p>
    <w:p w:rsidRPr="00B10F71" w:rsidR="00B10F71" w:rsidP="00B10F71" w:rsidRDefault="00B10F71" w14:paraId="6AFB77DE" w14:textId="77777777">
      <w:pPr>
        <w:jc w:val="both"/>
        <w:rPr>
          <w:rFonts w:ascii="Times New Roman" w:hAnsi="Times New Roman" w:cs="Times New Roman"/>
          <w:sz w:val="24"/>
          <w:szCs w:val="24"/>
          <w:lang w:val="es-PE"/>
        </w:rPr>
      </w:pPr>
    </w:p>
    <w:p w:rsidRPr="00B10F71" w:rsidR="00B10F71" w:rsidP="00B10F71" w:rsidRDefault="00B10F71" w14:paraId="4C326314" w14:textId="77777777">
      <w:pPr>
        <w:jc w:val="both"/>
        <w:rPr>
          <w:rFonts w:ascii="Times New Roman" w:hAnsi="Times New Roman" w:cs="Times New Roman"/>
          <w:sz w:val="24"/>
          <w:szCs w:val="24"/>
          <w:lang w:val="es-PE"/>
        </w:rPr>
      </w:pPr>
      <w:r w:rsidRPr="00B10F71">
        <w:rPr>
          <w:rFonts w:ascii="Times New Roman" w:hAnsi="Times New Roman" w:cs="Times New Roman"/>
          <w:sz w:val="24"/>
          <w:szCs w:val="24"/>
          <w:lang w:val="es-PE"/>
        </w:rPr>
        <w:t>Igualmente, en el documento (</w:t>
      </w:r>
      <w:proofErr w:type="spellStart"/>
      <w:r w:rsidRPr="00B10F71">
        <w:rPr>
          <w:rFonts w:ascii="Times New Roman" w:hAnsi="Times New Roman" w:cs="Times New Roman"/>
          <w:sz w:val="24"/>
          <w:szCs w:val="24"/>
          <w:lang w:val="es-PE"/>
        </w:rPr>
        <w:t>ii</w:t>
      </w:r>
      <w:proofErr w:type="spellEnd"/>
      <w:r w:rsidRPr="00B10F71">
        <w:rPr>
          <w:rFonts w:ascii="Times New Roman" w:hAnsi="Times New Roman" w:cs="Times New Roman"/>
          <w:sz w:val="24"/>
          <w:szCs w:val="24"/>
          <w:lang w:val="es-PE"/>
        </w:rPr>
        <w:t>) si bien se hace referencia al accidente e identifican las dolencias, no hay una correlación causal de las patologías con el accidente. No se advierte la cadena de razonamiento que permita concluir que existe causalidad entre los diagnósticos y el accidente de tránsito:</w:t>
      </w:r>
    </w:p>
    <w:p w:rsidRPr="00B10F71" w:rsidR="00B10F71" w:rsidP="42645638" w:rsidRDefault="00B10F71" w14:paraId="1148A830" w14:textId="4E8F6150">
      <w:pPr>
        <w:pStyle w:val="Normal"/>
        <w:jc w:val="both"/>
        <w:rPr>
          <w:rFonts w:ascii="Times New Roman" w:hAnsi="Times New Roman" w:cs="Times New Roman"/>
          <w:sz w:val="24"/>
          <w:szCs w:val="24"/>
          <w:lang w:val="es-PE"/>
        </w:rPr>
      </w:pPr>
      <w:r w:rsidRPr="42645638" w:rsidR="6ACFD327">
        <w:rPr>
          <w:rFonts w:ascii="Times New Roman" w:hAnsi="Times New Roman" w:cs="Times New Roman"/>
          <w:sz w:val="24"/>
          <w:szCs w:val="24"/>
          <w:lang w:val="es-PE"/>
        </w:rPr>
        <w:t>.............................................................................................................................................</w:t>
      </w:r>
    </w:p>
    <w:p w:rsidRPr="00B10F71" w:rsidR="00B10F71" w:rsidP="00B10F71" w:rsidRDefault="00B10F71" w14:paraId="2B68E51F" w14:textId="77777777">
      <w:pPr>
        <w:jc w:val="both"/>
        <w:rPr>
          <w:rFonts w:ascii="Times New Roman" w:hAnsi="Times New Roman" w:cs="Times New Roman"/>
          <w:sz w:val="24"/>
          <w:szCs w:val="24"/>
          <w:lang w:val="es-PE"/>
        </w:rPr>
      </w:pPr>
    </w:p>
    <w:p w:rsidRPr="00B10F71" w:rsidR="00B10F71" w:rsidP="00B10F71" w:rsidRDefault="00B10F71" w14:paraId="722AAC20" w14:textId="77777777">
      <w:pPr>
        <w:jc w:val="both"/>
        <w:rPr>
          <w:rFonts w:ascii="Times New Roman" w:hAnsi="Times New Roman" w:cs="Times New Roman"/>
          <w:sz w:val="24"/>
          <w:szCs w:val="24"/>
          <w:lang w:val="es-PE"/>
        </w:rPr>
      </w:pPr>
      <w:r w:rsidRPr="00B10F71">
        <w:rPr>
          <w:rFonts w:ascii="Times New Roman" w:hAnsi="Times New Roman" w:cs="Times New Roman"/>
          <w:sz w:val="24"/>
          <w:szCs w:val="24"/>
          <w:lang w:val="es-PE"/>
        </w:rPr>
        <w:t>En igual sentido, en los documentos (</w:t>
      </w:r>
      <w:proofErr w:type="spellStart"/>
      <w:r w:rsidRPr="00B10F71">
        <w:rPr>
          <w:rFonts w:ascii="Times New Roman" w:hAnsi="Times New Roman" w:cs="Times New Roman"/>
          <w:sz w:val="24"/>
          <w:szCs w:val="24"/>
          <w:lang w:val="es-PE"/>
        </w:rPr>
        <w:t>iii</w:t>
      </w:r>
      <w:proofErr w:type="spellEnd"/>
      <w:r w:rsidRPr="00B10F71">
        <w:rPr>
          <w:rFonts w:ascii="Times New Roman" w:hAnsi="Times New Roman" w:cs="Times New Roman"/>
          <w:sz w:val="24"/>
          <w:szCs w:val="24"/>
          <w:lang w:val="es-PE"/>
        </w:rPr>
        <w:t>) y (</w:t>
      </w:r>
      <w:proofErr w:type="spellStart"/>
      <w:r w:rsidRPr="00B10F71">
        <w:rPr>
          <w:rFonts w:ascii="Times New Roman" w:hAnsi="Times New Roman" w:cs="Times New Roman"/>
          <w:sz w:val="24"/>
          <w:szCs w:val="24"/>
          <w:lang w:val="es-PE"/>
        </w:rPr>
        <w:t>iv</w:t>
      </w:r>
      <w:proofErr w:type="spellEnd"/>
      <w:r w:rsidRPr="00B10F71">
        <w:rPr>
          <w:rFonts w:ascii="Times New Roman" w:hAnsi="Times New Roman" w:cs="Times New Roman"/>
          <w:sz w:val="24"/>
          <w:szCs w:val="24"/>
          <w:lang w:val="es-PE"/>
        </w:rPr>
        <w:t>) tampoco se identifica una atribución causal del accidente de tránsito con las lesiones que padece la recurrente:</w:t>
      </w:r>
    </w:p>
    <w:p w:rsidRPr="00B10F71" w:rsidR="00B10F71" w:rsidP="00B10F71" w:rsidRDefault="00B10F71" w14:paraId="6A1A4DF8" w14:textId="77777777">
      <w:pPr>
        <w:jc w:val="both"/>
        <w:rPr>
          <w:rFonts w:ascii="Times New Roman" w:hAnsi="Times New Roman" w:cs="Times New Roman"/>
          <w:sz w:val="24"/>
          <w:szCs w:val="24"/>
          <w:lang w:val="es-PE"/>
        </w:rPr>
      </w:pPr>
    </w:p>
    <w:p w:rsidRPr="00B10F71" w:rsidR="00B10F71" w:rsidP="00B10F71" w:rsidRDefault="00B10F71" w14:paraId="0E2E1729" w14:textId="09DC6D3C">
      <w:pPr>
        <w:jc w:val="both"/>
      </w:pPr>
      <w:r w:rsidR="315EFF66">
        <w:rPr/>
        <w:t>..............................................................................................................................................................</w:t>
      </w:r>
    </w:p>
    <w:p w:rsidRPr="00B10F71" w:rsidR="00B10F71" w:rsidP="42645638" w:rsidRDefault="00B10F71" w14:paraId="11425D43" w14:noSpellErr="1" w14:textId="6360938D">
      <w:pPr>
        <w:pStyle w:val="Normal"/>
        <w:jc w:val="both"/>
        <w:rPr>
          <w:rFonts w:ascii="Times New Roman" w:hAnsi="Times New Roman" w:cs="Times New Roman"/>
          <w:sz w:val="24"/>
          <w:szCs w:val="24"/>
          <w:lang w:val="es-PE"/>
        </w:rPr>
      </w:pPr>
    </w:p>
    <w:p w:rsidRPr="00B10F71" w:rsidR="00B10F71" w:rsidP="00B10F71" w:rsidRDefault="00B10F71" w14:paraId="3A008B3D" w14:textId="77777777">
      <w:pPr>
        <w:jc w:val="both"/>
        <w:rPr>
          <w:rFonts w:ascii="Times New Roman" w:hAnsi="Times New Roman" w:cs="Times New Roman"/>
          <w:sz w:val="24"/>
          <w:szCs w:val="24"/>
          <w:lang w:val="es-PE"/>
        </w:rPr>
      </w:pPr>
    </w:p>
    <w:p w:rsidRPr="00B10F71" w:rsidR="00B10F71" w:rsidP="00B10F71" w:rsidRDefault="00B10F71" w14:paraId="41EA69F8" w14:textId="77777777">
      <w:pPr>
        <w:jc w:val="both"/>
        <w:rPr>
          <w:rFonts w:ascii="Times New Roman" w:hAnsi="Times New Roman" w:cs="Times New Roman"/>
          <w:bCs/>
          <w:sz w:val="24"/>
          <w:szCs w:val="24"/>
          <w:lang w:val="es-ES"/>
        </w:rPr>
      </w:pPr>
      <w:r w:rsidRPr="00B10F71">
        <w:rPr>
          <w:rFonts w:ascii="Times New Roman" w:hAnsi="Times New Roman" w:cs="Times New Roman"/>
          <w:bCs/>
          <w:sz w:val="24"/>
          <w:szCs w:val="24"/>
          <w:lang w:val="es-PE"/>
        </w:rPr>
        <w:lastRenderedPageBreak/>
        <w:t xml:space="preserve">Atendiendo a lo anterior, el colegiado reitera su convicción que, de los antecedentes fácticos del caso, se verifica que </w:t>
      </w:r>
      <w:r w:rsidRPr="00B10F71">
        <w:rPr>
          <w:rFonts w:ascii="Times New Roman" w:hAnsi="Times New Roman" w:cs="Times New Roman"/>
          <w:sz w:val="24"/>
          <w:szCs w:val="24"/>
          <w:lang w:val="es-PE"/>
        </w:rPr>
        <w:t>no se cuentan con elementos de juicio razonables que permitan relacionar las patologías con el accidente bajo cobertura, por lo que</w:t>
      </w:r>
      <w:r w:rsidRPr="00B10F71">
        <w:rPr>
          <w:rFonts w:ascii="Times New Roman" w:hAnsi="Times New Roman" w:cs="Times New Roman"/>
          <w:bCs/>
          <w:sz w:val="24"/>
          <w:szCs w:val="24"/>
          <w:lang w:val="es-PE"/>
        </w:rPr>
        <w:t xml:space="preserve"> existen razones fundadas para estimar que el rechazo de cobertura es legítimo.</w:t>
      </w:r>
    </w:p>
    <w:p w:rsidRPr="00B10F71" w:rsidR="00B10F71" w:rsidP="00B10F71" w:rsidRDefault="00B10F71" w14:paraId="58F01B85" w14:textId="77777777">
      <w:pPr>
        <w:jc w:val="both"/>
        <w:rPr>
          <w:rFonts w:ascii="Times New Roman" w:hAnsi="Times New Roman" w:cs="Times New Roman"/>
          <w:bCs/>
          <w:sz w:val="24"/>
          <w:szCs w:val="24"/>
          <w:lang w:val="es-PE"/>
        </w:rPr>
      </w:pPr>
    </w:p>
    <w:p w:rsidRPr="00B10F71" w:rsidR="00B10F71" w:rsidP="00B10F71" w:rsidRDefault="00B10F71" w14:paraId="0E5CA1A6" w14:textId="77777777">
      <w:pPr>
        <w:jc w:val="both"/>
        <w:rPr>
          <w:rFonts w:ascii="Times New Roman" w:hAnsi="Times New Roman" w:cs="Times New Roman"/>
          <w:sz w:val="24"/>
          <w:szCs w:val="24"/>
          <w:lang w:val="es-PE"/>
        </w:rPr>
      </w:pPr>
      <w:r w:rsidRPr="00B10F71">
        <w:rPr>
          <w:rFonts w:ascii="Times New Roman" w:hAnsi="Times New Roman" w:cs="Times New Roman"/>
          <w:b/>
          <w:sz w:val="24"/>
          <w:szCs w:val="24"/>
          <w:u w:val="single"/>
          <w:lang w:val="es-PE"/>
        </w:rPr>
        <w:t>TERCERO</w:t>
      </w:r>
      <w:r w:rsidRPr="00B10F71">
        <w:rPr>
          <w:rFonts w:ascii="Times New Roman" w:hAnsi="Times New Roman" w:cs="Times New Roman"/>
          <w:b/>
          <w:sz w:val="24"/>
          <w:szCs w:val="24"/>
          <w:lang w:val="es-PE"/>
        </w:rPr>
        <w:t>:</w:t>
      </w:r>
      <w:r w:rsidRPr="00B10F71">
        <w:rPr>
          <w:rFonts w:ascii="Times New Roman" w:hAnsi="Times New Roman" w:cs="Times New Roman"/>
          <w:sz w:val="24"/>
          <w:szCs w:val="24"/>
          <w:lang w:val="es-PE"/>
        </w:rPr>
        <w:t xml:space="preserve"> En atención a las consideraciones precedentes, este colegiado aprecia finalmente que no existe mérito suficiente ni razón objetiva para revocar la resolución recurrida.</w:t>
      </w:r>
    </w:p>
    <w:p w:rsidRPr="00B10F71" w:rsidR="00B10F71" w:rsidP="00B10F71" w:rsidRDefault="00B10F71" w14:paraId="12B2191A" w14:textId="77777777">
      <w:pPr>
        <w:jc w:val="both"/>
        <w:rPr>
          <w:rFonts w:ascii="Times New Roman" w:hAnsi="Times New Roman" w:cs="Times New Roman"/>
          <w:sz w:val="24"/>
          <w:szCs w:val="24"/>
          <w:lang w:val="es-PE"/>
        </w:rPr>
      </w:pPr>
    </w:p>
    <w:p w:rsidRPr="00B10F71" w:rsidR="00B10F71" w:rsidP="00B10F71" w:rsidRDefault="00B10F71" w14:paraId="5579ABF9" w14:textId="77777777">
      <w:pPr>
        <w:jc w:val="both"/>
        <w:rPr>
          <w:rFonts w:ascii="Times New Roman" w:hAnsi="Times New Roman" w:cs="Times New Roman"/>
          <w:b/>
          <w:sz w:val="24"/>
          <w:szCs w:val="24"/>
          <w:lang w:val="es-PE"/>
        </w:rPr>
      </w:pPr>
      <w:r w:rsidRPr="00B10F71">
        <w:rPr>
          <w:rFonts w:ascii="Times New Roman" w:hAnsi="Times New Roman" w:cs="Times New Roman"/>
          <w:b/>
          <w:sz w:val="24"/>
          <w:szCs w:val="24"/>
          <w:lang w:val="es-PE"/>
        </w:rPr>
        <w:t>RESUELVE:</w:t>
      </w:r>
    </w:p>
    <w:p w:rsidRPr="00B10F71" w:rsidR="00B10F71" w:rsidP="00B10F71" w:rsidRDefault="00B10F71" w14:paraId="37C74BC5" w14:textId="77777777">
      <w:pPr>
        <w:jc w:val="both"/>
        <w:rPr>
          <w:rFonts w:ascii="Times New Roman" w:hAnsi="Times New Roman" w:cs="Times New Roman"/>
          <w:sz w:val="24"/>
          <w:szCs w:val="24"/>
          <w:lang w:val="es-PE"/>
        </w:rPr>
      </w:pPr>
    </w:p>
    <w:p w:rsidRPr="00B10F71" w:rsidR="00B10F71" w:rsidP="00B10F71" w:rsidRDefault="00B10F71" w14:paraId="73B29603" w14:textId="77777777">
      <w:pPr>
        <w:jc w:val="both"/>
        <w:rPr>
          <w:rFonts w:ascii="Times New Roman" w:hAnsi="Times New Roman" w:cs="Times New Roman"/>
          <w:sz w:val="24"/>
          <w:szCs w:val="24"/>
          <w:lang w:val="es-PE"/>
        </w:rPr>
      </w:pPr>
      <w:r w:rsidRPr="00B10F71">
        <w:rPr>
          <w:rFonts w:ascii="Times New Roman" w:hAnsi="Times New Roman" w:eastAsia="Arial Unicode MS" w:cs="Times New Roman"/>
          <w:b/>
          <w:sz w:val="24"/>
          <w:szCs w:val="24"/>
          <w:lang w:val="es-PE"/>
        </w:rPr>
        <w:t>Declarar INFUNDADO el recurso de impugnación interpuesto y, por consiguiente, CONFIRMAR la Resolución Nro. 043/22</w:t>
      </w:r>
      <w:r w:rsidRPr="00B10F71">
        <w:rPr>
          <w:rFonts w:ascii="Times New Roman" w:hAnsi="Times New Roman" w:cs="Times New Roman"/>
          <w:sz w:val="24"/>
          <w:szCs w:val="24"/>
          <w:lang w:val="es-PE"/>
        </w:rPr>
        <w:t>.</w:t>
      </w:r>
    </w:p>
    <w:p w:rsidRPr="00B10F71" w:rsidR="00670FBA" w:rsidP="00670FBA" w:rsidRDefault="00670FBA" w14:paraId="1E223B24" w14:textId="77777777">
      <w:pPr>
        <w:jc w:val="both"/>
        <w:rPr>
          <w:rFonts w:ascii="Times New Roman" w:hAnsi="Times New Roman" w:cs="Times New Roman"/>
          <w:b/>
          <w:sz w:val="24"/>
          <w:szCs w:val="24"/>
          <w:lang w:val="es-PE"/>
        </w:rPr>
      </w:pPr>
    </w:p>
    <w:p w:rsidRPr="00B10F71"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B10F71" w:rsidR="00C173A8" w:rsidP="00C173A8" w:rsidRDefault="00C173A8" w14:paraId="0EB0711B" w14:textId="7926CB36">
      <w:pPr>
        <w:suppressAutoHyphens/>
        <w:spacing w:after="0" w:line="240" w:lineRule="auto"/>
        <w:jc w:val="right"/>
        <w:outlineLvl w:val="0"/>
        <w:rPr>
          <w:rFonts w:ascii="Times New Roman" w:hAnsi="Times New Roman" w:eastAsia="Arial Unicode MS" w:cs="Times New Roman"/>
          <w:sz w:val="24"/>
          <w:szCs w:val="24"/>
          <w:lang w:val="es-PE" w:eastAsia="ar-SA"/>
        </w:rPr>
      </w:pPr>
      <w:r w:rsidRPr="00B10F71">
        <w:rPr>
          <w:rFonts w:ascii="Times New Roman" w:hAnsi="Times New Roman" w:eastAsia="Arial Unicode MS" w:cs="Times New Roman"/>
          <w:sz w:val="24"/>
          <w:szCs w:val="24"/>
          <w:lang w:val="es-PE" w:eastAsia="ar-SA"/>
        </w:rPr>
        <w:t xml:space="preserve">Lima, </w:t>
      </w:r>
      <w:r w:rsidRPr="00B10F71" w:rsidR="00B01C3A">
        <w:rPr>
          <w:rFonts w:ascii="Times New Roman" w:hAnsi="Times New Roman" w:eastAsia="Arial Unicode MS" w:cs="Times New Roman"/>
          <w:sz w:val="24"/>
          <w:szCs w:val="24"/>
          <w:lang w:val="es-PE" w:eastAsia="ar-SA"/>
        </w:rPr>
        <w:t>02</w:t>
      </w:r>
      <w:r w:rsidRPr="00B10F71">
        <w:rPr>
          <w:rFonts w:ascii="Times New Roman" w:hAnsi="Times New Roman" w:eastAsia="Arial Unicode MS" w:cs="Times New Roman"/>
          <w:sz w:val="24"/>
          <w:szCs w:val="24"/>
          <w:lang w:val="es-PE" w:eastAsia="ar-SA"/>
        </w:rPr>
        <w:t xml:space="preserve"> de </w:t>
      </w:r>
      <w:r w:rsidRPr="00B10F71" w:rsidR="00B01C3A">
        <w:rPr>
          <w:rFonts w:ascii="Times New Roman" w:hAnsi="Times New Roman" w:eastAsia="Arial Unicode MS" w:cs="Times New Roman"/>
          <w:sz w:val="24"/>
          <w:szCs w:val="24"/>
          <w:lang w:val="es-PE" w:eastAsia="ar-SA"/>
        </w:rPr>
        <w:t>mayo</w:t>
      </w:r>
      <w:r w:rsidRPr="00B10F71">
        <w:rPr>
          <w:rFonts w:ascii="Times New Roman" w:hAnsi="Times New Roman" w:eastAsia="Arial Unicode MS" w:cs="Times New Roman"/>
          <w:sz w:val="24"/>
          <w:szCs w:val="24"/>
          <w:lang w:val="es-PE" w:eastAsia="ar-SA"/>
        </w:rPr>
        <w:t xml:space="preserve"> de 2022</w:t>
      </w:r>
      <w:r w:rsidRPr="00B10F71">
        <w:rPr>
          <w:rFonts w:ascii="Times New Roman" w:hAnsi="Times New Roman" w:eastAsia="Times New Roman" w:cs="Times New Roman"/>
          <w:sz w:val="24"/>
          <w:szCs w:val="24"/>
          <w:lang w:val="es-PE" w:eastAsia="ar-SA"/>
        </w:rPr>
        <w:t xml:space="preserve"> </w:t>
      </w:r>
    </w:p>
    <w:p w:rsidRPr="00B10F71"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B10F71"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10F71"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B10F7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10F71"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B10F71" w:rsidR="00C173A8" w:rsidP="00C173A8" w:rsidRDefault="00C173A8" w14:paraId="52AD041F" w14:textId="77777777">
      <w:pPr>
        <w:spacing w:after="0" w:line="360" w:lineRule="auto"/>
        <w:jc w:val="center"/>
        <w:rPr>
          <w:rFonts w:ascii="Times New Roman" w:hAnsi="Times New Roman" w:cs="Times New Roman"/>
          <w:b/>
          <w:bCs/>
          <w:sz w:val="24"/>
          <w:szCs w:val="24"/>
          <w:lang w:val="es-PE"/>
        </w:rPr>
      </w:pPr>
      <w:r w:rsidRPr="00B10F71">
        <w:rPr>
          <w:rFonts w:ascii="Times New Roman" w:hAnsi="Times New Roman" w:cs="Times New Roman"/>
          <w:b/>
          <w:bCs/>
          <w:sz w:val="24"/>
          <w:szCs w:val="24"/>
          <w:lang w:val="es-PE"/>
        </w:rPr>
        <w:t xml:space="preserve">María Eugenia Valdez Fernández Baca – </w:t>
      </w:r>
      <w:proofErr w:type="gramStart"/>
      <w:r w:rsidRPr="00B10F71">
        <w:rPr>
          <w:rFonts w:ascii="Times New Roman" w:hAnsi="Times New Roman" w:cs="Times New Roman"/>
          <w:b/>
          <w:bCs/>
          <w:sz w:val="24"/>
          <w:szCs w:val="24"/>
          <w:lang w:val="es-PE"/>
        </w:rPr>
        <w:t>Presidente</w:t>
      </w:r>
      <w:proofErr w:type="gramEnd"/>
    </w:p>
    <w:p w:rsidRPr="00B10F71"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B10F71">
        <w:rPr>
          <w:rFonts w:ascii="Times New Roman" w:hAnsi="Times New Roman" w:cs="Times New Roman"/>
          <w:b/>
          <w:bCs/>
          <w:sz w:val="24"/>
          <w:szCs w:val="24"/>
          <w:lang w:val="es-PE"/>
        </w:rPr>
        <w:t xml:space="preserve">Rolando Eyzaguirre </w:t>
      </w:r>
      <w:proofErr w:type="spellStart"/>
      <w:r w:rsidRPr="00B10F71">
        <w:rPr>
          <w:rFonts w:ascii="Times New Roman" w:hAnsi="Times New Roman" w:cs="Times New Roman"/>
          <w:b/>
          <w:bCs/>
          <w:sz w:val="24"/>
          <w:szCs w:val="24"/>
          <w:lang w:val="es-PE"/>
        </w:rPr>
        <w:t>Maccan</w:t>
      </w:r>
      <w:proofErr w:type="spellEnd"/>
      <w:r w:rsidRPr="00B10F71">
        <w:rPr>
          <w:rFonts w:ascii="Times New Roman" w:hAnsi="Times New Roman" w:cs="Times New Roman"/>
          <w:b/>
          <w:bCs/>
          <w:sz w:val="24"/>
          <w:szCs w:val="24"/>
          <w:lang w:val="es-PE"/>
        </w:rPr>
        <w:t xml:space="preserve"> - Vocal</w:t>
      </w:r>
    </w:p>
    <w:p w:rsidRPr="00B10F71" w:rsidR="00C173A8" w:rsidP="00C173A8" w:rsidRDefault="00C173A8" w14:paraId="2AA1E32A" w14:textId="77777777">
      <w:pPr>
        <w:spacing w:after="0" w:line="360" w:lineRule="auto"/>
        <w:jc w:val="center"/>
        <w:rPr>
          <w:rFonts w:ascii="Times New Roman" w:hAnsi="Times New Roman" w:cs="Times New Roman"/>
          <w:b/>
          <w:bCs/>
          <w:sz w:val="24"/>
          <w:szCs w:val="24"/>
          <w:lang w:val="es-PE"/>
        </w:rPr>
      </w:pPr>
      <w:r w:rsidRPr="00B10F71">
        <w:rPr>
          <w:rFonts w:ascii="Times New Roman" w:hAnsi="Times New Roman" w:cs="Times New Roman"/>
          <w:b/>
          <w:bCs/>
          <w:sz w:val="24"/>
          <w:szCs w:val="24"/>
          <w:lang w:val="es-PE"/>
        </w:rPr>
        <w:t>Marco Antonio Ortega Piana – Vocal</w:t>
      </w:r>
    </w:p>
    <w:p w:rsidRPr="00B10F71"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B10F71">
        <w:rPr>
          <w:rFonts w:ascii="Times New Roman" w:hAnsi="Times New Roman" w:cs="Times New Roman"/>
          <w:b/>
          <w:bCs/>
          <w:sz w:val="24"/>
          <w:szCs w:val="24"/>
          <w:lang w:val="es-PE"/>
        </w:rPr>
        <w:t>Gonzalo Abad del Busto – Vocal</w:t>
      </w:r>
    </w:p>
    <w:p w:rsidRPr="00B10F71"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B10F7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B10F71" w:rsidR="00C671F5" w:rsidSect="00077B6F">
      <w:headerReference w:type="default" r:id="rId13"/>
      <w:footerReference w:type="defaul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71671" w:rsidP="00784355" w:rsidRDefault="00871671" w14:paraId="1CA592EA" w14:textId="77777777">
      <w:pPr>
        <w:spacing w:after="0" w:line="240" w:lineRule="auto"/>
      </w:pPr>
      <w:r>
        <w:separator/>
      </w:r>
    </w:p>
  </w:endnote>
  <w:endnote w:type="continuationSeparator" w:id="0">
    <w:p w:rsidR="00871671" w:rsidP="00784355" w:rsidRDefault="00871671" w14:paraId="3E019E3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71671" w:rsidP="00784355" w:rsidRDefault="00871671" w14:paraId="1B195B48" w14:textId="77777777">
      <w:pPr>
        <w:spacing w:after="0" w:line="240" w:lineRule="auto"/>
      </w:pPr>
      <w:r>
        <w:separator/>
      </w:r>
    </w:p>
  </w:footnote>
  <w:footnote w:type="continuationSeparator" w:id="0">
    <w:p w:rsidR="00871671" w:rsidP="00784355" w:rsidRDefault="00871671" w14:paraId="558C1AE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8"/>
  </w:num>
  <w:num w:numId="3" w16cid:durableId="760956054">
    <w:abstractNumId w:val="5"/>
  </w:num>
  <w:num w:numId="4" w16cid:durableId="1079518208">
    <w:abstractNumId w:val="4"/>
  </w:num>
  <w:num w:numId="5" w16cid:durableId="1198003566">
    <w:abstractNumId w:val="6"/>
  </w:num>
  <w:num w:numId="6" w16cid:durableId="1607540339">
    <w:abstractNumId w:val="0"/>
  </w:num>
  <w:num w:numId="7" w16cid:durableId="1490902120">
    <w:abstractNumId w:val="9"/>
  </w:num>
  <w:num w:numId="8" w16cid:durableId="615214413">
    <w:abstractNumId w:val="10"/>
  </w:num>
  <w:num w:numId="9" w16cid:durableId="10181194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4DBD"/>
    <w:rsid w:val="000365E3"/>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DCE"/>
    <w:rsid w:val="00187BFD"/>
    <w:rsid w:val="001950B9"/>
    <w:rsid w:val="0019649B"/>
    <w:rsid w:val="001A008A"/>
    <w:rsid w:val="001A3395"/>
    <w:rsid w:val="001A44E1"/>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4F5A49"/>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671"/>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08B"/>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8773E"/>
    <w:rsid w:val="00E9734F"/>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7788A"/>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062AD988"/>
    <w:rsid w:val="063C054B"/>
    <w:rsid w:val="110E3766"/>
    <w:rsid w:val="19B5FE9D"/>
    <w:rsid w:val="2B3C4B17"/>
    <w:rsid w:val="2E11DEDB"/>
    <w:rsid w:val="315EFF66"/>
    <w:rsid w:val="3382DC77"/>
    <w:rsid w:val="33BDE14E"/>
    <w:rsid w:val="42645638"/>
    <w:rsid w:val="45262313"/>
    <w:rsid w:val="4ABC0320"/>
    <w:rsid w:val="52442275"/>
    <w:rsid w:val="5882D389"/>
    <w:rsid w:val="5D73B85A"/>
    <w:rsid w:val="6ACFD327"/>
    <w:rsid w:val="6C8201CC"/>
    <w:rsid w:val="6F750AB0"/>
    <w:rsid w:val="72677AF2"/>
    <w:rsid w:val="7F4B4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5605331-F06F-441A-98A1-5212C29EB28E}"/>
</file>

<file path=customXml/itemProps3.xml><?xml version="1.0" encoding="utf-8"?>
<ds:datastoreItem xmlns:ds="http://schemas.openxmlformats.org/officeDocument/2006/customXml" ds:itemID="{72E1DDF7-2664-42D1-B40B-7E7EFDEE1303}"/>
</file>

<file path=customXml/itemProps4.xml><?xml version="1.0" encoding="utf-8"?>
<ds:datastoreItem xmlns:ds="http://schemas.openxmlformats.org/officeDocument/2006/customXml" ds:itemID="{4BC245C6-873C-4A8C-AB63-35A46CB6C3A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96</cp:revision>
  <cp:lastPrinted>2022-05-03T14:15:00Z</cp:lastPrinted>
  <dcterms:created xsi:type="dcterms:W3CDTF">2020-12-18T20:17:00Z</dcterms:created>
  <dcterms:modified xsi:type="dcterms:W3CDTF">2025-11-26T21:26:38Z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