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41B86" w:rsidR="00B10F71" w:rsidP="00041B86" w:rsidRDefault="00201C0D" w14:paraId="51974F0B" w14:textId="1C14DBDE">
      <w:pPr>
        <w:spacing w:after="0" w:line="240" w:lineRule="auto"/>
        <w:jc w:val="center"/>
        <w:rPr>
          <w:rFonts w:ascii="Times New Roman" w:hAnsi="Times New Roman" w:cs="Times New Roman"/>
          <w:b/>
          <w:sz w:val="24"/>
          <w:szCs w:val="24"/>
          <w:lang w:val="es-PE" w:eastAsia="ar-SA"/>
        </w:rPr>
      </w:pPr>
      <w:r w:rsidRPr="00041B86">
        <w:rPr>
          <w:rFonts w:ascii="Times New Roman" w:hAnsi="Times New Roman" w:cs="Times New Roman"/>
          <w:b/>
          <w:sz w:val="24"/>
          <w:szCs w:val="24"/>
          <w:lang w:val="es-PE" w:eastAsia="ar-SA"/>
        </w:rPr>
        <w:t xml:space="preserve">RESOLUCIÓN DE RECURSO IMPUGNATIVO </w:t>
      </w:r>
      <w:proofErr w:type="spellStart"/>
      <w:r w:rsidRPr="00041B86" w:rsidR="00707C99">
        <w:rPr>
          <w:rFonts w:ascii="Times New Roman" w:hAnsi="Times New Roman" w:cs="Times New Roman"/>
          <w:b/>
          <w:sz w:val="24"/>
          <w:szCs w:val="24"/>
          <w:lang w:val="es-PE" w:eastAsia="ar-SA"/>
        </w:rPr>
        <w:t>N°</w:t>
      </w:r>
      <w:proofErr w:type="spellEnd"/>
      <w:r w:rsidRPr="00041B86" w:rsidR="00707C99">
        <w:rPr>
          <w:rFonts w:ascii="Times New Roman" w:hAnsi="Times New Roman" w:cs="Times New Roman"/>
          <w:b/>
          <w:sz w:val="24"/>
          <w:szCs w:val="24"/>
          <w:lang w:val="es-PE" w:eastAsia="ar-SA"/>
        </w:rPr>
        <w:t xml:space="preserve"> </w:t>
      </w:r>
      <w:r w:rsidRPr="00041B86" w:rsidR="00C671F5">
        <w:rPr>
          <w:rFonts w:ascii="Times New Roman" w:hAnsi="Times New Roman" w:cs="Times New Roman"/>
          <w:b/>
          <w:sz w:val="24"/>
          <w:szCs w:val="24"/>
          <w:lang w:val="es-PE" w:eastAsia="ar-SA"/>
        </w:rPr>
        <w:t>0</w:t>
      </w:r>
      <w:r w:rsidRPr="00041B86" w:rsidR="0009634E">
        <w:rPr>
          <w:rFonts w:ascii="Times New Roman" w:hAnsi="Times New Roman" w:cs="Times New Roman"/>
          <w:b/>
          <w:sz w:val="24"/>
          <w:szCs w:val="24"/>
          <w:lang w:val="es-PE" w:eastAsia="ar-SA"/>
        </w:rPr>
        <w:t>2</w:t>
      </w:r>
      <w:r w:rsidR="00BB40EE">
        <w:rPr>
          <w:rFonts w:ascii="Times New Roman" w:hAnsi="Times New Roman" w:cs="Times New Roman"/>
          <w:b/>
          <w:sz w:val="24"/>
          <w:szCs w:val="24"/>
          <w:lang w:val="es-PE" w:eastAsia="ar-SA"/>
        </w:rPr>
        <w:t>9</w:t>
      </w:r>
      <w:r w:rsidRPr="00041B86" w:rsidR="00C671F5">
        <w:rPr>
          <w:rFonts w:ascii="Times New Roman" w:hAnsi="Times New Roman" w:cs="Times New Roman"/>
          <w:b/>
          <w:sz w:val="24"/>
          <w:szCs w:val="24"/>
          <w:lang w:val="es-PE" w:eastAsia="ar-SA"/>
        </w:rPr>
        <w:t>/2</w:t>
      </w:r>
      <w:r w:rsidRPr="00041B86" w:rsidR="00B93C7A">
        <w:rPr>
          <w:rFonts w:ascii="Times New Roman" w:hAnsi="Times New Roman" w:cs="Times New Roman"/>
          <w:b/>
          <w:sz w:val="24"/>
          <w:szCs w:val="24"/>
          <w:lang w:val="es-PE" w:eastAsia="ar-SA"/>
        </w:rPr>
        <w:t>2</w:t>
      </w:r>
    </w:p>
    <w:p w:rsidRPr="00041B86" w:rsidR="00041B86" w:rsidP="00041B86" w:rsidRDefault="00041B86" w14:paraId="7C72FA3D" w14:textId="77777777">
      <w:pPr>
        <w:spacing w:after="0" w:line="240" w:lineRule="auto"/>
        <w:jc w:val="center"/>
        <w:rPr>
          <w:rFonts w:ascii="Times New Roman" w:hAnsi="Times New Roman" w:cs="Times New Roman"/>
          <w:b/>
          <w:sz w:val="24"/>
          <w:szCs w:val="24"/>
          <w:lang w:val="es-PE" w:eastAsia="ar-SA"/>
        </w:rPr>
      </w:pPr>
    </w:p>
    <w:p w:rsidRPr="001B1998" w:rsidR="001B1998" w:rsidP="001B1998" w:rsidRDefault="001B1998" w14:paraId="0EF0E2E3" w14:textId="77777777">
      <w:pPr>
        <w:spacing w:after="0" w:line="240" w:lineRule="auto"/>
        <w:jc w:val="both"/>
        <w:rPr>
          <w:rFonts w:ascii="Times New Roman" w:hAnsi="Times New Roman" w:cs="Times New Roman"/>
          <w:sz w:val="24"/>
          <w:szCs w:val="24"/>
          <w:lang w:val="es-PE"/>
        </w:rPr>
      </w:pPr>
      <w:r w:rsidRPr="001B1998">
        <w:rPr>
          <w:rFonts w:ascii="Times New Roman" w:hAnsi="Times New Roman" w:cs="Times New Roman"/>
          <w:b/>
          <w:sz w:val="24"/>
          <w:szCs w:val="24"/>
          <w:lang w:val="es-PE"/>
        </w:rPr>
        <w:t xml:space="preserve">Vistos: </w:t>
      </w:r>
    </w:p>
    <w:p w:rsidRPr="001B1998" w:rsidR="001B1998" w:rsidP="001B1998" w:rsidRDefault="001B1998" w14:paraId="4A3CDD7B" w14:textId="77777777">
      <w:pPr>
        <w:spacing w:after="0" w:line="240" w:lineRule="auto"/>
        <w:jc w:val="both"/>
        <w:rPr>
          <w:rFonts w:ascii="Times New Roman" w:hAnsi="Times New Roman" w:cs="Times New Roman"/>
          <w:sz w:val="24"/>
          <w:szCs w:val="24"/>
          <w:lang w:val="es-PE"/>
        </w:rPr>
      </w:pPr>
    </w:p>
    <w:p w:rsidRPr="001B1998" w:rsidR="001B1998" w:rsidP="001B1998" w:rsidRDefault="001B1998" w14:paraId="1C09884F" w14:textId="11DE8147">
      <w:pPr>
        <w:spacing w:line="240" w:lineRule="auto"/>
        <w:jc w:val="both"/>
        <w:rPr>
          <w:rFonts w:ascii="Times New Roman" w:hAnsi="Times New Roman" w:cs="Times New Roman"/>
          <w:sz w:val="24"/>
          <w:szCs w:val="24"/>
          <w:lang w:val="es-PE"/>
        </w:rPr>
      </w:pPr>
      <w:r w:rsidRPr="2DC3E836" w:rsidR="001B1998">
        <w:rPr>
          <w:rFonts w:ascii="Times New Roman" w:hAnsi="Times New Roman" w:cs="Times New Roman"/>
          <w:sz w:val="24"/>
          <w:szCs w:val="24"/>
          <w:lang w:val="es-PE"/>
        </w:rPr>
        <w:t xml:space="preserve">El Recurso Impugnativo presentado el 11 de abril de 2022 por </w:t>
      </w:r>
      <w:r w:rsidRPr="2DC3E836" w:rsidR="2A9BF365">
        <w:rPr>
          <w:rFonts w:ascii="Times New Roman" w:hAnsi="Times New Roman" w:cs="Times New Roman"/>
          <w:b w:val="1"/>
          <w:bCs w:val="1"/>
          <w:sz w:val="24"/>
          <w:szCs w:val="24"/>
          <w:lang w:val="es-PE"/>
        </w:rPr>
        <w:t>......................................</w:t>
      </w:r>
      <w:r w:rsidRPr="2DC3E836" w:rsidR="001B1998">
        <w:rPr>
          <w:rFonts w:ascii="Times New Roman" w:hAnsi="Times New Roman" w:cs="Times New Roman"/>
          <w:b w:val="1"/>
          <w:bCs w:val="1"/>
          <w:sz w:val="24"/>
          <w:szCs w:val="24"/>
          <w:lang w:val="es-PE"/>
        </w:rPr>
        <w:t>,</w:t>
      </w:r>
      <w:r w:rsidRPr="2DC3E836" w:rsidR="001B1998">
        <w:rPr>
          <w:rFonts w:ascii="Times New Roman" w:hAnsi="Times New Roman" w:cs="Times New Roman"/>
          <w:sz w:val="24"/>
          <w:szCs w:val="24"/>
          <w:lang w:val="es-PE"/>
        </w:rPr>
        <w:t xml:space="preserve"> respecto de la Resolución </w:t>
      </w:r>
      <w:r w:rsidRPr="2DC3E836" w:rsidR="001B1998">
        <w:rPr>
          <w:rFonts w:ascii="Times New Roman" w:hAnsi="Times New Roman" w:cs="Times New Roman"/>
          <w:sz w:val="24"/>
          <w:szCs w:val="24"/>
          <w:lang w:val="es-PE"/>
        </w:rPr>
        <w:t>N°</w:t>
      </w:r>
      <w:r w:rsidRPr="2DC3E836" w:rsidR="001B1998">
        <w:rPr>
          <w:rFonts w:ascii="Times New Roman" w:hAnsi="Times New Roman" w:cs="Times New Roman"/>
          <w:sz w:val="24"/>
          <w:szCs w:val="24"/>
          <w:lang w:val="es-PE"/>
        </w:rPr>
        <w:t xml:space="preserve"> 073/22 de fecha 04 de abril de 2022 emitida por esta Defensoría del Asegurado (DEFASEG) que declaró INFUNDADA la reclamación interpuesta, sobre sobre otorgamiento de cobertura al siniestro ocurrido bajo la Póliza de Seguro de Vehículos contratada</w:t>
      </w:r>
    </w:p>
    <w:p w:rsidRPr="001B1998" w:rsidR="001B1998" w:rsidP="001B1998" w:rsidRDefault="001B1998" w14:paraId="34BF0342" w14:textId="167BBAD0">
      <w:pPr>
        <w:spacing w:line="240" w:lineRule="auto"/>
        <w:jc w:val="both"/>
        <w:rPr>
          <w:rFonts w:ascii="Times New Roman" w:hAnsi="Times New Roman" w:cs="Times New Roman"/>
          <w:sz w:val="24"/>
          <w:szCs w:val="24"/>
          <w:lang w:val="es-PE"/>
        </w:rPr>
      </w:pPr>
      <w:r w:rsidRPr="2DC3E836" w:rsidR="001B1998">
        <w:rPr>
          <w:rFonts w:ascii="Times New Roman" w:hAnsi="Times New Roman" w:cs="Times New Roman"/>
          <w:sz w:val="24"/>
          <w:szCs w:val="24"/>
          <w:lang w:val="es-PE"/>
        </w:rPr>
        <w:t xml:space="preserve">Que el señalado Recurso Impugnativo se fundamenta resumidamente en lo siguiente: 1) Que, el colegiado no aclara si sigue considerando que las dos declaraciones que se mencionan han sido efectuadas por el señor </w:t>
      </w:r>
      <w:r w:rsidRPr="2DC3E836" w:rsidR="4E6E4E29">
        <w:rPr>
          <w:rFonts w:ascii="Times New Roman" w:hAnsi="Times New Roman" w:cs="Times New Roman"/>
          <w:sz w:val="24"/>
          <w:szCs w:val="24"/>
          <w:lang w:val="es-PE"/>
        </w:rPr>
        <w:t>.............................</w:t>
      </w:r>
      <w:r w:rsidRPr="2DC3E836" w:rsidR="001B1998">
        <w:rPr>
          <w:rFonts w:ascii="Times New Roman" w:hAnsi="Times New Roman" w:cs="Times New Roman"/>
          <w:sz w:val="24"/>
          <w:szCs w:val="24"/>
          <w:lang w:val="es-PE"/>
        </w:rPr>
        <w:t>, limitándose a exponer que “</w:t>
      </w:r>
      <w:r w:rsidRPr="2DC3E836" w:rsidR="001B1998">
        <w:rPr>
          <w:rFonts w:ascii="Times New Roman" w:hAnsi="Times New Roman" w:cs="Times New Roman"/>
          <w:sz w:val="24"/>
          <w:szCs w:val="24"/>
          <w:lang w:val="es-PE"/>
        </w:rPr>
        <w:t>en razón de</w:t>
      </w:r>
      <w:r w:rsidRPr="2DC3E836" w:rsidR="001B1998">
        <w:rPr>
          <w:rFonts w:ascii="Times New Roman" w:hAnsi="Times New Roman" w:cs="Times New Roman"/>
          <w:sz w:val="24"/>
          <w:szCs w:val="24"/>
          <w:lang w:val="es-PE"/>
        </w:rPr>
        <w:t xml:space="preserve"> que ambas declaraciones mencionan causas diferentes y contradictorias, sobre la ocurrencia del siniestro, que devienen en declaraciones fraudulentas. 2) Que, no existen dos declaraciones del señor </w:t>
      </w:r>
      <w:r w:rsidRPr="2DC3E836" w:rsidR="4E6E4E29">
        <w:rPr>
          <w:rFonts w:ascii="Times New Roman" w:hAnsi="Times New Roman" w:cs="Times New Roman"/>
          <w:sz w:val="24"/>
          <w:szCs w:val="24"/>
          <w:lang w:val="es-PE"/>
        </w:rPr>
        <w:t>.............................</w:t>
      </w:r>
      <w:r w:rsidRPr="2DC3E836" w:rsidR="001B1998">
        <w:rPr>
          <w:rFonts w:ascii="Times New Roman" w:hAnsi="Times New Roman" w:cs="Times New Roman"/>
          <w:sz w:val="24"/>
          <w:szCs w:val="24"/>
          <w:lang w:val="es-PE"/>
        </w:rPr>
        <w:t xml:space="preserve">, pues como se puede apreciar, solo existe una declaración que es la que consta en el reporte a la central de emergencia. 3) Que, la segunda declaración no es tal, es la versión que refiere el efectivo policial al redactar su informe y no cita ni refiere a alguna manifestación del señor </w:t>
      </w:r>
      <w:r w:rsidRPr="2DC3E836" w:rsidR="0F75AF94">
        <w:rPr>
          <w:rFonts w:ascii="Times New Roman" w:hAnsi="Times New Roman" w:cs="Times New Roman"/>
          <w:sz w:val="24"/>
          <w:szCs w:val="24"/>
          <w:lang w:val="es-PE"/>
        </w:rPr>
        <w:t>.............................</w:t>
      </w:r>
      <w:r w:rsidRPr="2DC3E836" w:rsidR="001B1998">
        <w:rPr>
          <w:rFonts w:ascii="Times New Roman" w:hAnsi="Times New Roman" w:cs="Times New Roman"/>
          <w:sz w:val="24"/>
          <w:szCs w:val="24"/>
          <w:lang w:val="es-PE"/>
        </w:rPr>
        <w:t xml:space="preserve">. 4) Que, el asegurado discrepa del razonamiento del tribunal de considerar las declaraciones como contradictorias y por lo tanto fraudulentas. Al respecto, el término contradicción se refiere, de acuerdo con la RAE) a la acción de contradecir, lo que a su vez significa con relación a personas decir lo contrario de lo que otra afirma o negar lo que da, por cierto; por otro lado, el término fraudulento, también según la RAE, se refiere a lo engañoso, falaz, es decir falso. 5) Que, de acuerdo con ello, estas declaraciones o versiones no son ni contradictorias ni fraudulentas, ya que la segunda versión no contradice la primera, sino que añade un factor climático, (la lluvia) y uno geográfico (la curva) sin negar o decir lo contrario a la primera, significando además que ninguna da por falsa a la otra por lo que tampoco puede considerarse fraudulenta. Que, en cualquiera de los dos casos, ambas versiones describen con diferente detalle un mismo hecho, el despiste y colisión del vehículo contra la vivienda, que es el hecho central y materia del reclamo al seguro y de ninguna forme perjudica el derecho de la aseguradora las reales causas y responsabilidades del siniestro ocurrido. 6) Que, respecto a la segunda causal de rechazo, el acuerdo a que llegó el señor </w:t>
      </w:r>
      <w:r w:rsidRPr="2DC3E836" w:rsidR="4E6E4E29">
        <w:rPr>
          <w:rFonts w:ascii="Times New Roman" w:hAnsi="Times New Roman" w:cs="Times New Roman"/>
          <w:sz w:val="24"/>
          <w:szCs w:val="24"/>
          <w:lang w:val="es-PE"/>
        </w:rPr>
        <w:t>.............................</w:t>
      </w:r>
      <w:r w:rsidRPr="2DC3E836" w:rsidR="001B1998">
        <w:rPr>
          <w:rFonts w:ascii="Times New Roman" w:hAnsi="Times New Roman" w:cs="Times New Roman"/>
          <w:sz w:val="24"/>
          <w:szCs w:val="24"/>
          <w:lang w:val="es-PE"/>
        </w:rPr>
        <w:t xml:space="preserve"> </w:t>
      </w:r>
      <w:r w:rsidRPr="2DC3E836" w:rsidR="001B1998">
        <w:rPr>
          <w:rFonts w:ascii="Times New Roman" w:hAnsi="Times New Roman" w:cs="Times New Roman"/>
          <w:sz w:val="24"/>
          <w:szCs w:val="24"/>
          <w:lang w:val="es-PE"/>
        </w:rPr>
        <w:t xml:space="preserve">sin autorización de la </w:t>
      </w:r>
      <w:r w:rsidRPr="2DC3E836" w:rsidR="001B1998">
        <w:rPr>
          <w:rFonts w:ascii="Times New Roman" w:hAnsi="Times New Roman" w:cs="Times New Roman"/>
          <w:sz w:val="24"/>
          <w:szCs w:val="24"/>
          <w:lang w:val="es-PE"/>
        </w:rPr>
        <w:t>compañía,</w:t>
      </w:r>
      <w:r w:rsidRPr="2DC3E836" w:rsidR="001B1998">
        <w:rPr>
          <w:rFonts w:ascii="Times New Roman" w:hAnsi="Times New Roman" w:cs="Times New Roman"/>
          <w:sz w:val="24"/>
          <w:szCs w:val="24"/>
          <w:lang w:val="es-PE"/>
        </w:rPr>
        <w:t xml:space="preserve"> es menester decir que, en efecto, el contrato de seguros es uno de naturaleza civil y como tal regula y se limita a establecer relaciones con ese carácter; sin embargo, al haberse producido un evento cuyas implicancias derivan al ámbito penal – delito de daños – resultaba necesario actuar en dicho ámbito.</w:t>
      </w:r>
      <w:r w:rsidRPr="2DC3E836" w:rsidR="001B1998">
        <w:rPr>
          <w:rFonts w:ascii="Times New Roman" w:hAnsi="Times New Roman" w:cs="Times New Roman"/>
          <w:sz w:val="24"/>
          <w:szCs w:val="24"/>
          <w:lang w:val="es-PE"/>
        </w:rPr>
        <w:t xml:space="preserve"> Que, el artículo 2° del NCPP contempla la figura del Principio de Oportunidad, por la cual el Ministerio Público puede abstenerse de ejercitar la acción penal, siendo requisito para la aplicación de este principio que el agente haya reparado los daños ocasionados o exista acuerdo con el agraviado. Que, en tal sentido, la disposición contractual alegada por la </w:t>
      </w:r>
      <w:r w:rsidRPr="2DC3E836" w:rsidR="001B1998">
        <w:rPr>
          <w:rFonts w:ascii="Times New Roman" w:hAnsi="Times New Roman" w:cs="Times New Roman"/>
          <w:sz w:val="24"/>
          <w:szCs w:val="24"/>
          <w:lang w:val="es-PE"/>
        </w:rPr>
        <w:t>compañía,</w:t>
      </w:r>
      <w:r w:rsidRPr="2DC3E836" w:rsidR="001B1998">
        <w:rPr>
          <w:rFonts w:ascii="Times New Roman" w:hAnsi="Times New Roman" w:cs="Times New Roman"/>
          <w:sz w:val="24"/>
          <w:szCs w:val="24"/>
          <w:lang w:val="es-PE"/>
        </w:rPr>
        <w:t xml:space="preserve"> estaría sancionando el derecho del asegurado de acceder al beneficio legal que establece el art. 2° de NCPP.</w:t>
      </w:r>
    </w:p>
    <w:p w:rsidRPr="001B1998" w:rsidR="001B1998" w:rsidP="001B1998" w:rsidRDefault="001B1998" w14:paraId="1EECDC89" w14:textId="068BB986">
      <w:pPr>
        <w:spacing w:line="240" w:lineRule="auto"/>
        <w:jc w:val="both"/>
        <w:rPr>
          <w:rFonts w:ascii="Times New Roman" w:hAnsi="Times New Roman" w:cs="Times New Roman"/>
          <w:sz w:val="24"/>
          <w:szCs w:val="24"/>
          <w:lang w:val="es-PE"/>
        </w:rPr>
      </w:pPr>
      <w:r w:rsidRPr="2DC3E836" w:rsidR="001B1998">
        <w:rPr>
          <w:rFonts w:ascii="Times New Roman" w:hAnsi="Times New Roman" w:cs="Times New Roman"/>
          <w:sz w:val="24"/>
          <w:szCs w:val="24"/>
          <w:lang w:val="es-PE"/>
        </w:rPr>
        <w:t xml:space="preserve">Que, habiéndose corrido traslado a </w:t>
      </w:r>
      <w:r w:rsidRPr="2DC3E836" w:rsidR="46D3AFE5">
        <w:rPr>
          <w:rFonts w:ascii="Times New Roman" w:hAnsi="Times New Roman" w:cs="Times New Roman"/>
          <w:sz w:val="24"/>
          <w:szCs w:val="24"/>
          <w:lang w:val="es-PE"/>
        </w:rPr>
        <w:t>.............................</w:t>
      </w:r>
      <w:r w:rsidRPr="2DC3E836" w:rsidR="001B1998">
        <w:rPr>
          <w:rFonts w:ascii="Times New Roman" w:hAnsi="Times New Roman" w:cs="Times New Roman"/>
          <w:sz w:val="24"/>
          <w:szCs w:val="24"/>
          <w:lang w:val="es-PE"/>
        </w:rPr>
        <w:t xml:space="preserve"> del referido Recurso impugnatorio, la aseguradora, expresa lo siguiente: 1) Que, la apelante insiste en reiterar su posición esgrimida en primera instancia, en cuanto a que no existirían versiones contradictorias, alegando que solamente existe una versión brindada por el conductor, mientras que la otra versión sería simplemente una conclusión del efectivo policial a cargo de la investigación. Que, sobre lo anterior se debe anotar que contrariamente a lo alegado por la reclamante, se está evidentemente ante dos declaraciones de los hechos, realizados en dos (2) momentos distintos: (i) en el reporte </w:t>
      </w:r>
      <w:r w:rsidRPr="2DC3E836" w:rsidR="001B1998">
        <w:rPr>
          <w:rFonts w:ascii="Times New Roman" w:hAnsi="Times New Roman" w:cs="Times New Roman"/>
          <w:sz w:val="24"/>
          <w:szCs w:val="24"/>
          <w:lang w:val="es-PE"/>
        </w:rPr>
        <w:t>del siniestro a la aseguradora y, (</w:t>
      </w:r>
      <w:r w:rsidRPr="2DC3E836" w:rsidR="001B1998">
        <w:rPr>
          <w:rFonts w:ascii="Times New Roman" w:hAnsi="Times New Roman" w:cs="Times New Roman"/>
          <w:sz w:val="24"/>
          <w:szCs w:val="24"/>
          <w:lang w:val="es-PE"/>
        </w:rPr>
        <w:t>ii</w:t>
      </w:r>
      <w:r w:rsidRPr="2DC3E836" w:rsidR="001B1998">
        <w:rPr>
          <w:rFonts w:ascii="Times New Roman" w:hAnsi="Times New Roman" w:cs="Times New Roman"/>
          <w:sz w:val="24"/>
          <w:szCs w:val="24"/>
          <w:lang w:val="es-PE"/>
        </w:rPr>
        <w:t xml:space="preserve">) en lo declarado por el conductor ante el efectivo policial. 2) Que, cabe resaltar que en el informe policial se detalla circunstancias del siniestro que solamente podían haber sido conocidas y declaradas por el conductor, como, por ejemplo, que viajaba en compañía de un amigo, desde la provincia de Nieva con dirección a </w:t>
      </w:r>
      <w:r w:rsidRPr="2DC3E836" w:rsidR="001B1998">
        <w:rPr>
          <w:rFonts w:ascii="Times New Roman" w:hAnsi="Times New Roman" w:cs="Times New Roman"/>
          <w:sz w:val="24"/>
          <w:szCs w:val="24"/>
          <w:lang w:val="es-PE"/>
        </w:rPr>
        <w:t>Rioja</w:t>
      </w:r>
      <w:r w:rsidRPr="2DC3E836" w:rsidR="001B1998">
        <w:rPr>
          <w:rFonts w:ascii="Times New Roman" w:hAnsi="Times New Roman" w:cs="Times New Roman"/>
          <w:sz w:val="24"/>
          <w:szCs w:val="24"/>
          <w:lang w:val="es-PE"/>
        </w:rPr>
        <w:t xml:space="preserve"> y que el accidente se produjo debido a que perdió el control de la unidad por la llovizna, además de enfrentar una curva. Que, conviene resaltar que, tal nivel de detalle que se consigna en el informe </w:t>
      </w:r>
      <w:r w:rsidRPr="2DC3E836" w:rsidR="001B1998">
        <w:rPr>
          <w:rFonts w:ascii="Times New Roman" w:hAnsi="Times New Roman" w:cs="Times New Roman"/>
          <w:sz w:val="24"/>
          <w:szCs w:val="24"/>
          <w:lang w:val="es-PE"/>
        </w:rPr>
        <w:t>policial,</w:t>
      </w:r>
      <w:r w:rsidRPr="2DC3E836" w:rsidR="001B1998">
        <w:rPr>
          <w:rFonts w:ascii="Times New Roman" w:hAnsi="Times New Roman" w:cs="Times New Roman"/>
          <w:sz w:val="24"/>
          <w:szCs w:val="24"/>
          <w:lang w:val="es-PE"/>
        </w:rPr>
        <w:t xml:space="preserve"> se consiguió por la declaración del conductor, y no por simple especulación o adivinanza del efectivo policial, por lo que el razonamiento y la decisión contenida en la apelada resulta correcta. </w:t>
      </w:r>
      <w:r w:rsidRPr="2DC3E836" w:rsidR="001B1998">
        <w:rPr>
          <w:rFonts w:ascii="Times New Roman" w:hAnsi="Times New Roman" w:cs="Times New Roman"/>
          <w:sz w:val="24"/>
          <w:szCs w:val="24"/>
          <w:lang w:val="es-PE"/>
        </w:rPr>
        <w:t>3) Que, adicionalmente conviene precisar que, las versiones brindadas por el conductor tienen relación directa con las causas del siniestro, y por ende resultan de importancia para tener cabal conocimiento y decisión sobre el siniestro materia de calificación.</w:t>
      </w:r>
      <w:r w:rsidRPr="2DC3E836" w:rsidR="001B1998">
        <w:rPr>
          <w:rFonts w:ascii="Times New Roman" w:hAnsi="Times New Roman" w:cs="Times New Roman"/>
          <w:sz w:val="24"/>
          <w:szCs w:val="24"/>
          <w:lang w:val="es-PE"/>
        </w:rPr>
        <w:t xml:space="preserve"> 4) Que, la suscripción de un acuerdo transaccional sin autorización de </w:t>
      </w:r>
      <w:r w:rsidRPr="2DC3E836" w:rsidR="1F896B9D">
        <w:rPr>
          <w:rFonts w:ascii="Times New Roman" w:hAnsi="Times New Roman" w:cs="Times New Roman"/>
          <w:sz w:val="24"/>
          <w:szCs w:val="24"/>
          <w:lang w:val="es-PE"/>
        </w:rPr>
        <w:t>.............................</w:t>
      </w:r>
      <w:r w:rsidRPr="2DC3E836" w:rsidR="001B1998">
        <w:rPr>
          <w:rFonts w:ascii="Times New Roman" w:hAnsi="Times New Roman" w:cs="Times New Roman"/>
          <w:sz w:val="24"/>
          <w:szCs w:val="24"/>
          <w:lang w:val="es-PE"/>
        </w:rPr>
        <w:t>,</w:t>
      </w:r>
      <w:r w:rsidRPr="2DC3E836" w:rsidR="001B1998">
        <w:rPr>
          <w:rFonts w:ascii="Times New Roman" w:hAnsi="Times New Roman" w:cs="Times New Roman"/>
          <w:sz w:val="24"/>
          <w:szCs w:val="24"/>
          <w:lang w:val="es-PE"/>
        </w:rPr>
        <w:t xml:space="preserve"> configura una causal expresa de exclusión conforme a los términos del contrato de seguro que vincula a ambas partes. Que, si bien es cierto la aplicación del principio de oportunidad a través de un acuerdo con el Ministerio Público es una figura jurídica permitida en el ámbito penal, ello no puede significar que se deje sin efecto un pacto valido celebrado bajo los alcances de la buena fe y la común intención de las partes en el ámbito civil, siendo las disposiciones contractuales de obligatorio cumplimiento.</w:t>
      </w:r>
    </w:p>
    <w:p w:rsidRPr="001B1998" w:rsidR="001B1998" w:rsidP="001B1998" w:rsidRDefault="001B1998" w14:paraId="7FD53A46" w14:textId="77777777">
      <w:pPr>
        <w:spacing w:line="240" w:lineRule="auto"/>
        <w:jc w:val="both"/>
        <w:rPr>
          <w:rFonts w:ascii="Times New Roman" w:hAnsi="Times New Roman" w:cs="Times New Roman"/>
          <w:sz w:val="24"/>
          <w:szCs w:val="24"/>
          <w:lang w:val="es-PE"/>
        </w:rPr>
      </w:pPr>
      <w:r w:rsidRPr="001B1998">
        <w:rPr>
          <w:rFonts w:ascii="Times New Roman" w:hAnsi="Times New Roman" w:cs="Times New Roman"/>
          <w:sz w:val="24"/>
          <w:szCs w:val="24"/>
          <w:lang w:val="es-PE"/>
        </w:rPr>
        <w:t>Que, atendiendo a lo expuesto, esta Defensoría resuelve finalmente lo siguiente:</w:t>
      </w:r>
    </w:p>
    <w:p w:rsidRPr="001B1998" w:rsidR="001B1998" w:rsidP="001B1998" w:rsidRDefault="001B1998" w14:paraId="32298CB6" w14:textId="1BBDCBCC">
      <w:pPr>
        <w:spacing w:line="240" w:lineRule="auto"/>
        <w:jc w:val="both"/>
        <w:rPr>
          <w:rFonts w:ascii="Times New Roman" w:hAnsi="Times New Roman" w:cs="Times New Roman"/>
          <w:sz w:val="24"/>
          <w:szCs w:val="24"/>
          <w:lang w:val="es-PE"/>
        </w:rPr>
      </w:pPr>
      <w:r w:rsidRPr="2DC3E836" w:rsidR="001B1998">
        <w:rPr>
          <w:rFonts w:ascii="Times New Roman" w:hAnsi="Times New Roman" w:cs="Times New Roman"/>
          <w:b w:val="1"/>
          <w:bCs w:val="1"/>
          <w:sz w:val="24"/>
          <w:szCs w:val="24"/>
          <w:lang w:val="es-PE"/>
        </w:rPr>
        <w:t>PRIMERO:</w:t>
      </w:r>
      <w:r w:rsidRPr="2DC3E836" w:rsidR="001B1998">
        <w:rPr>
          <w:rFonts w:ascii="Times New Roman" w:hAnsi="Times New Roman" w:cs="Times New Roman"/>
          <w:sz w:val="24"/>
          <w:szCs w:val="24"/>
          <w:lang w:val="es-PE"/>
        </w:rPr>
        <w:t xml:space="preserve"> Que el artículo 10 (Procedimiento) del Reglamento de la DEFASEG (</w:t>
      </w:r>
      <w:hyperlink r:id="R7baf080ab7ce4bde">
        <w:r w:rsidRPr="2DC3E836" w:rsidR="001B1998">
          <w:rPr>
            <w:rStyle w:val="Hipervnculo"/>
            <w:rFonts w:ascii="Times New Roman" w:hAnsi="Times New Roman" w:cs="Times New Roman"/>
            <w:sz w:val="24"/>
            <w:szCs w:val="24"/>
            <w:lang w:val="es-PE"/>
          </w:rPr>
          <w:t>http://www.defaseg.com.pe/reglamento</w:t>
        </w:r>
      </w:hyperlink>
      <w:r w:rsidRPr="2DC3E836" w:rsidR="001B1998">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Pr="2DC3E836" w:rsidR="2A9BF365">
        <w:rPr>
          <w:rFonts w:ascii="Times New Roman" w:hAnsi="Times New Roman" w:cs="Times New Roman"/>
          <w:sz w:val="24"/>
          <w:szCs w:val="24"/>
          <w:lang w:val="es-PE"/>
        </w:rPr>
        <w:t>......................................</w:t>
      </w:r>
      <w:r w:rsidRPr="2DC3E836" w:rsidR="001B1998">
        <w:rPr>
          <w:rFonts w:ascii="Times New Roman" w:hAnsi="Times New Roman" w:cs="Times New Roman"/>
          <w:sz w:val="24"/>
          <w:szCs w:val="24"/>
          <w:lang w:val="es-PE"/>
        </w:rPr>
        <w:t>, al interponer el Recurso Impugnativo, ha ejercido formalmente su derecho a contradecir lo resuelto por la Defensoría, aunque se espera razonablemente que sustente objetivamente la razón de su desacuerdo, destacando el vicio o error en que se habría incurrido y que permitiría fundamentar que lo resuelto no se ajusta a derecho ni a los correspondientes actuados.</w:t>
      </w:r>
    </w:p>
    <w:p w:rsidRPr="001B1998" w:rsidR="001B1998" w:rsidP="001B1998" w:rsidRDefault="001B1998" w14:paraId="7F07F090" w14:textId="77777777">
      <w:pPr>
        <w:spacing w:line="240" w:lineRule="auto"/>
        <w:jc w:val="both"/>
        <w:rPr>
          <w:rFonts w:ascii="Times New Roman" w:hAnsi="Times New Roman" w:cs="Times New Roman"/>
          <w:sz w:val="24"/>
          <w:szCs w:val="24"/>
          <w:lang w:val="es-PE"/>
        </w:rPr>
      </w:pPr>
      <w:r w:rsidRPr="001B1998">
        <w:rPr>
          <w:rFonts w:ascii="Times New Roman" w:hAnsi="Times New Roman" w:cs="Times New Roman"/>
          <w:b/>
          <w:sz w:val="24"/>
          <w:szCs w:val="24"/>
          <w:lang w:val="es-PE"/>
        </w:rPr>
        <w:t>SEGUNDO:</w:t>
      </w:r>
      <w:r w:rsidRPr="001B1998">
        <w:rPr>
          <w:rFonts w:ascii="Times New Roman" w:hAnsi="Times New Roman" w:cs="Times New Roman"/>
          <w:sz w:val="24"/>
          <w:szCs w:val="24"/>
          <w:lang w:val="es-PE"/>
        </w:rPr>
        <w:t xml:space="preserve"> Que, de la lectura del Recurso Impugnativo interpuesto se aprecia que la asegurada insiste en todos los puntos ya expresados con ocasión de presentar su escrito de reclamación, argumentos que ya fueron debidamente analizados en los Considerandos, Sétimo, Octavo y Noveno de la Resolución recurrida, siendo que,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 la asegurada que este colegiado no comparte, pero sin aportar argumento o medio probatorio alguno que permita objetivamente a este colegiado apreciar que habría incurrido efectivamente en un error o vicio al momento de resolver.</w:t>
      </w:r>
    </w:p>
    <w:p w:rsidRPr="001B1998" w:rsidR="001B1998" w:rsidP="001B1998" w:rsidRDefault="001B1998" w14:paraId="6EA4CB55" w14:textId="77777777">
      <w:pPr>
        <w:spacing w:line="240" w:lineRule="auto"/>
        <w:jc w:val="both"/>
        <w:rPr>
          <w:rFonts w:ascii="Times New Roman" w:hAnsi="Times New Roman" w:cs="Times New Roman"/>
          <w:sz w:val="24"/>
          <w:szCs w:val="24"/>
          <w:lang w:val="es-PE"/>
        </w:rPr>
      </w:pPr>
      <w:r w:rsidRPr="001B1998">
        <w:rPr>
          <w:rFonts w:ascii="Times New Roman" w:hAnsi="Times New Roman" w:cs="Times New Roman"/>
          <w:sz w:val="24"/>
          <w:szCs w:val="24"/>
          <w:lang w:val="es-PE"/>
        </w:rPr>
        <w:t>Que, sin perjuicio de lo mencionado anteriormente, este colegiado considera oportuno mencionar lo siguiente:</w:t>
      </w:r>
    </w:p>
    <w:p w:rsidRPr="001B1998" w:rsidR="001B1998" w:rsidP="001B1998" w:rsidRDefault="001B1998" w14:paraId="43196202" w14:textId="77777777">
      <w:pPr>
        <w:pStyle w:val="Prrafodelista"/>
        <w:numPr>
          <w:ilvl w:val="0"/>
          <w:numId w:val="13"/>
        </w:numPr>
        <w:spacing w:after="200" w:line="240" w:lineRule="auto"/>
        <w:jc w:val="both"/>
        <w:rPr>
          <w:rFonts w:ascii="Times New Roman" w:hAnsi="Times New Roman" w:cs="Times New Roman"/>
          <w:sz w:val="24"/>
          <w:szCs w:val="24"/>
          <w:lang w:val="es-PE"/>
        </w:rPr>
      </w:pPr>
      <w:r w:rsidRPr="001B1998">
        <w:rPr>
          <w:rFonts w:ascii="Times New Roman" w:hAnsi="Times New Roman" w:cs="Times New Roman"/>
          <w:sz w:val="24"/>
          <w:szCs w:val="24"/>
          <w:lang w:val="es-PE"/>
        </w:rPr>
        <w:t xml:space="preserve">En relación a lo manifestado por la asegurada de que, las versiones dadas por el conductor no son diferentes y contradictoria sino complementarias, el colegiado considera que ambas versiones si son contradictorias, en razón de que cada una supone una causa adecuada diferente, ya que, en una de las versiones la causa del accidente fue la aparición de una vaca y que por evitar atropellarla, el vehículo se despistó y se produjo </w:t>
      </w:r>
      <w:r w:rsidRPr="001B1998">
        <w:rPr>
          <w:rFonts w:ascii="Times New Roman" w:hAnsi="Times New Roman" w:cs="Times New Roman"/>
          <w:sz w:val="24"/>
          <w:szCs w:val="24"/>
          <w:lang w:val="es-PE"/>
        </w:rPr>
        <w:lastRenderedPageBreak/>
        <w:t>el accidente y, que en la otra versión la causa adecuada directa fue el despiste a consecuencia de la lluvia y la presencia de una curva.</w:t>
      </w:r>
    </w:p>
    <w:p w:rsidRPr="001B1998" w:rsidR="001B1998" w:rsidP="001B1998" w:rsidRDefault="001B1998" w14:paraId="3FD1B062" w14:textId="77777777">
      <w:pPr>
        <w:pStyle w:val="Prrafodelista"/>
        <w:numPr>
          <w:ilvl w:val="0"/>
          <w:numId w:val="13"/>
        </w:numPr>
        <w:spacing w:after="200" w:line="240" w:lineRule="auto"/>
        <w:jc w:val="both"/>
        <w:rPr>
          <w:rFonts w:ascii="Times New Roman" w:hAnsi="Times New Roman" w:cs="Times New Roman"/>
          <w:sz w:val="24"/>
          <w:szCs w:val="24"/>
          <w:lang w:val="es-PE"/>
        </w:rPr>
      </w:pPr>
      <w:r w:rsidRPr="001B1998">
        <w:rPr>
          <w:rFonts w:ascii="Times New Roman" w:hAnsi="Times New Roman" w:cs="Times New Roman"/>
          <w:sz w:val="24"/>
          <w:szCs w:val="24"/>
          <w:lang w:val="es-PE"/>
        </w:rPr>
        <w:t>Sobre lo mencionado en relación al Principio de Oportunidad, por la cual el Ministerio Público puede abstenerse de ejercitar la acción penal, siendo requisito para la aplicación de este principio que el agente haya reparado los daños ocasionados o exista acuerdo con el agraviado, lo que indica las Condiciones de la Póliza contratada, es que, cualquier reparación o transacción debe ser aprobada expresamente por la Compañía de Seguros, siendo las condiciones contractuales de obligatorio cumplimiento.</w:t>
      </w:r>
    </w:p>
    <w:p w:rsidRPr="001B1998" w:rsidR="001B1998" w:rsidP="001B1998" w:rsidRDefault="001B1998" w14:paraId="6A686848" w14:textId="77777777">
      <w:pPr>
        <w:spacing w:line="240" w:lineRule="auto"/>
        <w:jc w:val="both"/>
        <w:rPr>
          <w:rFonts w:ascii="Times New Roman" w:hAnsi="Times New Roman" w:cs="Times New Roman"/>
          <w:sz w:val="24"/>
          <w:szCs w:val="24"/>
          <w:lang w:val="es-PE"/>
        </w:rPr>
      </w:pPr>
      <w:r w:rsidRPr="001B1998">
        <w:rPr>
          <w:rFonts w:ascii="Times New Roman" w:hAnsi="Times New Roman" w:cs="Times New Roman"/>
          <w:sz w:val="24"/>
          <w:szCs w:val="24"/>
          <w:lang w:val="es-PE"/>
        </w:rPr>
        <w:t>Que, por consiguiente, este colegiado reitera su análisis contenido en la resolución recurrida.</w:t>
      </w:r>
    </w:p>
    <w:p w:rsidRPr="001B1998" w:rsidR="001B1998" w:rsidP="001B1998" w:rsidRDefault="001B1998" w14:paraId="42757357" w14:textId="77777777">
      <w:pPr>
        <w:spacing w:line="240" w:lineRule="auto"/>
        <w:jc w:val="both"/>
        <w:rPr>
          <w:rFonts w:ascii="Times New Roman" w:hAnsi="Times New Roman" w:cs="Times New Roman"/>
          <w:sz w:val="24"/>
          <w:szCs w:val="24"/>
          <w:lang w:val="es-PE"/>
        </w:rPr>
      </w:pPr>
      <w:r w:rsidRPr="001B1998">
        <w:rPr>
          <w:rFonts w:ascii="Times New Roman" w:hAnsi="Times New Roman" w:cs="Times New Roman"/>
          <w:sz w:val="24"/>
          <w:szCs w:val="24"/>
          <w:lang w:val="es-PE"/>
        </w:rPr>
        <w:t>Que, en atención a las consideraciones precedentes, este colegiado no aprecia mérito ni razón objetiva para revocar la resolución recurrida y, por lo tanto</w:t>
      </w:r>
    </w:p>
    <w:p w:rsidRPr="001B1998" w:rsidR="001B1998" w:rsidP="001B1998" w:rsidRDefault="001B1998" w14:paraId="2ED69AA3" w14:textId="77777777">
      <w:pPr>
        <w:spacing w:line="240" w:lineRule="auto"/>
        <w:jc w:val="both"/>
        <w:rPr>
          <w:rFonts w:ascii="Times New Roman" w:hAnsi="Times New Roman" w:cs="Times New Roman"/>
          <w:b/>
          <w:sz w:val="24"/>
          <w:szCs w:val="24"/>
          <w:lang w:val="es-PE"/>
        </w:rPr>
      </w:pPr>
      <w:r w:rsidRPr="001B1998">
        <w:rPr>
          <w:rFonts w:ascii="Times New Roman" w:hAnsi="Times New Roman" w:cs="Times New Roman"/>
          <w:b/>
          <w:sz w:val="24"/>
          <w:szCs w:val="24"/>
          <w:lang w:val="es-PE"/>
        </w:rPr>
        <w:t xml:space="preserve">RESUELVE: </w:t>
      </w:r>
    </w:p>
    <w:p w:rsidRPr="001B1998" w:rsidR="001B1998" w:rsidP="001B1998" w:rsidRDefault="001B1998" w14:paraId="79F7245F" w14:textId="47B0B04B">
      <w:pPr>
        <w:spacing w:line="240" w:lineRule="auto"/>
        <w:jc w:val="both"/>
        <w:rPr>
          <w:rFonts w:ascii="Times New Roman" w:hAnsi="Times New Roman" w:cs="Times New Roman"/>
          <w:sz w:val="24"/>
          <w:szCs w:val="24"/>
          <w:lang w:val="es-PE"/>
        </w:rPr>
      </w:pPr>
      <w:r w:rsidRPr="2DC3E836" w:rsidR="001B1998">
        <w:rPr>
          <w:rFonts w:ascii="Times New Roman" w:hAnsi="Times New Roman" w:cs="Times New Roman"/>
          <w:sz w:val="24"/>
          <w:szCs w:val="24"/>
          <w:lang w:val="es-PE"/>
        </w:rPr>
        <w:t xml:space="preserve">Declarar </w:t>
      </w:r>
      <w:r w:rsidRPr="2DC3E836" w:rsidR="001B1998">
        <w:rPr>
          <w:rFonts w:ascii="Times New Roman" w:hAnsi="Times New Roman" w:cs="Times New Roman"/>
          <w:b w:val="1"/>
          <w:bCs w:val="1"/>
          <w:sz w:val="24"/>
          <w:szCs w:val="24"/>
          <w:lang w:val="es-PE"/>
        </w:rPr>
        <w:t>INFUNDADO</w:t>
      </w:r>
      <w:r w:rsidRPr="2DC3E836" w:rsidR="001B1998">
        <w:rPr>
          <w:rFonts w:ascii="Times New Roman" w:hAnsi="Times New Roman" w:cs="Times New Roman"/>
          <w:sz w:val="24"/>
          <w:szCs w:val="24"/>
          <w:lang w:val="es-PE"/>
        </w:rPr>
        <w:t xml:space="preserve"> el Recurso Impugnativo interpuesto y, por consiguiente, ratificar la Resolución </w:t>
      </w:r>
      <w:r w:rsidRPr="2DC3E836" w:rsidR="001B1998">
        <w:rPr>
          <w:rFonts w:ascii="Times New Roman" w:hAnsi="Times New Roman" w:cs="Times New Roman"/>
          <w:sz w:val="24"/>
          <w:szCs w:val="24"/>
          <w:lang w:val="es-PE"/>
        </w:rPr>
        <w:t>N°</w:t>
      </w:r>
      <w:r w:rsidRPr="2DC3E836" w:rsidR="001B1998">
        <w:rPr>
          <w:rFonts w:ascii="Times New Roman" w:hAnsi="Times New Roman" w:cs="Times New Roman"/>
          <w:sz w:val="24"/>
          <w:szCs w:val="24"/>
          <w:lang w:val="es-PE"/>
        </w:rPr>
        <w:t xml:space="preserve"> 073/22 que declaró </w:t>
      </w:r>
      <w:r w:rsidRPr="2DC3E836" w:rsidR="001B1998">
        <w:rPr>
          <w:rFonts w:ascii="Times New Roman" w:hAnsi="Times New Roman" w:cs="Times New Roman"/>
          <w:b w:val="1"/>
          <w:bCs w:val="1"/>
          <w:sz w:val="24"/>
          <w:szCs w:val="24"/>
          <w:lang w:val="es-PE"/>
        </w:rPr>
        <w:t xml:space="preserve">INFUNDADA </w:t>
      </w:r>
      <w:r w:rsidRPr="2DC3E836" w:rsidR="001B1998">
        <w:rPr>
          <w:rFonts w:ascii="Times New Roman" w:hAnsi="Times New Roman" w:cs="Times New Roman"/>
          <w:sz w:val="24"/>
          <w:szCs w:val="24"/>
          <w:lang w:val="es-PE"/>
        </w:rPr>
        <w:t xml:space="preserve">la reclamación interpuesta por </w:t>
      </w:r>
      <w:r w:rsidRPr="2DC3E836" w:rsidR="2A9BF365">
        <w:rPr>
          <w:rFonts w:ascii="Times New Roman" w:hAnsi="Times New Roman" w:cs="Times New Roman"/>
          <w:b w:val="1"/>
          <w:bCs w:val="1"/>
          <w:sz w:val="24"/>
          <w:szCs w:val="24"/>
          <w:lang w:val="es-PE"/>
        </w:rPr>
        <w:t>......................................</w:t>
      </w:r>
      <w:r w:rsidRPr="2DC3E836" w:rsidR="001B1998">
        <w:rPr>
          <w:rFonts w:ascii="Times New Roman" w:hAnsi="Times New Roman" w:cs="Times New Roman"/>
          <w:b w:val="1"/>
          <w:bCs w:val="1"/>
          <w:sz w:val="24"/>
          <w:szCs w:val="24"/>
          <w:lang w:val="es-PE"/>
        </w:rPr>
        <w:t>,</w:t>
      </w:r>
      <w:r w:rsidRPr="2DC3E836" w:rsidR="001B1998">
        <w:rPr>
          <w:rFonts w:ascii="Times New Roman" w:hAnsi="Times New Roman" w:cs="Times New Roman"/>
          <w:sz w:val="24"/>
          <w:szCs w:val="24"/>
          <w:lang w:val="es-PE"/>
        </w:rPr>
        <w:t xml:space="preserve"> </w:t>
      </w:r>
      <w:r w:rsidRPr="2DC3E836" w:rsidR="001B1998">
        <w:rPr>
          <w:rFonts w:ascii="Times New Roman" w:hAnsi="Times New Roman" w:cs="Times New Roman"/>
          <w:b w:val="1"/>
          <w:bCs w:val="1"/>
          <w:sz w:val="24"/>
          <w:szCs w:val="24"/>
          <w:lang w:val="es-PE"/>
        </w:rPr>
        <w:t xml:space="preserve">  </w:t>
      </w:r>
      <w:r w:rsidRPr="2DC3E836" w:rsidR="001B1998">
        <w:rPr>
          <w:rFonts w:ascii="Times New Roman" w:hAnsi="Times New Roman" w:cs="Times New Roman"/>
          <w:sz w:val="24"/>
          <w:szCs w:val="24"/>
          <w:lang w:val="es-PE"/>
        </w:rPr>
        <w:t>contra</w:t>
      </w:r>
      <w:r w:rsidRPr="2DC3E836" w:rsidR="001B1998">
        <w:rPr>
          <w:rFonts w:ascii="Times New Roman" w:hAnsi="Times New Roman" w:cs="Times New Roman"/>
          <w:b w:val="1"/>
          <w:bCs w:val="1"/>
          <w:sz w:val="24"/>
          <w:szCs w:val="24"/>
          <w:lang w:val="es-PE"/>
        </w:rPr>
        <w:t xml:space="preserve"> </w:t>
      </w:r>
      <w:r w:rsidRPr="2DC3E836" w:rsidR="46D3AFE5">
        <w:rPr>
          <w:rFonts w:ascii="Times New Roman" w:hAnsi="Times New Roman" w:cs="Times New Roman"/>
          <w:b w:val="1"/>
          <w:bCs w:val="1"/>
          <w:sz w:val="24"/>
          <w:szCs w:val="24"/>
          <w:lang w:val="es-PE"/>
        </w:rPr>
        <w:t>.............................</w:t>
      </w:r>
      <w:r w:rsidRPr="2DC3E836" w:rsidR="001B1998">
        <w:rPr>
          <w:rFonts w:ascii="Times New Roman" w:hAnsi="Times New Roman" w:cs="Times New Roman"/>
          <w:b w:val="1"/>
          <w:bCs w:val="1"/>
          <w:sz w:val="24"/>
          <w:szCs w:val="24"/>
          <w:lang w:val="es-PE"/>
        </w:rPr>
        <w:t>, d</w:t>
      </w:r>
      <w:r w:rsidRPr="2DC3E836" w:rsidR="001B1998">
        <w:rPr>
          <w:rFonts w:ascii="Times New Roman" w:hAnsi="Times New Roman" w:cs="Times New Roman"/>
          <w:sz w:val="24"/>
          <w:szCs w:val="24"/>
          <w:lang w:val="es-PE"/>
        </w:rPr>
        <w:t>ejando a salvo el derecho de la reclamante de acudir a otras instancias que considere pertinentes.</w:t>
      </w:r>
    </w:p>
    <w:p w:rsidRPr="00041B86" w:rsidR="00C173A8" w:rsidP="00C173A8" w:rsidRDefault="00C173A8" w14:paraId="301E1FA3" w14:textId="77777777">
      <w:pPr>
        <w:spacing w:after="0" w:line="240" w:lineRule="auto"/>
        <w:jc w:val="both"/>
        <w:rPr>
          <w:rFonts w:ascii="Times New Roman" w:hAnsi="Times New Roman" w:eastAsia="Times New Roman" w:cs="Times New Roman"/>
          <w:sz w:val="24"/>
          <w:szCs w:val="24"/>
          <w:lang w:val="es-PE" w:eastAsia="ar-SA"/>
        </w:rPr>
      </w:pPr>
    </w:p>
    <w:p w:rsidRPr="00041B86" w:rsidR="00C173A8" w:rsidP="00C173A8" w:rsidRDefault="00C173A8" w14:paraId="0EB0711B" w14:textId="6C28034E">
      <w:pPr>
        <w:suppressAutoHyphens/>
        <w:spacing w:after="0" w:line="240" w:lineRule="auto"/>
        <w:jc w:val="right"/>
        <w:outlineLvl w:val="0"/>
        <w:rPr>
          <w:rFonts w:ascii="Times New Roman" w:hAnsi="Times New Roman" w:eastAsia="Arial Unicode MS" w:cs="Times New Roman"/>
          <w:sz w:val="24"/>
          <w:szCs w:val="24"/>
          <w:lang w:val="es-PE" w:eastAsia="ar-SA"/>
        </w:rPr>
      </w:pPr>
      <w:r w:rsidRPr="00041B86">
        <w:rPr>
          <w:rFonts w:ascii="Times New Roman" w:hAnsi="Times New Roman" w:eastAsia="Arial Unicode MS" w:cs="Times New Roman"/>
          <w:sz w:val="24"/>
          <w:szCs w:val="24"/>
          <w:lang w:val="es-PE" w:eastAsia="ar-SA"/>
        </w:rPr>
        <w:t xml:space="preserve">Lima, </w:t>
      </w:r>
      <w:r w:rsidRPr="00041B86" w:rsidR="00B01C3A">
        <w:rPr>
          <w:rFonts w:ascii="Times New Roman" w:hAnsi="Times New Roman" w:eastAsia="Arial Unicode MS" w:cs="Times New Roman"/>
          <w:sz w:val="24"/>
          <w:szCs w:val="24"/>
          <w:lang w:val="es-PE" w:eastAsia="ar-SA"/>
        </w:rPr>
        <w:t>0</w:t>
      </w:r>
      <w:r w:rsidR="001B1998">
        <w:rPr>
          <w:rFonts w:ascii="Times New Roman" w:hAnsi="Times New Roman" w:eastAsia="Arial Unicode MS" w:cs="Times New Roman"/>
          <w:sz w:val="24"/>
          <w:szCs w:val="24"/>
          <w:lang w:val="es-PE" w:eastAsia="ar-SA"/>
        </w:rPr>
        <w:t>5</w:t>
      </w:r>
      <w:r w:rsidRPr="00041B86">
        <w:rPr>
          <w:rFonts w:ascii="Times New Roman" w:hAnsi="Times New Roman" w:eastAsia="Arial Unicode MS" w:cs="Times New Roman"/>
          <w:sz w:val="24"/>
          <w:szCs w:val="24"/>
          <w:lang w:val="es-PE" w:eastAsia="ar-SA"/>
        </w:rPr>
        <w:t xml:space="preserve"> de </w:t>
      </w:r>
      <w:r w:rsidRPr="00041B86" w:rsidR="00B01C3A">
        <w:rPr>
          <w:rFonts w:ascii="Times New Roman" w:hAnsi="Times New Roman" w:eastAsia="Arial Unicode MS" w:cs="Times New Roman"/>
          <w:sz w:val="24"/>
          <w:szCs w:val="24"/>
          <w:lang w:val="es-PE" w:eastAsia="ar-SA"/>
        </w:rPr>
        <w:t>mayo</w:t>
      </w:r>
      <w:r w:rsidRPr="00041B86">
        <w:rPr>
          <w:rFonts w:ascii="Times New Roman" w:hAnsi="Times New Roman" w:eastAsia="Arial Unicode MS" w:cs="Times New Roman"/>
          <w:sz w:val="24"/>
          <w:szCs w:val="24"/>
          <w:lang w:val="es-PE" w:eastAsia="ar-SA"/>
        </w:rPr>
        <w:t xml:space="preserve"> de 2022</w:t>
      </w:r>
      <w:r w:rsidRPr="00041B86">
        <w:rPr>
          <w:rFonts w:ascii="Times New Roman" w:hAnsi="Times New Roman" w:eastAsia="Times New Roman" w:cs="Times New Roman"/>
          <w:sz w:val="24"/>
          <w:szCs w:val="24"/>
          <w:lang w:val="es-PE" w:eastAsia="ar-SA"/>
        </w:rPr>
        <w:t xml:space="preserve"> </w:t>
      </w:r>
    </w:p>
    <w:p w:rsidRPr="00041B86" w:rsidR="00C173A8" w:rsidP="00C173A8" w:rsidRDefault="00C173A8" w14:paraId="21EFD7D3"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041B86" w:rsidR="00C173A8" w:rsidP="00C173A8" w:rsidRDefault="00C173A8" w14:paraId="09378A4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041B86" w:rsidR="00C173A8" w:rsidP="00C173A8" w:rsidRDefault="00C173A8" w14:paraId="32C08A5A" w14:textId="77777777">
      <w:pPr>
        <w:spacing w:after="0" w:line="240" w:lineRule="auto"/>
        <w:jc w:val="both"/>
        <w:rPr>
          <w:rFonts w:ascii="Times New Roman" w:hAnsi="Times New Roman" w:cs="Times New Roman"/>
          <w:b/>
          <w:bCs/>
          <w:i/>
          <w:iCs/>
          <w:sz w:val="24"/>
          <w:szCs w:val="24"/>
          <w:lang w:val="es-PE"/>
        </w:rPr>
      </w:pPr>
      <w:r w:rsidRPr="00041B86">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041B86" w:rsidR="00C173A8" w:rsidP="00C173A8" w:rsidRDefault="00C173A8" w14:paraId="1F888041" w14:textId="77777777">
      <w:pPr>
        <w:spacing w:after="0" w:line="360" w:lineRule="auto"/>
        <w:jc w:val="both"/>
        <w:rPr>
          <w:rFonts w:ascii="Times New Roman" w:hAnsi="Times New Roman" w:cs="Times New Roman"/>
          <w:b/>
          <w:bCs/>
          <w:i/>
          <w:iCs/>
          <w:sz w:val="24"/>
          <w:szCs w:val="24"/>
          <w:lang w:val="es-PE"/>
        </w:rPr>
      </w:pPr>
    </w:p>
    <w:p w:rsidR="001B1998" w:rsidP="001B1998" w:rsidRDefault="001B1998" w14:paraId="4E9466D5" w14:textId="531C1F75">
      <w:pPr>
        <w:spacing w:after="0" w:line="360" w:lineRule="auto"/>
        <w:jc w:val="center"/>
        <w:rPr>
          <w:rFonts w:ascii="Times New Roman" w:hAnsi="Times New Roman" w:cs="Times New Roman"/>
          <w:b/>
          <w:bCs/>
          <w:sz w:val="24"/>
          <w:szCs w:val="24"/>
          <w:lang w:val="es-PE"/>
        </w:rPr>
      </w:pPr>
      <w:r w:rsidRPr="00041B86">
        <w:rPr>
          <w:rFonts w:ascii="Times New Roman" w:hAnsi="Times New Roman" w:cs="Times New Roman"/>
          <w:b/>
          <w:bCs/>
          <w:sz w:val="24"/>
          <w:szCs w:val="24"/>
          <w:lang w:val="es-PE"/>
        </w:rPr>
        <w:t xml:space="preserve">Marco Antonio Ortega Piana – </w:t>
      </w:r>
      <w:proofErr w:type="gramStart"/>
      <w:r w:rsidRPr="00041B86">
        <w:rPr>
          <w:rFonts w:ascii="Times New Roman" w:hAnsi="Times New Roman" w:cs="Times New Roman"/>
          <w:b/>
          <w:bCs/>
          <w:sz w:val="24"/>
          <w:szCs w:val="24"/>
          <w:lang w:val="es-PE"/>
        </w:rPr>
        <w:t>Presidente</w:t>
      </w:r>
      <w:proofErr w:type="gramEnd"/>
    </w:p>
    <w:p w:rsidRPr="00041B86" w:rsidR="00C173A8" w:rsidP="00C173A8" w:rsidRDefault="00C173A8" w14:paraId="52AD041F" w14:textId="654F9D48">
      <w:pPr>
        <w:spacing w:after="0" w:line="360" w:lineRule="auto"/>
        <w:jc w:val="center"/>
        <w:rPr>
          <w:rFonts w:ascii="Times New Roman" w:hAnsi="Times New Roman" w:cs="Times New Roman"/>
          <w:b/>
          <w:bCs/>
          <w:sz w:val="24"/>
          <w:szCs w:val="24"/>
          <w:lang w:val="es-PE"/>
        </w:rPr>
      </w:pPr>
      <w:r w:rsidRPr="00041B86">
        <w:rPr>
          <w:rFonts w:ascii="Times New Roman" w:hAnsi="Times New Roman" w:cs="Times New Roman"/>
          <w:b/>
          <w:bCs/>
          <w:sz w:val="24"/>
          <w:szCs w:val="24"/>
          <w:lang w:val="es-PE"/>
        </w:rPr>
        <w:t xml:space="preserve">María Eugenia Valdez Fernández Baca – </w:t>
      </w:r>
      <w:r w:rsidR="001B1998">
        <w:rPr>
          <w:rFonts w:ascii="Times New Roman" w:hAnsi="Times New Roman" w:cs="Times New Roman"/>
          <w:b/>
          <w:bCs/>
          <w:sz w:val="24"/>
          <w:szCs w:val="24"/>
          <w:lang w:val="es-PE"/>
        </w:rPr>
        <w:t>Vocal</w:t>
      </w:r>
    </w:p>
    <w:p w:rsidRPr="00041B86" w:rsidR="00C173A8" w:rsidP="00C173A8" w:rsidRDefault="00C173A8" w14:paraId="5283F02D" w14:textId="77777777">
      <w:pPr>
        <w:spacing w:after="0" w:line="360" w:lineRule="auto"/>
        <w:jc w:val="center"/>
        <w:rPr>
          <w:rFonts w:ascii="Times New Roman" w:hAnsi="Times New Roman" w:cs="Times New Roman"/>
          <w:b/>
          <w:bCs/>
          <w:sz w:val="24"/>
          <w:szCs w:val="24"/>
          <w:lang w:val="es-PE"/>
        </w:rPr>
      </w:pPr>
      <w:r w:rsidRPr="00041B86">
        <w:rPr>
          <w:rFonts w:ascii="Times New Roman" w:hAnsi="Times New Roman" w:cs="Times New Roman"/>
          <w:b/>
          <w:bCs/>
          <w:sz w:val="24"/>
          <w:szCs w:val="24"/>
          <w:lang w:val="es-PE"/>
        </w:rPr>
        <w:t xml:space="preserve">Rolando Eyzaguirre </w:t>
      </w:r>
      <w:proofErr w:type="spellStart"/>
      <w:r w:rsidRPr="00041B86">
        <w:rPr>
          <w:rFonts w:ascii="Times New Roman" w:hAnsi="Times New Roman" w:cs="Times New Roman"/>
          <w:b/>
          <w:bCs/>
          <w:sz w:val="24"/>
          <w:szCs w:val="24"/>
          <w:lang w:val="es-PE"/>
        </w:rPr>
        <w:t>Maccan</w:t>
      </w:r>
      <w:proofErr w:type="spellEnd"/>
      <w:r w:rsidRPr="00041B86">
        <w:rPr>
          <w:rFonts w:ascii="Times New Roman" w:hAnsi="Times New Roman" w:cs="Times New Roman"/>
          <w:b/>
          <w:bCs/>
          <w:sz w:val="24"/>
          <w:szCs w:val="24"/>
          <w:lang w:val="es-PE"/>
        </w:rPr>
        <w:t xml:space="preserve"> - Vocal</w:t>
      </w:r>
    </w:p>
    <w:p w:rsidRPr="00041B86" w:rsidR="00C173A8" w:rsidP="00C173A8" w:rsidRDefault="00C173A8" w14:paraId="1F947C8E" w14:textId="77777777">
      <w:pPr>
        <w:spacing w:after="0" w:line="360" w:lineRule="auto"/>
        <w:jc w:val="center"/>
        <w:rPr>
          <w:rFonts w:ascii="Times New Roman" w:hAnsi="Times New Roman" w:cs="Times New Roman"/>
          <w:sz w:val="24"/>
          <w:szCs w:val="24"/>
          <w:lang w:val="es-PE"/>
        </w:rPr>
      </w:pPr>
      <w:r w:rsidRPr="00041B86">
        <w:rPr>
          <w:rFonts w:ascii="Times New Roman" w:hAnsi="Times New Roman" w:cs="Times New Roman"/>
          <w:b/>
          <w:bCs/>
          <w:sz w:val="24"/>
          <w:szCs w:val="24"/>
          <w:lang w:val="es-PE"/>
        </w:rPr>
        <w:t>Gonzalo Abad del Busto – Vocal</w:t>
      </w:r>
    </w:p>
    <w:p w:rsidRPr="00041B86"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041B86"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041B86" w:rsidR="00C671F5" w:rsidSect="00077B6F">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D6AFE" w:rsidP="00784355" w:rsidRDefault="008D6AFE" w14:paraId="7AE12B30" w14:textId="77777777">
      <w:pPr>
        <w:spacing w:after="0" w:line="240" w:lineRule="auto"/>
      </w:pPr>
      <w:r>
        <w:separator/>
      </w:r>
    </w:p>
  </w:endnote>
  <w:endnote w:type="continuationSeparator" w:id="0">
    <w:p w:rsidR="008D6AFE" w:rsidP="00784355" w:rsidRDefault="008D6AFE" w14:paraId="3D8472B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D6AFE" w:rsidP="00784355" w:rsidRDefault="008D6AFE" w14:paraId="5D1BE620" w14:textId="77777777">
      <w:pPr>
        <w:spacing w:after="0" w:line="240" w:lineRule="auto"/>
      </w:pPr>
      <w:r>
        <w:separator/>
      </w:r>
    </w:p>
  </w:footnote>
  <w:footnote w:type="continuationSeparator" w:id="0">
    <w:p w:rsidR="008D6AFE" w:rsidP="00784355" w:rsidRDefault="008D6AFE" w14:paraId="5C31341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E6C3D16"/>
    <w:multiLevelType w:val="hybridMultilevel"/>
    <w:tmpl w:val="6C964C52"/>
    <w:lvl w:ilvl="0" w:tplc="7E32D3D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9"/>
  </w:num>
  <w:num w:numId="3" w16cid:durableId="760956054">
    <w:abstractNumId w:val="6"/>
  </w:num>
  <w:num w:numId="4" w16cid:durableId="1079518208">
    <w:abstractNumId w:val="5"/>
  </w:num>
  <w:num w:numId="5" w16cid:durableId="1198003566">
    <w:abstractNumId w:val="7"/>
  </w:num>
  <w:num w:numId="6" w16cid:durableId="1607540339">
    <w:abstractNumId w:val="0"/>
  </w:num>
  <w:num w:numId="7" w16cid:durableId="1490902120">
    <w:abstractNumId w:val="10"/>
  </w:num>
  <w:num w:numId="8" w16cid:durableId="615214413">
    <w:abstractNumId w:val="11"/>
  </w:num>
  <w:num w:numId="9" w16cid:durableId="10181194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9896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627"/>
    <w:rsid w:val="00005B96"/>
    <w:rsid w:val="00010987"/>
    <w:rsid w:val="00013057"/>
    <w:rsid w:val="000159CC"/>
    <w:rsid w:val="00015C22"/>
    <w:rsid w:val="00015D27"/>
    <w:rsid w:val="000167E0"/>
    <w:rsid w:val="000235E9"/>
    <w:rsid w:val="0002637D"/>
    <w:rsid w:val="0002733C"/>
    <w:rsid w:val="00027978"/>
    <w:rsid w:val="00034DBD"/>
    <w:rsid w:val="000365E3"/>
    <w:rsid w:val="00041B86"/>
    <w:rsid w:val="0004480C"/>
    <w:rsid w:val="00050563"/>
    <w:rsid w:val="00053D16"/>
    <w:rsid w:val="00056D9F"/>
    <w:rsid w:val="00063183"/>
    <w:rsid w:val="0006548C"/>
    <w:rsid w:val="0006754B"/>
    <w:rsid w:val="00070DB6"/>
    <w:rsid w:val="00071A25"/>
    <w:rsid w:val="00076E73"/>
    <w:rsid w:val="00077B6F"/>
    <w:rsid w:val="00080A9A"/>
    <w:rsid w:val="000835CB"/>
    <w:rsid w:val="00083D69"/>
    <w:rsid w:val="00083F50"/>
    <w:rsid w:val="00084148"/>
    <w:rsid w:val="00092684"/>
    <w:rsid w:val="0009634E"/>
    <w:rsid w:val="000A5666"/>
    <w:rsid w:val="000A5CAA"/>
    <w:rsid w:val="000B19A0"/>
    <w:rsid w:val="000B58D8"/>
    <w:rsid w:val="000C0734"/>
    <w:rsid w:val="000C3D6F"/>
    <w:rsid w:val="000D7664"/>
    <w:rsid w:val="000F6340"/>
    <w:rsid w:val="0011308C"/>
    <w:rsid w:val="001230C6"/>
    <w:rsid w:val="001233F2"/>
    <w:rsid w:val="00125B9B"/>
    <w:rsid w:val="001320DF"/>
    <w:rsid w:val="00136E12"/>
    <w:rsid w:val="001373AF"/>
    <w:rsid w:val="001377EF"/>
    <w:rsid w:val="0014407B"/>
    <w:rsid w:val="00150874"/>
    <w:rsid w:val="001508BC"/>
    <w:rsid w:val="001529FE"/>
    <w:rsid w:val="0016101B"/>
    <w:rsid w:val="00165FF2"/>
    <w:rsid w:val="001703D8"/>
    <w:rsid w:val="00170E39"/>
    <w:rsid w:val="00174918"/>
    <w:rsid w:val="00174DA5"/>
    <w:rsid w:val="00181908"/>
    <w:rsid w:val="00181DCE"/>
    <w:rsid w:val="00187BFD"/>
    <w:rsid w:val="001950B9"/>
    <w:rsid w:val="0019649B"/>
    <w:rsid w:val="001A008A"/>
    <w:rsid w:val="001A3395"/>
    <w:rsid w:val="001A44E1"/>
    <w:rsid w:val="001B1998"/>
    <w:rsid w:val="001B1E59"/>
    <w:rsid w:val="001B58A3"/>
    <w:rsid w:val="001D0EED"/>
    <w:rsid w:val="001D59D9"/>
    <w:rsid w:val="001D6136"/>
    <w:rsid w:val="001E119C"/>
    <w:rsid w:val="001E4337"/>
    <w:rsid w:val="001E5803"/>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53FA0"/>
    <w:rsid w:val="00266105"/>
    <w:rsid w:val="0027261F"/>
    <w:rsid w:val="00272F4F"/>
    <w:rsid w:val="0027301E"/>
    <w:rsid w:val="00274985"/>
    <w:rsid w:val="002768C6"/>
    <w:rsid w:val="00276A92"/>
    <w:rsid w:val="00277667"/>
    <w:rsid w:val="0027785B"/>
    <w:rsid w:val="00290CA4"/>
    <w:rsid w:val="002A31D3"/>
    <w:rsid w:val="002A481F"/>
    <w:rsid w:val="002A7E2E"/>
    <w:rsid w:val="002B726E"/>
    <w:rsid w:val="002C1B87"/>
    <w:rsid w:val="002C2A0F"/>
    <w:rsid w:val="002D0DB0"/>
    <w:rsid w:val="002D3B01"/>
    <w:rsid w:val="002E1221"/>
    <w:rsid w:val="002E17F9"/>
    <w:rsid w:val="002E72CC"/>
    <w:rsid w:val="002F09CA"/>
    <w:rsid w:val="002F35F0"/>
    <w:rsid w:val="002F376A"/>
    <w:rsid w:val="003045E3"/>
    <w:rsid w:val="0032132E"/>
    <w:rsid w:val="00340E4B"/>
    <w:rsid w:val="0034529A"/>
    <w:rsid w:val="00345DF0"/>
    <w:rsid w:val="00345F7F"/>
    <w:rsid w:val="00347D7E"/>
    <w:rsid w:val="00353092"/>
    <w:rsid w:val="003544B1"/>
    <w:rsid w:val="00357D70"/>
    <w:rsid w:val="00362449"/>
    <w:rsid w:val="00364E0F"/>
    <w:rsid w:val="00366842"/>
    <w:rsid w:val="00367746"/>
    <w:rsid w:val="0038055E"/>
    <w:rsid w:val="0038290F"/>
    <w:rsid w:val="00391F72"/>
    <w:rsid w:val="00392259"/>
    <w:rsid w:val="003A3661"/>
    <w:rsid w:val="003A3F8C"/>
    <w:rsid w:val="003B348C"/>
    <w:rsid w:val="003B3A93"/>
    <w:rsid w:val="003B41F7"/>
    <w:rsid w:val="003B798E"/>
    <w:rsid w:val="003D09A9"/>
    <w:rsid w:val="003D4684"/>
    <w:rsid w:val="003D4687"/>
    <w:rsid w:val="003E0CC2"/>
    <w:rsid w:val="003E450C"/>
    <w:rsid w:val="003F0C97"/>
    <w:rsid w:val="003F1149"/>
    <w:rsid w:val="003F1B5F"/>
    <w:rsid w:val="003F3726"/>
    <w:rsid w:val="00403814"/>
    <w:rsid w:val="004049B9"/>
    <w:rsid w:val="00407045"/>
    <w:rsid w:val="00413C3F"/>
    <w:rsid w:val="00417E23"/>
    <w:rsid w:val="004201E5"/>
    <w:rsid w:val="00425F75"/>
    <w:rsid w:val="00434D9C"/>
    <w:rsid w:val="00440BC2"/>
    <w:rsid w:val="00444232"/>
    <w:rsid w:val="00460C30"/>
    <w:rsid w:val="00465FB9"/>
    <w:rsid w:val="00466302"/>
    <w:rsid w:val="0047370C"/>
    <w:rsid w:val="0047522D"/>
    <w:rsid w:val="00476BA1"/>
    <w:rsid w:val="00490F9F"/>
    <w:rsid w:val="00496A1A"/>
    <w:rsid w:val="004A3E25"/>
    <w:rsid w:val="004B51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4F74"/>
    <w:rsid w:val="00535473"/>
    <w:rsid w:val="00536C02"/>
    <w:rsid w:val="00537DBF"/>
    <w:rsid w:val="00540F01"/>
    <w:rsid w:val="00544BFC"/>
    <w:rsid w:val="00547EE5"/>
    <w:rsid w:val="00566021"/>
    <w:rsid w:val="00567DEC"/>
    <w:rsid w:val="0057035B"/>
    <w:rsid w:val="005818E3"/>
    <w:rsid w:val="00582D26"/>
    <w:rsid w:val="0058358B"/>
    <w:rsid w:val="00583A87"/>
    <w:rsid w:val="00585D65"/>
    <w:rsid w:val="005948EF"/>
    <w:rsid w:val="00597430"/>
    <w:rsid w:val="005A0B70"/>
    <w:rsid w:val="005A5A2C"/>
    <w:rsid w:val="005A782D"/>
    <w:rsid w:val="005B22E6"/>
    <w:rsid w:val="005B2924"/>
    <w:rsid w:val="005C524E"/>
    <w:rsid w:val="005C5AB9"/>
    <w:rsid w:val="005D3E09"/>
    <w:rsid w:val="005D3E68"/>
    <w:rsid w:val="005E0EC2"/>
    <w:rsid w:val="005E2CBE"/>
    <w:rsid w:val="005E4870"/>
    <w:rsid w:val="005F4C97"/>
    <w:rsid w:val="00605902"/>
    <w:rsid w:val="00606105"/>
    <w:rsid w:val="00613A39"/>
    <w:rsid w:val="00622ABC"/>
    <w:rsid w:val="00623204"/>
    <w:rsid w:val="00624034"/>
    <w:rsid w:val="0063619A"/>
    <w:rsid w:val="006408A2"/>
    <w:rsid w:val="006442E0"/>
    <w:rsid w:val="0064607A"/>
    <w:rsid w:val="00652672"/>
    <w:rsid w:val="0065542B"/>
    <w:rsid w:val="0065594D"/>
    <w:rsid w:val="00655A90"/>
    <w:rsid w:val="00655BA3"/>
    <w:rsid w:val="00657AD2"/>
    <w:rsid w:val="00666E73"/>
    <w:rsid w:val="00670FBA"/>
    <w:rsid w:val="00671DB5"/>
    <w:rsid w:val="00676532"/>
    <w:rsid w:val="00680D8A"/>
    <w:rsid w:val="00686BB2"/>
    <w:rsid w:val="006878E1"/>
    <w:rsid w:val="0069304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4C9A"/>
    <w:rsid w:val="007261FD"/>
    <w:rsid w:val="00726BD2"/>
    <w:rsid w:val="007300C4"/>
    <w:rsid w:val="007434BA"/>
    <w:rsid w:val="00744447"/>
    <w:rsid w:val="00754DAC"/>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40B7"/>
    <w:rsid w:val="007D5BB1"/>
    <w:rsid w:val="007D7213"/>
    <w:rsid w:val="007E5917"/>
    <w:rsid w:val="007F0419"/>
    <w:rsid w:val="007F14C0"/>
    <w:rsid w:val="007F6BA4"/>
    <w:rsid w:val="007F74F1"/>
    <w:rsid w:val="008010D0"/>
    <w:rsid w:val="008020A1"/>
    <w:rsid w:val="00811120"/>
    <w:rsid w:val="00816B3F"/>
    <w:rsid w:val="0081754D"/>
    <w:rsid w:val="008177B9"/>
    <w:rsid w:val="00821801"/>
    <w:rsid w:val="00821DED"/>
    <w:rsid w:val="00832D37"/>
    <w:rsid w:val="00836831"/>
    <w:rsid w:val="00837DDE"/>
    <w:rsid w:val="008523F5"/>
    <w:rsid w:val="008548F9"/>
    <w:rsid w:val="0085575C"/>
    <w:rsid w:val="0085791F"/>
    <w:rsid w:val="00857988"/>
    <w:rsid w:val="00860E34"/>
    <w:rsid w:val="0086244F"/>
    <w:rsid w:val="00871F40"/>
    <w:rsid w:val="00883121"/>
    <w:rsid w:val="0088392F"/>
    <w:rsid w:val="00884426"/>
    <w:rsid w:val="00886D60"/>
    <w:rsid w:val="00887814"/>
    <w:rsid w:val="008916FF"/>
    <w:rsid w:val="00891DB3"/>
    <w:rsid w:val="00895A85"/>
    <w:rsid w:val="008A1D12"/>
    <w:rsid w:val="008A3A47"/>
    <w:rsid w:val="008D270F"/>
    <w:rsid w:val="008D6AFE"/>
    <w:rsid w:val="008D6DDF"/>
    <w:rsid w:val="008F1161"/>
    <w:rsid w:val="008F479E"/>
    <w:rsid w:val="008F708B"/>
    <w:rsid w:val="008F7C83"/>
    <w:rsid w:val="009011F1"/>
    <w:rsid w:val="009127A6"/>
    <w:rsid w:val="0091528B"/>
    <w:rsid w:val="009157B1"/>
    <w:rsid w:val="00917CAF"/>
    <w:rsid w:val="009225DD"/>
    <w:rsid w:val="009272D7"/>
    <w:rsid w:val="00933532"/>
    <w:rsid w:val="00943343"/>
    <w:rsid w:val="00943DA4"/>
    <w:rsid w:val="00946694"/>
    <w:rsid w:val="00951B99"/>
    <w:rsid w:val="00955C03"/>
    <w:rsid w:val="00964237"/>
    <w:rsid w:val="00966813"/>
    <w:rsid w:val="00966AEB"/>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1B9"/>
    <w:rsid w:val="009C6404"/>
    <w:rsid w:val="009D3B98"/>
    <w:rsid w:val="009D6055"/>
    <w:rsid w:val="009E0A09"/>
    <w:rsid w:val="009E5F11"/>
    <w:rsid w:val="009E7994"/>
    <w:rsid w:val="009F143B"/>
    <w:rsid w:val="009F2EEB"/>
    <w:rsid w:val="00A02270"/>
    <w:rsid w:val="00A0362B"/>
    <w:rsid w:val="00A04A06"/>
    <w:rsid w:val="00A077D2"/>
    <w:rsid w:val="00A16942"/>
    <w:rsid w:val="00A17A72"/>
    <w:rsid w:val="00A244A1"/>
    <w:rsid w:val="00A25F51"/>
    <w:rsid w:val="00A30393"/>
    <w:rsid w:val="00A32246"/>
    <w:rsid w:val="00A328C0"/>
    <w:rsid w:val="00A3714C"/>
    <w:rsid w:val="00A427D6"/>
    <w:rsid w:val="00A446D0"/>
    <w:rsid w:val="00A44E53"/>
    <w:rsid w:val="00A46E96"/>
    <w:rsid w:val="00A47131"/>
    <w:rsid w:val="00A52030"/>
    <w:rsid w:val="00A57F06"/>
    <w:rsid w:val="00A62BEC"/>
    <w:rsid w:val="00A658C1"/>
    <w:rsid w:val="00A734AD"/>
    <w:rsid w:val="00A837A0"/>
    <w:rsid w:val="00A90926"/>
    <w:rsid w:val="00A9477C"/>
    <w:rsid w:val="00A97287"/>
    <w:rsid w:val="00AA2DED"/>
    <w:rsid w:val="00AB1C66"/>
    <w:rsid w:val="00AB2184"/>
    <w:rsid w:val="00AB5E65"/>
    <w:rsid w:val="00AC5A9E"/>
    <w:rsid w:val="00AD1FEC"/>
    <w:rsid w:val="00AD2DF1"/>
    <w:rsid w:val="00AE4125"/>
    <w:rsid w:val="00AF5E87"/>
    <w:rsid w:val="00B00552"/>
    <w:rsid w:val="00B01C3A"/>
    <w:rsid w:val="00B02BEE"/>
    <w:rsid w:val="00B10F71"/>
    <w:rsid w:val="00B11C1C"/>
    <w:rsid w:val="00B17BD8"/>
    <w:rsid w:val="00B30B53"/>
    <w:rsid w:val="00B313E9"/>
    <w:rsid w:val="00B32325"/>
    <w:rsid w:val="00B340A4"/>
    <w:rsid w:val="00B45C2D"/>
    <w:rsid w:val="00B56649"/>
    <w:rsid w:val="00B618FF"/>
    <w:rsid w:val="00B625F2"/>
    <w:rsid w:val="00B663DC"/>
    <w:rsid w:val="00B710D8"/>
    <w:rsid w:val="00B73629"/>
    <w:rsid w:val="00B7466E"/>
    <w:rsid w:val="00B779BD"/>
    <w:rsid w:val="00B8021E"/>
    <w:rsid w:val="00B8028F"/>
    <w:rsid w:val="00B8087B"/>
    <w:rsid w:val="00B833BE"/>
    <w:rsid w:val="00B87B08"/>
    <w:rsid w:val="00B928FB"/>
    <w:rsid w:val="00B93C7A"/>
    <w:rsid w:val="00B956C4"/>
    <w:rsid w:val="00BA0192"/>
    <w:rsid w:val="00BB2152"/>
    <w:rsid w:val="00BB2BE0"/>
    <w:rsid w:val="00BB405B"/>
    <w:rsid w:val="00BB40EE"/>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173A8"/>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3750"/>
    <w:rsid w:val="00C84FBA"/>
    <w:rsid w:val="00C8675B"/>
    <w:rsid w:val="00C86CD7"/>
    <w:rsid w:val="00C9376B"/>
    <w:rsid w:val="00C94FD1"/>
    <w:rsid w:val="00C9581A"/>
    <w:rsid w:val="00C960BE"/>
    <w:rsid w:val="00C9791B"/>
    <w:rsid w:val="00CA3682"/>
    <w:rsid w:val="00CB44BB"/>
    <w:rsid w:val="00CC4AEF"/>
    <w:rsid w:val="00CC6C0C"/>
    <w:rsid w:val="00CD1FB3"/>
    <w:rsid w:val="00CD4BE8"/>
    <w:rsid w:val="00CF55D6"/>
    <w:rsid w:val="00CF78D3"/>
    <w:rsid w:val="00D10B27"/>
    <w:rsid w:val="00D12CFF"/>
    <w:rsid w:val="00D156AF"/>
    <w:rsid w:val="00D16367"/>
    <w:rsid w:val="00D2092C"/>
    <w:rsid w:val="00D22DC3"/>
    <w:rsid w:val="00D25683"/>
    <w:rsid w:val="00D27042"/>
    <w:rsid w:val="00D4253A"/>
    <w:rsid w:val="00D43DF1"/>
    <w:rsid w:val="00D50B42"/>
    <w:rsid w:val="00D57228"/>
    <w:rsid w:val="00D61C6D"/>
    <w:rsid w:val="00D64034"/>
    <w:rsid w:val="00D65AF1"/>
    <w:rsid w:val="00D73109"/>
    <w:rsid w:val="00D76C43"/>
    <w:rsid w:val="00D810EC"/>
    <w:rsid w:val="00D835B6"/>
    <w:rsid w:val="00D84464"/>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E02C4A"/>
    <w:rsid w:val="00E107CA"/>
    <w:rsid w:val="00E1216B"/>
    <w:rsid w:val="00E1477F"/>
    <w:rsid w:val="00E16C63"/>
    <w:rsid w:val="00E25348"/>
    <w:rsid w:val="00E25D54"/>
    <w:rsid w:val="00E30E76"/>
    <w:rsid w:val="00E341F5"/>
    <w:rsid w:val="00E37E67"/>
    <w:rsid w:val="00E43D94"/>
    <w:rsid w:val="00E531B9"/>
    <w:rsid w:val="00E53BC5"/>
    <w:rsid w:val="00E57869"/>
    <w:rsid w:val="00E61DBC"/>
    <w:rsid w:val="00E64057"/>
    <w:rsid w:val="00E66AFF"/>
    <w:rsid w:val="00E6771C"/>
    <w:rsid w:val="00E70381"/>
    <w:rsid w:val="00E70F8F"/>
    <w:rsid w:val="00E73DEF"/>
    <w:rsid w:val="00E80D65"/>
    <w:rsid w:val="00E8773E"/>
    <w:rsid w:val="00E9734F"/>
    <w:rsid w:val="00EA4C4B"/>
    <w:rsid w:val="00EA77BE"/>
    <w:rsid w:val="00EC19C1"/>
    <w:rsid w:val="00EC7271"/>
    <w:rsid w:val="00ED09B6"/>
    <w:rsid w:val="00ED38AF"/>
    <w:rsid w:val="00ED5BA3"/>
    <w:rsid w:val="00ED60A1"/>
    <w:rsid w:val="00ED6123"/>
    <w:rsid w:val="00EE1C4A"/>
    <w:rsid w:val="00EE6D21"/>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3F49"/>
    <w:rsid w:val="00F65837"/>
    <w:rsid w:val="00F72D00"/>
    <w:rsid w:val="00F73EC5"/>
    <w:rsid w:val="00F7788A"/>
    <w:rsid w:val="00F77DCC"/>
    <w:rsid w:val="00F81150"/>
    <w:rsid w:val="00F833B7"/>
    <w:rsid w:val="00F83A22"/>
    <w:rsid w:val="00F84CF9"/>
    <w:rsid w:val="00F87C6C"/>
    <w:rsid w:val="00F87E38"/>
    <w:rsid w:val="00F919FC"/>
    <w:rsid w:val="00F97EA2"/>
    <w:rsid w:val="00FA155E"/>
    <w:rsid w:val="00FA2322"/>
    <w:rsid w:val="00FB4B0C"/>
    <w:rsid w:val="00FB4CAB"/>
    <w:rsid w:val="00FC0D10"/>
    <w:rsid w:val="00FC1934"/>
    <w:rsid w:val="00FC619D"/>
    <w:rsid w:val="00FE38F0"/>
    <w:rsid w:val="00FE43A9"/>
    <w:rsid w:val="00FF41F3"/>
    <w:rsid w:val="0F2E08FD"/>
    <w:rsid w:val="0F75AF94"/>
    <w:rsid w:val="1F896B9D"/>
    <w:rsid w:val="2A9BF365"/>
    <w:rsid w:val="2DC3E836"/>
    <w:rsid w:val="46D3AFE5"/>
    <w:rsid w:val="4CEFF743"/>
    <w:rsid w:val="4E6E4E29"/>
    <w:rsid w:val="6C821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490F9F"/>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669022323">
      <w:bodyDiv w:val="1"/>
      <w:marLeft w:val="0"/>
      <w:marRight w:val="0"/>
      <w:marTop w:val="0"/>
      <w:marBottom w:val="0"/>
      <w:divBdr>
        <w:top w:val="none" w:sz="0" w:space="0" w:color="auto"/>
        <w:left w:val="none" w:sz="0" w:space="0" w:color="auto"/>
        <w:bottom w:val="none" w:sz="0" w:space="0" w:color="auto"/>
        <w:right w:val="none" w:sz="0" w:space="0" w:color="auto"/>
      </w:divBdr>
    </w:div>
    <w:div w:id="757481042">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375040901">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5182089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23544058">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7baf080ab7ce4bde" Type="http://schemas.openxmlformats.org/officeDocument/2006/relationships/hyperlink" Target="http://www.defaseg.com.pe/reglament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B04B46A3-04C5-4465-BF7C-90F340949F32}"/>
</file>

<file path=customXml/itemProps3.xml><?xml version="1.0" encoding="utf-8"?>
<ds:datastoreItem xmlns:ds="http://schemas.openxmlformats.org/officeDocument/2006/customXml" ds:itemID="{D46F02EE-9300-4941-9797-4E5A1573ADCA}"/>
</file>

<file path=customXml/itemProps4.xml><?xml version="1.0" encoding="utf-8"?>
<ds:datastoreItem xmlns:ds="http://schemas.openxmlformats.org/officeDocument/2006/customXml" ds:itemID="{20A131B5-B99F-4038-B21E-9CC92874E50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102</cp:revision>
  <cp:lastPrinted>2022-05-06T15:57:00Z</cp:lastPrinted>
  <dcterms:created xsi:type="dcterms:W3CDTF">2020-12-18T20:17:00Z</dcterms:created>
  <dcterms:modified xsi:type="dcterms:W3CDTF">2025-11-26T21:35:58Z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