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814D6" w:rsidR="00B10F71" w:rsidP="00041B86" w:rsidRDefault="00201C0D" w14:paraId="51974F0B" w14:textId="5A079BEE">
      <w:pPr>
        <w:spacing w:after="0" w:line="240" w:lineRule="auto"/>
        <w:jc w:val="center"/>
        <w:rPr>
          <w:rFonts w:ascii="Times New Roman" w:hAnsi="Times New Roman" w:cs="Times New Roman"/>
          <w:b/>
          <w:sz w:val="24"/>
          <w:szCs w:val="24"/>
          <w:lang w:val="es-PE" w:eastAsia="ar-SA"/>
        </w:rPr>
      </w:pPr>
      <w:r w:rsidRPr="00C814D6">
        <w:rPr>
          <w:rFonts w:ascii="Times New Roman" w:hAnsi="Times New Roman" w:cs="Times New Roman"/>
          <w:b/>
          <w:sz w:val="24"/>
          <w:szCs w:val="24"/>
          <w:lang w:val="es-PE" w:eastAsia="ar-SA"/>
        </w:rPr>
        <w:t xml:space="preserve">RESOLUCIÓN DE RECURSO IMPUGNATIVO </w:t>
      </w:r>
      <w:proofErr w:type="spellStart"/>
      <w:r w:rsidRPr="00C814D6" w:rsidR="00707C99">
        <w:rPr>
          <w:rFonts w:ascii="Times New Roman" w:hAnsi="Times New Roman" w:cs="Times New Roman"/>
          <w:b/>
          <w:sz w:val="24"/>
          <w:szCs w:val="24"/>
          <w:lang w:val="es-PE" w:eastAsia="ar-SA"/>
        </w:rPr>
        <w:t>N°</w:t>
      </w:r>
      <w:proofErr w:type="spellEnd"/>
      <w:r w:rsidRPr="00C814D6" w:rsidR="00707C99">
        <w:rPr>
          <w:rFonts w:ascii="Times New Roman" w:hAnsi="Times New Roman" w:cs="Times New Roman"/>
          <w:b/>
          <w:sz w:val="24"/>
          <w:szCs w:val="24"/>
          <w:lang w:val="es-PE" w:eastAsia="ar-SA"/>
        </w:rPr>
        <w:t xml:space="preserve"> </w:t>
      </w:r>
      <w:r w:rsidRPr="00C814D6" w:rsidR="00C671F5">
        <w:rPr>
          <w:rFonts w:ascii="Times New Roman" w:hAnsi="Times New Roman" w:cs="Times New Roman"/>
          <w:b/>
          <w:sz w:val="24"/>
          <w:szCs w:val="24"/>
          <w:lang w:val="es-PE" w:eastAsia="ar-SA"/>
        </w:rPr>
        <w:t>0</w:t>
      </w:r>
      <w:r w:rsidRPr="00C814D6" w:rsidR="009F3B93">
        <w:rPr>
          <w:rFonts w:ascii="Times New Roman" w:hAnsi="Times New Roman" w:cs="Times New Roman"/>
          <w:b/>
          <w:sz w:val="24"/>
          <w:szCs w:val="24"/>
          <w:lang w:val="es-PE" w:eastAsia="ar-SA"/>
        </w:rPr>
        <w:t>30</w:t>
      </w:r>
      <w:r w:rsidRPr="00C814D6" w:rsidR="00C671F5">
        <w:rPr>
          <w:rFonts w:ascii="Times New Roman" w:hAnsi="Times New Roman" w:cs="Times New Roman"/>
          <w:b/>
          <w:sz w:val="24"/>
          <w:szCs w:val="24"/>
          <w:lang w:val="es-PE" w:eastAsia="ar-SA"/>
        </w:rPr>
        <w:t>/2</w:t>
      </w:r>
      <w:r w:rsidRPr="00C814D6" w:rsidR="00B93C7A">
        <w:rPr>
          <w:rFonts w:ascii="Times New Roman" w:hAnsi="Times New Roman" w:cs="Times New Roman"/>
          <w:b/>
          <w:sz w:val="24"/>
          <w:szCs w:val="24"/>
          <w:lang w:val="es-PE" w:eastAsia="ar-SA"/>
        </w:rPr>
        <w:t>2</w:t>
      </w:r>
    </w:p>
    <w:p w:rsidRPr="00C814D6"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Pr="00C814D6" w:rsidR="00E63B37" w:rsidP="00E63B37" w:rsidRDefault="00E63B37" w14:paraId="16388D91"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C814D6">
        <w:rPr>
          <w:rFonts w:ascii="Times New Roman" w:hAnsi="Times New Roman" w:eastAsia="Times New Roman" w:cs="Times New Roman"/>
          <w:b/>
          <w:bCs/>
          <w:sz w:val="24"/>
          <w:szCs w:val="24"/>
          <w:lang w:val="es-MX" w:eastAsia="ar-SA"/>
        </w:rPr>
        <w:t>Vistos:</w:t>
      </w:r>
    </w:p>
    <w:p w:rsidRPr="00C814D6" w:rsidR="00E63B37" w:rsidP="00E63B37" w:rsidRDefault="00E63B37" w14:paraId="129BB2D8"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C814D6">
        <w:rPr>
          <w:rFonts w:ascii="Times New Roman" w:hAnsi="Times New Roman" w:eastAsia="Times New Roman" w:cs="Times New Roman"/>
          <w:b/>
          <w:bCs/>
          <w:sz w:val="24"/>
          <w:szCs w:val="24"/>
          <w:lang w:val="es-MX" w:eastAsia="ar-SA"/>
        </w:rPr>
        <w:t xml:space="preserve">   </w:t>
      </w:r>
    </w:p>
    <w:p w:rsidRPr="00C814D6" w:rsidR="00E63B37" w:rsidP="2067BFF3" w:rsidRDefault="00E63B37" w14:paraId="7A28C0A9" w14:textId="32229180">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ar-SA"/>
        </w:rPr>
      </w:pPr>
      <w:r w:rsidRPr="2067BFF3" w:rsidR="00E63B37">
        <w:rPr>
          <w:rFonts w:ascii="Times New Roman" w:hAnsi="Times New Roman" w:eastAsia="Times New Roman" w:cs="Times New Roman"/>
          <w:sz w:val="24"/>
          <w:szCs w:val="24"/>
          <w:lang w:val="es-ES" w:eastAsia="ar-SA"/>
        </w:rPr>
        <w:t>El recurso de impugnación presentado por</w:t>
      </w:r>
      <w:r w:rsidRPr="2067BFF3" w:rsidR="00E63B37">
        <w:rPr>
          <w:rFonts w:ascii="Times New Roman" w:hAnsi="Times New Roman" w:cs="Times New Roman"/>
          <w:sz w:val="24"/>
          <w:szCs w:val="24"/>
          <w:lang w:val="es-ES"/>
        </w:rPr>
        <w:t xml:space="preserve"> </w:t>
      </w:r>
      <w:r w:rsidRPr="2067BFF3" w:rsidR="5349371D">
        <w:rPr>
          <w:rFonts w:ascii="Times New Roman" w:hAnsi="Times New Roman" w:cs="Times New Roman"/>
          <w:sz w:val="24"/>
          <w:szCs w:val="24"/>
          <w:lang w:val="es-ES"/>
        </w:rPr>
        <w:t>...................................</w:t>
      </w:r>
      <w:r w:rsidRPr="2067BFF3" w:rsidR="00E63B37">
        <w:rPr>
          <w:rFonts w:ascii="Times New Roman" w:hAnsi="Times New Roman" w:cs="Times New Roman"/>
          <w:sz w:val="24"/>
          <w:szCs w:val="24"/>
          <w:lang w:val="es-ES"/>
        </w:rPr>
        <w:t xml:space="preserve"> </w:t>
      </w:r>
      <w:r w:rsidRPr="2067BFF3" w:rsidR="00E63B37">
        <w:rPr>
          <w:rFonts w:ascii="Times New Roman" w:hAnsi="Times New Roman" w:eastAsia="Times New Roman" w:cs="Times New Roman"/>
          <w:sz w:val="24"/>
          <w:szCs w:val="24"/>
          <w:lang w:val="es-ES" w:eastAsia="ar-SA"/>
        </w:rPr>
        <w:t xml:space="preserve">respecto de la Resolución Nro. 060/22, de fecha 25 de marzo de 2022, emitida esta Defensoría del Asegurado (DEFASEG), que declaró FUNDADA la reclamación interpuesta por </w:t>
      </w:r>
      <w:r w:rsidRPr="2067BFF3" w:rsidR="61B9E79E">
        <w:rPr>
          <w:rFonts w:ascii="Times New Roman" w:hAnsi="Times New Roman" w:eastAsia="Times New Roman" w:cs="Times New Roman"/>
          <w:sz w:val="24"/>
          <w:szCs w:val="24"/>
          <w:lang w:val="es-ES" w:eastAsia="ar-SA"/>
        </w:rPr>
        <w:t>...........................................................................</w:t>
      </w:r>
      <w:r w:rsidRPr="2067BFF3" w:rsidR="00E63B37">
        <w:rPr>
          <w:rFonts w:ascii="Times New Roman" w:hAnsi="Times New Roman" w:eastAsia="Times New Roman" w:cs="Times New Roman"/>
          <w:sz w:val="24"/>
          <w:szCs w:val="24"/>
          <w:lang w:val="es-ES" w:eastAsia="ar-SA"/>
        </w:rPr>
        <w:t xml:space="preserve"> respecto de la cobertura del seguro de desgravamen contratado por el asegurado señor </w:t>
      </w:r>
      <w:r w:rsidRPr="2067BFF3" w:rsidR="52399564">
        <w:rPr>
          <w:rFonts w:ascii="Times New Roman" w:hAnsi="Times New Roman" w:eastAsia="Times New Roman" w:cs="Times New Roman"/>
          <w:sz w:val="24"/>
          <w:szCs w:val="24"/>
          <w:lang w:val="es-ES" w:eastAsia="ar-SA"/>
        </w:rPr>
        <w:t>.................................................................</w:t>
      </w:r>
      <w:r w:rsidRPr="2067BFF3" w:rsidR="00E63B37">
        <w:rPr>
          <w:rFonts w:ascii="Times New Roman" w:hAnsi="Times New Roman" w:eastAsia="Times New Roman" w:cs="Times New Roman"/>
          <w:sz w:val="24"/>
          <w:szCs w:val="24"/>
          <w:lang w:val="es-ES" w:eastAsia="ar-SA"/>
        </w:rPr>
        <w:t xml:space="preserve"> a través del </w:t>
      </w:r>
      <w:r w:rsidRPr="2067BFF3" w:rsidR="4F809DF1">
        <w:rPr>
          <w:rFonts w:ascii="Times New Roman" w:hAnsi="Times New Roman" w:eastAsia="Times New Roman" w:cs="Times New Roman"/>
          <w:sz w:val="24"/>
          <w:szCs w:val="24"/>
          <w:lang w:val="es-ES" w:eastAsia="ar-SA"/>
        </w:rPr>
        <w:t>..................................</w:t>
      </w:r>
    </w:p>
    <w:p w:rsidRPr="00C814D6" w:rsidR="00E63B37" w:rsidP="00E63B37" w:rsidRDefault="00E63B37" w14:paraId="08741C71"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C814D6" w:rsidR="00E63B37" w:rsidP="2067BFF3" w:rsidRDefault="00E63B37" w14:paraId="6973D711" w14:textId="768ADFFC">
      <w:pPr>
        <w:suppressAutoHyphens/>
        <w:spacing w:after="0" w:line="240" w:lineRule="auto"/>
        <w:jc w:val="both"/>
        <w:rPr>
          <w:rFonts w:ascii="Times New Roman" w:hAnsi="Times New Roman" w:eastAsia="Times New Roman" w:cs="Times New Roman"/>
          <w:sz w:val="24"/>
          <w:szCs w:val="24"/>
          <w:lang w:val="es-MX" w:eastAsia="ar-SA"/>
        </w:rPr>
      </w:pPr>
      <w:r w:rsidRPr="2067BFF3" w:rsidR="00E63B37">
        <w:rPr>
          <w:rFonts w:ascii="Times New Roman" w:hAnsi="Times New Roman" w:eastAsia="Times New Roman" w:cs="Times New Roman"/>
          <w:sz w:val="24"/>
          <w:szCs w:val="24"/>
          <w:lang w:val="es-MX" w:eastAsia="ar-SA"/>
        </w:rPr>
        <w:t xml:space="preserve">Que, a través del señalado recurso, la aseguradora expresa su discrepancia con lo señalado por la Defensoría pues considera que el rechazo se encuentra debidamente justificado y no se ha incurrido en la figura del siniestro consentido; que ellos cumplieron con entregar la carta de rechazo al beneficiario del seguro que es el </w:t>
      </w:r>
      <w:r w:rsidRPr="2067BFF3" w:rsidR="1E18426E">
        <w:rPr>
          <w:rFonts w:ascii="Times New Roman" w:hAnsi="Times New Roman" w:eastAsia="Times New Roman" w:cs="Times New Roman"/>
          <w:sz w:val="24"/>
          <w:szCs w:val="24"/>
          <w:lang w:val="es-MX" w:eastAsia="ar-SA"/>
        </w:rPr>
        <w:t>....................</w:t>
      </w:r>
      <w:r w:rsidRPr="2067BFF3" w:rsidR="00E63B37">
        <w:rPr>
          <w:rFonts w:ascii="Times New Roman" w:hAnsi="Times New Roman" w:eastAsia="Times New Roman" w:cs="Times New Roman"/>
          <w:sz w:val="24"/>
          <w:szCs w:val="24"/>
          <w:lang w:val="es-MX" w:eastAsia="ar-SA"/>
        </w:rPr>
        <w:t>, el 25 de marzo de 2021; que recibieron la solicitud de cobertura el 18 de febrero de 2021 y que el 22 de febrero enviaron una carta de observación al Banco requiriendo más información la que no se completó.</w:t>
      </w:r>
    </w:p>
    <w:p w:rsidRPr="00C814D6" w:rsidR="00E63B37" w:rsidP="00E63B37" w:rsidRDefault="00E63B37" w14:paraId="1C0E93F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814D6" w:rsidR="00E63B37" w:rsidP="00E63B37" w:rsidRDefault="00E63B37" w14:paraId="764F8767"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C814D6">
        <w:rPr>
          <w:rFonts w:ascii="Times New Roman" w:hAnsi="Times New Roman" w:eastAsia="Times New Roman" w:cs="Times New Roman"/>
          <w:bCs/>
          <w:sz w:val="24"/>
          <w:szCs w:val="24"/>
          <w:lang w:val="es-MX" w:eastAsia="ar-SA"/>
        </w:rPr>
        <w:t>Que, habiéndosele corrido traslado de la señalada impugnación, la reclamante señala que la aseguradora tenía un plazo de 30 días para declarar la nulidad y hacer conocer de ella al asegurado, lo cual en este caso no se cumplió, porque notificó el rechazo de la cobertura por preexistencia luego del mismo; añade que el recurso sería extemporáneo por cuanto fue presentado el 4 de abril de 2022, habiendo el plazo para impugnarlo vencido el 1 de abril de 2022.</w:t>
      </w:r>
    </w:p>
    <w:p w:rsidRPr="00C814D6" w:rsidR="00E63B37" w:rsidP="00E63B37" w:rsidRDefault="00E63B37" w14:paraId="640A735A"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814D6" w:rsidR="00E63B37" w:rsidP="00E63B37" w:rsidRDefault="00E63B37" w14:paraId="7FF82420"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C814D6">
        <w:rPr>
          <w:rFonts w:ascii="Times New Roman" w:hAnsi="Times New Roman" w:eastAsia="Times New Roman" w:cs="Times New Roman"/>
          <w:b/>
          <w:bCs/>
          <w:sz w:val="24"/>
          <w:szCs w:val="24"/>
          <w:lang w:val="es-MX" w:eastAsia="ar-SA"/>
        </w:rPr>
        <w:t>Considerando:</w:t>
      </w:r>
    </w:p>
    <w:p w:rsidRPr="00C814D6" w:rsidR="00E63B37" w:rsidP="00E63B37" w:rsidRDefault="00E63B37" w14:paraId="6D8ED70F" w14:textId="77777777">
      <w:pPr>
        <w:suppressAutoHyphens/>
        <w:spacing w:after="0" w:line="240" w:lineRule="auto"/>
        <w:jc w:val="both"/>
        <w:rPr>
          <w:rFonts w:ascii="Times New Roman" w:hAnsi="Times New Roman" w:eastAsia="Times New Roman" w:cs="Times New Roman"/>
          <w:sz w:val="24"/>
          <w:szCs w:val="24"/>
          <w:lang w:val="es-ES" w:eastAsia="ar-SA"/>
        </w:rPr>
      </w:pPr>
    </w:p>
    <w:p w:rsidRPr="00C814D6" w:rsidR="00E63B37" w:rsidP="00E63B37" w:rsidRDefault="00E63B37" w14:paraId="1BDD48F9" w14:textId="77777777">
      <w:pPr>
        <w:jc w:val="both"/>
        <w:rPr>
          <w:rFonts w:ascii="Times New Roman" w:hAnsi="Times New Roman" w:cs="Times New Roman"/>
          <w:bCs/>
          <w:sz w:val="24"/>
          <w:szCs w:val="24"/>
          <w:lang w:val="es-PE"/>
        </w:rPr>
      </w:pPr>
      <w:r w:rsidRPr="00C814D6">
        <w:rPr>
          <w:rFonts w:ascii="Times New Roman" w:hAnsi="Times New Roman" w:cs="Times New Roman"/>
          <w:b/>
          <w:sz w:val="24"/>
          <w:szCs w:val="24"/>
          <w:u w:val="single"/>
          <w:lang w:val="es-PE"/>
        </w:rPr>
        <w:t>PRIMERO</w:t>
      </w:r>
      <w:r w:rsidRPr="00C814D6">
        <w:rPr>
          <w:rFonts w:ascii="Times New Roman" w:hAnsi="Times New Roman" w:cs="Times New Roman"/>
          <w:b/>
          <w:sz w:val="24"/>
          <w:szCs w:val="24"/>
          <w:lang w:val="es-PE"/>
        </w:rPr>
        <w:t>:</w:t>
      </w:r>
      <w:r w:rsidRPr="00C814D6">
        <w:rPr>
          <w:rFonts w:ascii="Times New Roman" w:hAnsi="Times New Roman" w:cs="Times New Roman"/>
          <w:bCs/>
          <w:sz w:val="24"/>
          <w:szCs w:val="24"/>
          <w:lang w:val="es-PE"/>
        </w:rPr>
        <w:t xml:space="preserve"> El artículo 10 (Procedimiento) del Reglamento de la DEFASEG </w:t>
      </w:r>
      <w:r w:rsidRPr="00C814D6">
        <w:rPr>
          <w:rFonts w:ascii="Times New Roman" w:hAnsi="Times New Roman" w:eastAsia="Arial Unicode MS" w:cs="Times New Roman"/>
          <w:bCs/>
          <w:sz w:val="24"/>
          <w:szCs w:val="24"/>
          <w:lang w:val="es-PE"/>
        </w:rPr>
        <w:t>(http://www.defaseg.com.pe/reglamento)</w:t>
      </w:r>
      <w:r w:rsidRPr="00C814D6">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C814D6" w:rsidR="00E63B37" w:rsidP="00E63B37" w:rsidRDefault="00E63B37" w14:paraId="134528F0"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C814D6" w:rsidR="00E63B37" w:rsidP="00E63B37" w:rsidRDefault="00E63B37" w14:paraId="5F4046AB" w14:textId="77777777">
      <w:pPr>
        <w:spacing w:after="0"/>
        <w:jc w:val="both"/>
        <w:rPr>
          <w:rFonts w:ascii="Times New Roman" w:hAnsi="Times New Roman" w:cs="Times New Roman"/>
          <w:bCs/>
          <w:sz w:val="24"/>
          <w:szCs w:val="24"/>
          <w:lang w:val="es-PE"/>
        </w:rPr>
      </w:pPr>
    </w:p>
    <w:p w:rsidRPr="00C814D6" w:rsidR="00E63B37" w:rsidP="00E63B37" w:rsidRDefault="00E63B37" w14:paraId="3FE3F2E6"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
          <w:sz w:val="24"/>
          <w:szCs w:val="24"/>
          <w:u w:val="single"/>
          <w:lang w:val="es-PE"/>
        </w:rPr>
        <w:t>SEGUNDO:</w:t>
      </w:r>
      <w:r w:rsidRPr="00C814D6">
        <w:rPr>
          <w:rFonts w:ascii="Times New Roman" w:hAnsi="Times New Roman" w:cs="Times New Roman"/>
          <w:bCs/>
          <w:sz w:val="24"/>
          <w:szCs w:val="24"/>
          <w:lang w:val="es-PE"/>
        </w:rPr>
        <w:t xml:space="preserve"> Este colegiado ha verificado que la Resolución impugnada fue notificada a ambas partes el viernes 25 de marzo de 2022; asimismo verifica que el recurso de apelación de la aseguradora fue presentado por correo electrónico a la DEFASEG el viernes 1 de abril de 2022 a horas 19:39, conforme se aprecia de la siguiente imagen:</w:t>
      </w:r>
    </w:p>
    <w:p w:rsidRPr="00C814D6" w:rsidR="00E63B37" w:rsidP="00E63B37" w:rsidRDefault="00E63B37" w14:paraId="26EA4729" w14:textId="77777777">
      <w:pPr>
        <w:spacing w:after="0"/>
        <w:jc w:val="both"/>
        <w:rPr>
          <w:rFonts w:ascii="Times New Roman" w:hAnsi="Times New Roman" w:cs="Times New Roman"/>
          <w:bCs/>
          <w:sz w:val="24"/>
          <w:szCs w:val="24"/>
          <w:lang w:val="es-PE"/>
        </w:rPr>
      </w:pPr>
    </w:p>
    <w:p w:rsidRPr="00C814D6" w:rsidR="00E63B37" w:rsidP="00E63B37" w:rsidRDefault="00E63B37" w14:paraId="04B8AF10" w14:textId="31BC7C34">
      <w:pPr>
        <w:spacing w:after="0"/>
        <w:jc w:val="both"/>
      </w:pPr>
      <w:r w:rsidR="0E719533">
        <w:rPr/>
        <w:t>.............................................................................................................................................................</w:t>
      </w:r>
    </w:p>
    <w:p w:rsidRPr="00C814D6" w:rsidR="00E63B37" w:rsidP="00E63B37" w:rsidRDefault="00E63B37" w14:paraId="3C20B102"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 </w:t>
      </w:r>
    </w:p>
    <w:p w:rsidRPr="00C814D6" w:rsidR="00E63B37" w:rsidP="00E63B37" w:rsidRDefault="00E63B37" w14:paraId="4D337C68"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Asimismo verifica que por error el recurso de apelación adjunto al correo lleva fecha del 4 de abril de 2022, no obstante la fecha que debe considerarse como válida, no es la que las partes puedan consignar en un escrito, que pudo ser incluso una fecha anterior, sino la fecha en la que este es efectivamente recibido (que es el mismo criterio que se utilizó en primera instancia para aplicar la figura del siniestro consentido); y,  en consecuencia, al haber sido el recurso impugnatorio recibido por la DEFASEG el 1 de abril de 2022, es esa la fecha que se da por válida.</w:t>
      </w:r>
    </w:p>
    <w:p w:rsidRPr="00C814D6" w:rsidR="00E63B37" w:rsidP="00E63B37" w:rsidRDefault="00E63B37" w14:paraId="4B388416" w14:textId="77777777">
      <w:pPr>
        <w:spacing w:after="0"/>
        <w:jc w:val="both"/>
        <w:rPr>
          <w:rFonts w:ascii="Times New Roman" w:hAnsi="Times New Roman" w:cs="Times New Roman"/>
          <w:bCs/>
          <w:sz w:val="24"/>
          <w:szCs w:val="24"/>
          <w:lang w:val="es-PE"/>
        </w:rPr>
      </w:pPr>
    </w:p>
    <w:p w:rsidRPr="00C814D6" w:rsidR="00E63B37" w:rsidP="00E63B37" w:rsidRDefault="00E63B37" w14:paraId="523025D2"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Habiendo el recurso de impugnación presentado dentro del plazo de cinco (5) días hábiles, otorgados, el mismo no resulta extemporáneo. </w:t>
      </w:r>
    </w:p>
    <w:p w:rsidRPr="00C814D6" w:rsidR="00E63B37" w:rsidP="00E63B37" w:rsidRDefault="00E63B37" w14:paraId="1C27BD5C" w14:textId="77777777">
      <w:pPr>
        <w:spacing w:after="0"/>
        <w:jc w:val="both"/>
        <w:rPr>
          <w:rFonts w:ascii="Times New Roman" w:hAnsi="Times New Roman" w:cs="Times New Roman"/>
          <w:bCs/>
          <w:sz w:val="24"/>
          <w:szCs w:val="24"/>
          <w:lang w:val="es-PE"/>
        </w:rPr>
      </w:pPr>
    </w:p>
    <w:p w:rsidRPr="00C814D6" w:rsidR="00E63B37" w:rsidP="00E63B37" w:rsidRDefault="00E63B37" w14:paraId="3B98449E"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
          <w:sz w:val="24"/>
          <w:szCs w:val="24"/>
          <w:u w:val="single"/>
          <w:lang w:val="es-PE"/>
        </w:rPr>
        <w:t>TERCERO:</w:t>
      </w:r>
      <w:r w:rsidRPr="00C814D6">
        <w:rPr>
          <w:rFonts w:ascii="Times New Roman" w:hAnsi="Times New Roman" w:cs="Times New Roman"/>
          <w:bCs/>
          <w:sz w:val="24"/>
          <w:szCs w:val="24"/>
          <w:lang w:val="es-PE"/>
        </w:rPr>
        <w:t xml:space="preserve"> En el presente caso, se declaró fundado el reclamo en primera instancia por aplicación de la figura de siniestro consentido, conforme a los fundamentos que a continuación se transcriben:</w:t>
      </w:r>
    </w:p>
    <w:p w:rsidRPr="00C814D6" w:rsidR="00E63B37" w:rsidP="00E63B37" w:rsidRDefault="00E63B37" w14:paraId="5B8D4534" w14:textId="77777777">
      <w:pPr>
        <w:spacing w:after="0"/>
        <w:jc w:val="both"/>
        <w:rPr>
          <w:rFonts w:ascii="Times New Roman" w:hAnsi="Times New Roman" w:cs="Times New Roman"/>
          <w:bCs/>
          <w:sz w:val="24"/>
          <w:szCs w:val="24"/>
          <w:lang w:val="es-PE"/>
        </w:rPr>
      </w:pPr>
    </w:p>
    <w:p w:rsidRPr="00C814D6" w:rsidR="00E63B37" w:rsidP="00E63B37" w:rsidRDefault="00E63B37" w14:paraId="55A4B3A1"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“En su reclamación, el asegurado señala que solicitó la cobertura de seguro adjuntando la documentación necesaria para evaluar el siniestro el 17.02.21, la aseguradora por su parte no se ha pronunciado al respecto. </w:t>
      </w:r>
    </w:p>
    <w:p w:rsidRPr="00C814D6" w:rsidR="00E63B37" w:rsidP="00E63B37" w:rsidRDefault="00E63B37" w14:paraId="2A8C1C3A"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5C23B6C2"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Como prueba de lo expuesto, la reclamante presentó luego de la audiencia de vista el cargo de entrega de la solicitud de cobertura, adjuntando la historia clínica y el certificado de defunción, donde se aprecia que este fue entregado en la oficina de Arenales del Banco, conforme a lo siguiente:</w:t>
      </w:r>
    </w:p>
    <w:p w:rsidRPr="00C814D6" w:rsidR="00E63B37" w:rsidP="00E63B37" w:rsidRDefault="00E63B37" w14:paraId="61271A93"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w:t>
      </w:r>
    </w:p>
    <w:p w:rsidRPr="00C814D6" w:rsidR="00E63B37" w:rsidP="00E63B37" w:rsidRDefault="00E63B37" w14:paraId="34335B09"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313835BF"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Que, en lo que respecta a la carta de rechazo, la cual obra en el expediente, esta lleva fecha del 25.03.21, conforme se aprecia de la siguiente imagen:</w:t>
      </w:r>
    </w:p>
    <w:p w:rsidRPr="00C814D6" w:rsidR="00E63B37" w:rsidP="00E63B37" w:rsidRDefault="00E63B37" w14:paraId="5472B32E"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w:t>
      </w:r>
    </w:p>
    <w:p w:rsidRPr="00C814D6" w:rsidR="00E63B37" w:rsidP="00E63B37" w:rsidRDefault="00E63B37" w14:paraId="4F50E0E6"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6CD0B4B0"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No obstante, la reclamante indicó que la carta de rechazo recién le fue notificada el 07.05.21, motivo por el cual se le solicito en la audiencia de vista presentar algún documento que acreditara la fecha de entrega de </w:t>
      </w:r>
      <w:proofErr w:type="gramStart"/>
      <w:r w:rsidRPr="00C814D6">
        <w:rPr>
          <w:rFonts w:ascii="Times New Roman" w:hAnsi="Times New Roman" w:cs="Times New Roman"/>
          <w:i/>
          <w:iCs/>
          <w:sz w:val="24"/>
          <w:szCs w:val="24"/>
          <w:lang w:val="es-PE"/>
        </w:rPr>
        <w:t>la misma</w:t>
      </w:r>
      <w:proofErr w:type="gramEnd"/>
      <w:r w:rsidRPr="00C814D6">
        <w:rPr>
          <w:rFonts w:ascii="Times New Roman" w:hAnsi="Times New Roman" w:cs="Times New Roman"/>
          <w:i/>
          <w:iCs/>
          <w:sz w:val="24"/>
          <w:szCs w:val="24"/>
          <w:lang w:val="es-PE"/>
        </w:rPr>
        <w:t xml:space="preserve">. </w:t>
      </w:r>
    </w:p>
    <w:p w:rsidRPr="00C814D6" w:rsidR="00E63B37" w:rsidP="00E63B37" w:rsidRDefault="00E63B37" w14:paraId="1DB0BBAD"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201C9984"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Que, con posterioridad a la audiencia de vista, la reclamante adjuntó una cadena de correos electrónicos a través de los cuales en el mes de mayo reclama sobre la falta de respuesta a su solicitud de cobertura de febrero de 2021, recibiendo como respuesta un </w:t>
      </w:r>
      <w:r w:rsidRPr="00C814D6">
        <w:rPr>
          <w:rFonts w:ascii="Times New Roman" w:hAnsi="Times New Roman" w:cs="Times New Roman"/>
          <w:i/>
          <w:iCs/>
          <w:sz w:val="24"/>
          <w:szCs w:val="24"/>
          <w:lang w:val="es-PE"/>
        </w:rPr>
        <w:lastRenderedPageBreak/>
        <w:t xml:space="preserve">correo electrónico de fecha 7 de mayo de 2021, a través del cual se le informa del rechazo y se indica que se adjunta documentación. </w:t>
      </w:r>
    </w:p>
    <w:p w:rsidRPr="00C814D6" w:rsidR="00E63B37" w:rsidP="00E63B37" w:rsidRDefault="00E63B37" w14:paraId="043A233D"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45669D2C"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Asimismo, consultada la aseguradora al respecto, hasta la fecha no ha cumplido con pronunciarse ni contradecir lo expuesto por la reclamante. </w:t>
      </w:r>
    </w:p>
    <w:p w:rsidRPr="00C814D6" w:rsidR="00E63B37" w:rsidP="00E63B37" w:rsidRDefault="00E63B37" w14:paraId="0CA87BCD"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36A220A5"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En aplicación del artículo 44 de la Ley Nro. 29946, y de las propias reglas del derecho común, todas las comunicaciones contractuales son recepticias, esto es, deben estar dirigidas a persona determinada y sólo surten efecto legal cuando son puestas en su conocimiento máxime cuando se pretende afectar su esfera jurídica, presumiéndose ello cuando son entregadas al domicilio designado. Por último, la figura del "siniestro consentido", conforme a la regulación legislativa anteriormente reproducida, no sólo opera cuando la aseguradora omite pronunciarse sobre la solicitud de cobertura que cumpla con los requisitos correspondientes, sino también cuando el pronunciamiento no se comunica oportunamente, dentro del plazo legal, entendiéndose en ambos casos que el silencio despliega efectos jurídicos. </w:t>
      </w:r>
    </w:p>
    <w:p w:rsidRPr="00C814D6" w:rsidR="00E63B37" w:rsidP="00E63B37" w:rsidRDefault="00E63B37" w14:paraId="04CB2420"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00358C5D"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En consecuencia, debe concluirse que el rechazo de cobertura comunicado el 7 de mayo de 2021, respecto de una solicitud de cobertura presentada el 17 de febrero de 2021, fue extemporáneo, habiendo operado el denominado “siniestro consentido”, al margen que el siniestro corresponda o no a un supuesto de exclusión.”</w:t>
      </w:r>
    </w:p>
    <w:p w:rsidRPr="00C814D6" w:rsidR="00E63B37" w:rsidP="00E63B37" w:rsidRDefault="00E63B37" w14:paraId="215669C2"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0B240422"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La aseguradora, por su parte, sostiene que en este caso no debe considerarse como beneficiario a la reclamante, cónyuge del asegurado, sino al Banco, porque debido a la naturaleza del seguro de desgravamen es al Banco al que le correspondería de ser el caso, el pago de la cobertura de desgravamen, es decir el pago de la deuda, y como el artículo 15 del Reglamento para la Gestión y Pago de Siniestros señala que la comunicación de rechazo, debe ser cursada al asegurado o beneficiario, con la entrega de la carta de rechazo al beneficiario, en este caso al Banco, se tiene por cumplida dicha obligación; siendo que además se le pidió información adicional al Banco en marzo de 2021, la que no fue presentada, el siniestro no quedó consentido. </w:t>
      </w:r>
    </w:p>
    <w:p w:rsidRPr="00C814D6" w:rsidR="00E63B37" w:rsidP="00E63B37" w:rsidRDefault="00E63B37" w14:paraId="7FBF473E" w14:textId="77777777">
      <w:pPr>
        <w:spacing w:after="0"/>
        <w:jc w:val="both"/>
        <w:rPr>
          <w:rFonts w:ascii="Times New Roman" w:hAnsi="Times New Roman" w:cs="Times New Roman"/>
          <w:bCs/>
          <w:sz w:val="24"/>
          <w:szCs w:val="24"/>
          <w:lang w:val="es-PE"/>
        </w:rPr>
      </w:pPr>
    </w:p>
    <w:p w:rsidRPr="00C814D6" w:rsidR="00E63B37" w:rsidP="00E63B37" w:rsidRDefault="00E63B37" w14:paraId="681D0CE2"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Sustenta su posición en la siguiente secuencia cronológica de comunicaciones:</w:t>
      </w:r>
    </w:p>
    <w:p w:rsidRPr="00C814D6" w:rsidR="00E63B37" w:rsidP="00E63B37" w:rsidRDefault="00E63B37" w14:paraId="3D842194" w14:textId="77777777">
      <w:pPr>
        <w:spacing w:after="0"/>
        <w:jc w:val="both"/>
        <w:rPr>
          <w:rFonts w:ascii="Times New Roman" w:hAnsi="Times New Roman" w:cs="Times New Roman"/>
          <w:bCs/>
          <w:sz w:val="24"/>
          <w:szCs w:val="24"/>
          <w:lang w:val="es-PE"/>
        </w:rPr>
      </w:pPr>
    </w:p>
    <w:p w:rsidRPr="00C814D6" w:rsidR="00E63B37" w:rsidP="00E63B37" w:rsidRDefault="00E63B37" w14:paraId="1108FEB0" w14:textId="5BEAB6F7">
      <w:pPr>
        <w:spacing w:after="0"/>
        <w:jc w:val="center"/>
      </w:pPr>
      <w:r w:rsidR="6ADC5C51">
        <w:rPr/>
        <w:t>...........................................................................................................................................................</w:t>
      </w:r>
    </w:p>
    <w:p w:rsidRPr="00C814D6" w:rsidR="00E63B37" w:rsidP="00E63B37" w:rsidRDefault="00E63B37" w14:paraId="211F6A33" w14:textId="77777777">
      <w:pPr>
        <w:spacing w:after="0"/>
        <w:jc w:val="both"/>
        <w:rPr>
          <w:rFonts w:ascii="Times New Roman" w:hAnsi="Times New Roman" w:cs="Times New Roman"/>
          <w:bCs/>
          <w:sz w:val="24"/>
          <w:szCs w:val="24"/>
          <w:lang w:val="es-PE"/>
        </w:rPr>
      </w:pPr>
    </w:p>
    <w:p w:rsidRPr="00C814D6" w:rsidR="00E63B37" w:rsidP="00E63B37" w:rsidRDefault="00E63B37" w14:paraId="4D39EC36"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Al respecto, este colegiado expresa lo siguiente:</w:t>
      </w:r>
    </w:p>
    <w:p w:rsidRPr="00C814D6" w:rsidR="00E63B37" w:rsidP="00E63B37" w:rsidRDefault="00E63B37" w14:paraId="4227AA9C" w14:textId="77777777">
      <w:pPr>
        <w:spacing w:after="0"/>
        <w:jc w:val="both"/>
        <w:rPr>
          <w:rFonts w:ascii="Times New Roman" w:hAnsi="Times New Roman" w:cs="Times New Roman"/>
          <w:bCs/>
          <w:sz w:val="24"/>
          <w:szCs w:val="24"/>
          <w:lang w:val="es-PE"/>
        </w:rPr>
      </w:pPr>
    </w:p>
    <w:p w:rsidRPr="00C814D6" w:rsidR="00E63B37" w:rsidP="2067BFF3" w:rsidRDefault="00E63B37" w14:paraId="06C8F818" w14:textId="1287FA1E">
      <w:pPr>
        <w:pStyle w:val="Prrafodelista"/>
        <w:numPr>
          <w:ilvl w:val="0"/>
          <w:numId w:val="14"/>
        </w:numPr>
        <w:spacing w:after="0" w:line="256" w:lineRule="auto"/>
        <w:jc w:val="both"/>
        <w:rPr>
          <w:rFonts w:ascii="Times New Roman" w:hAnsi="Times New Roman" w:cs="Times New Roman"/>
          <w:sz w:val="24"/>
          <w:szCs w:val="24"/>
          <w:lang w:val="es-PE"/>
        </w:rPr>
      </w:pPr>
      <w:r w:rsidRPr="2067BFF3" w:rsidR="00E63B37">
        <w:rPr>
          <w:rFonts w:ascii="Times New Roman" w:hAnsi="Times New Roman" w:cs="Times New Roman"/>
          <w:sz w:val="24"/>
          <w:szCs w:val="24"/>
          <w:lang w:val="es-PE"/>
        </w:rPr>
        <w:t xml:space="preserve">La aseguradora sostiene que la solicitud fue recibida el 18 de febrero de 2021, y no el 17 de febrero de 2021, de donde se infiere que considera debe tomarse en cuenta la fecha en que ingresa la solicitud a la aseguradora, y no la fecha en la que la reclamante presentó la solicitud al Banco. No obstante, estamos ante una póliza grupal contratada y comercializada a través del Banco, y por ende la fecha que debe considerarse es la fecha en que la reclamante presenta la solicitud de seguro al Banco, esto es el 17 de febrero de 2021 y no el 18 de febrero de 2021, como sostiene la aseguradora. En efecto, en este caso, las normas legales y el propio certificado de seguro señalan: </w:t>
      </w:r>
      <w:r w:rsidRPr="2067BFF3" w:rsidR="00E63B37">
        <w:rPr>
          <w:rFonts w:ascii="Times New Roman" w:hAnsi="Times New Roman" w:cs="Times New Roman"/>
          <w:b w:val="1"/>
          <w:bCs w:val="1"/>
          <w:i w:val="1"/>
          <w:iCs w:val="1"/>
          <w:sz w:val="24"/>
          <w:szCs w:val="24"/>
          <w:lang w:val="es-PE"/>
        </w:rPr>
        <w:t xml:space="preserve">“las comunicaciones cursadas por los contratantes, asegurados o beneficiarios al comercializador, sobre aspectos relacionados con el seguro contratado, tendrán los mismos efectos que si hubieran sido </w:t>
      </w:r>
      <w:r w:rsidRPr="2067BFF3" w:rsidR="00E63B37">
        <w:rPr>
          <w:rFonts w:ascii="Times New Roman" w:hAnsi="Times New Roman" w:cs="Times New Roman"/>
          <w:b w:val="1"/>
          <w:bCs w:val="1"/>
          <w:i w:val="1"/>
          <w:iCs w:val="1"/>
          <w:sz w:val="24"/>
          <w:szCs w:val="24"/>
          <w:lang w:val="es-PE"/>
        </w:rPr>
        <w:t>presentadas  a</w:t>
      </w:r>
      <w:r w:rsidRPr="2067BFF3" w:rsidR="00E63B37">
        <w:rPr>
          <w:rFonts w:ascii="Times New Roman" w:hAnsi="Times New Roman" w:cs="Times New Roman"/>
          <w:b w:val="1"/>
          <w:bCs w:val="1"/>
          <w:i w:val="1"/>
          <w:iCs w:val="1"/>
          <w:sz w:val="24"/>
          <w:szCs w:val="24"/>
          <w:lang w:val="es-PE"/>
        </w:rPr>
        <w:t xml:space="preserve"> </w:t>
      </w:r>
      <w:r w:rsidRPr="2067BFF3" w:rsidR="508BD738">
        <w:rPr>
          <w:rFonts w:ascii="Times New Roman" w:hAnsi="Times New Roman" w:cs="Times New Roman"/>
          <w:b w:val="1"/>
          <w:bCs w:val="1"/>
          <w:i w:val="1"/>
          <w:iCs w:val="1"/>
          <w:sz w:val="24"/>
          <w:szCs w:val="24"/>
          <w:lang w:val="es-PE"/>
        </w:rPr>
        <w:t>...............</w:t>
      </w:r>
      <w:r w:rsidRPr="2067BFF3" w:rsidR="00E63B37">
        <w:rPr>
          <w:rFonts w:ascii="Times New Roman" w:hAnsi="Times New Roman" w:cs="Times New Roman"/>
          <w:b w:val="1"/>
          <w:bCs w:val="1"/>
          <w:i w:val="1"/>
          <w:iCs w:val="1"/>
          <w:sz w:val="24"/>
          <w:szCs w:val="24"/>
          <w:lang w:val="es-PE"/>
        </w:rPr>
        <w:t>”.</w:t>
      </w:r>
      <w:r w:rsidRPr="2067BFF3" w:rsidR="00E63B37">
        <w:rPr>
          <w:rFonts w:ascii="Times New Roman" w:hAnsi="Times New Roman" w:cs="Times New Roman"/>
          <w:sz w:val="24"/>
          <w:szCs w:val="24"/>
          <w:lang w:val="es-PE"/>
        </w:rPr>
        <w:t xml:space="preserve"> </w:t>
      </w:r>
    </w:p>
    <w:p w:rsidRPr="00C814D6" w:rsidR="00E63B37" w:rsidP="00E63B37" w:rsidRDefault="00E63B37" w14:paraId="66E266E4" w14:textId="77777777">
      <w:pPr>
        <w:pStyle w:val="Prrafodelista"/>
        <w:spacing w:after="0"/>
        <w:jc w:val="both"/>
        <w:rPr>
          <w:rFonts w:ascii="Times New Roman" w:hAnsi="Times New Roman" w:cs="Times New Roman"/>
          <w:bCs/>
          <w:sz w:val="24"/>
          <w:szCs w:val="24"/>
          <w:lang w:val="es-PE"/>
        </w:rPr>
      </w:pPr>
    </w:p>
    <w:p w:rsidRPr="00C814D6" w:rsidR="00E63B37" w:rsidP="00E63B37" w:rsidRDefault="00E63B37" w14:paraId="16921F2F" w14:textId="77777777">
      <w:pPr>
        <w:pStyle w:val="Prrafodelista"/>
        <w:numPr>
          <w:ilvl w:val="0"/>
          <w:numId w:val="14"/>
        </w:numPr>
        <w:spacing w:after="0" w:line="256" w:lineRule="auto"/>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La reclamante, cónyuge del asegurado fallecido, es la persona con legítimo interés en que se otorgue la cobertura de seguro, pues finalmente son los herederos -la cónyuge uno de ellos-, quienes se “beneficiarían” del pago que la aseguradora hace al Banco para cancelar la deuda que tenía el asegurado con la entidad financiera, caso contrario, ellos heredan dicha deuda hasta donde alcancen los bienes de la herencia (artículo 661 del Código Civil).</w:t>
      </w:r>
    </w:p>
    <w:p w:rsidRPr="00C814D6" w:rsidR="00E63B37" w:rsidP="00E63B37" w:rsidRDefault="00E63B37" w14:paraId="7EC30631" w14:textId="77777777">
      <w:pPr>
        <w:pStyle w:val="Prrafodelista"/>
        <w:spacing w:after="0"/>
        <w:jc w:val="both"/>
        <w:rPr>
          <w:rFonts w:ascii="Times New Roman" w:hAnsi="Times New Roman" w:cs="Times New Roman"/>
          <w:bCs/>
          <w:sz w:val="24"/>
          <w:szCs w:val="24"/>
          <w:lang w:val="es-PE"/>
        </w:rPr>
      </w:pPr>
    </w:p>
    <w:p w:rsidRPr="00C814D6" w:rsidR="00E63B37" w:rsidP="00E63B37" w:rsidRDefault="00E63B37" w14:paraId="1AD187E1" w14:textId="77777777">
      <w:pPr>
        <w:pStyle w:val="Prrafodelista"/>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A mayor abundamiento, la propia SBS en su página web establece lo siguiente respecto del seguro de desgravamen (https://www.sbs.gob.pe/usuarios/seguros/otros-seguros/seguro-de-desgravamen):</w:t>
      </w:r>
    </w:p>
    <w:p w:rsidRPr="00C814D6" w:rsidR="00E63B37" w:rsidP="00E63B37" w:rsidRDefault="00E63B37" w14:paraId="735682CD" w14:textId="77777777">
      <w:pPr>
        <w:pStyle w:val="Prrafodelista"/>
        <w:spacing w:after="0"/>
        <w:jc w:val="both"/>
        <w:rPr>
          <w:rFonts w:ascii="Times New Roman" w:hAnsi="Times New Roman" w:cs="Times New Roman"/>
          <w:sz w:val="24"/>
          <w:szCs w:val="24"/>
          <w:lang w:val="es-PE"/>
        </w:rPr>
      </w:pPr>
    </w:p>
    <w:p w:rsidRPr="00C814D6" w:rsidR="00E63B37" w:rsidP="00E63B37" w:rsidRDefault="00E63B37" w14:paraId="58E4D7ED" w14:textId="77777777">
      <w:pPr>
        <w:pStyle w:val="Prrafodelista"/>
        <w:spacing w:after="0"/>
        <w:jc w:val="both"/>
        <w:rPr>
          <w:rFonts w:ascii="Times New Roman" w:hAnsi="Times New Roman" w:cs="Times New Roman"/>
          <w:i/>
          <w:iCs/>
          <w:color w:val="6B727C"/>
          <w:sz w:val="24"/>
          <w:szCs w:val="24"/>
          <w:lang w:val="es-PE"/>
        </w:rPr>
      </w:pPr>
      <w:r w:rsidRPr="00C814D6">
        <w:rPr>
          <w:rFonts w:ascii="Times New Roman" w:hAnsi="Times New Roman" w:cs="Times New Roman"/>
          <w:i/>
          <w:iCs/>
          <w:color w:val="6B727C"/>
          <w:sz w:val="24"/>
          <w:szCs w:val="24"/>
          <w:lang w:val="es-PE"/>
        </w:rPr>
        <w:t xml:space="preserve">“El Seguro de Desgravamen es un seguro que tiene por objeto pagar, al momento de tu fallecimiento, la deuda que mantienes frente con una entidad del sistema financiero, beneficiándose de esta manera tus herederos, quienes se verán liberados de la obligación de pago del crédito.” </w:t>
      </w:r>
    </w:p>
    <w:p w:rsidRPr="00C814D6" w:rsidR="00E63B37" w:rsidP="00E63B37" w:rsidRDefault="00E63B37" w14:paraId="5E3C76D6" w14:textId="77777777">
      <w:pPr>
        <w:pStyle w:val="Prrafodelista"/>
        <w:spacing w:after="0"/>
        <w:jc w:val="both"/>
        <w:rPr>
          <w:rFonts w:ascii="Times New Roman" w:hAnsi="Times New Roman" w:cs="Times New Roman"/>
          <w:color w:val="6B727C"/>
          <w:sz w:val="24"/>
          <w:szCs w:val="24"/>
          <w:lang w:val="es-PE"/>
        </w:rPr>
      </w:pPr>
    </w:p>
    <w:p w:rsidRPr="00C814D6" w:rsidR="00E63B37" w:rsidP="00E63B37" w:rsidRDefault="00E63B37" w14:paraId="50A7E47B" w14:textId="77777777">
      <w:pPr>
        <w:pStyle w:val="Prrafodelista"/>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En virtud a ello, restringir en este caso la calidad de beneficiario al Banco, implicaría desconocer el legítimo interés de los herederos  y las prácticas del sistema asegurador, que reconocen el derecho de los herederos de presentar los reclamos inherentes a un seguro de desgravamen, y quienes son -como lo señala la propia SBS- los que finalmente se “benefician” de la cobertura de un seguro de desgravamen; y, se llegaría al absurdo de considerar que la compañía de seguros no tendría obligación alguna hacia los herederos, lo cual no se ajustaría a derecho. En efecto, ante el fallecimiento del asegurado son sus herederos quienes adquieren sus derechos y obligaciones; y como herederos del asegurado, tienen derecho a cursar y recibir las comunicaciones que debió enviar la compañía de seguros al asegurado, dentro de ellas la solicitud de cobertura y la carta de rechazo. </w:t>
      </w:r>
    </w:p>
    <w:p w:rsidRPr="00C814D6" w:rsidR="00E63B37" w:rsidP="00E63B37" w:rsidRDefault="00E63B37" w14:paraId="53F51C5F" w14:textId="77777777">
      <w:pPr>
        <w:pStyle w:val="Prrafodelista"/>
        <w:spacing w:after="0"/>
        <w:jc w:val="both"/>
        <w:rPr>
          <w:rFonts w:ascii="Times New Roman" w:hAnsi="Times New Roman" w:cs="Times New Roman"/>
          <w:bCs/>
          <w:sz w:val="24"/>
          <w:szCs w:val="24"/>
          <w:lang w:val="es-PE"/>
        </w:rPr>
      </w:pPr>
    </w:p>
    <w:p w:rsidRPr="00C814D6" w:rsidR="00E63B37" w:rsidP="00E63B37" w:rsidRDefault="00E63B37" w14:paraId="7D4E529B" w14:textId="77777777">
      <w:pPr>
        <w:pStyle w:val="Prrafodelista"/>
        <w:numPr>
          <w:ilvl w:val="0"/>
          <w:numId w:val="14"/>
        </w:numPr>
        <w:spacing w:after="0" w:line="256" w:lineRule="auto"/>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En este caso, de la solicitud de cobertura que obra en el expediente, se aprecia que la reclamante presentó el 17.02.2021 el acta de defunción, el certificado de defunción y la </w:t>
      </w:r>
      <w:r w:rsidRPr="00C814D6">
        <w:rPr>
          <w:rFonts w:ascii="Times New Roman" w:hAnsi="Times New Roman" w:cs="Times New Roman"/>
          <w:bCs/>
          <w:sz w:val="24"/>
          <w:szCs w:val="24"/>
          <w:lang w:val="es-PE"/>
        </w:rPr>
        <w:lastRenderedPageBreak/>
        <w:t>historia clínica, esto es la información requerida conforme al certificado de seguro para solicitar la cobertura de seguro, por lo que es a partir de dicha fecha que debe computarse el plazo para requerir información adicional y/o pronunciarse sobre la cobertura del seguro.</w:t>
      </w:r>
    </w:p>
    <w:p w:rsidRPr="00C814D6" w:rsidR="00E63B37" w:rsidP="00E63B37" w:rsidRDefault="00E63B37" w14:paraId="40C40C4E" w14:textId="77777777">
      <w:pPr>
        <w:spacing w:after="0"/>
        <w:jc w:val="both"/>
        <w:rPr>
          <w:rFonts w:ascii="Times New Roman" w:hAnsi="Times New Roman" w:cs="Times New Roman"/>
          <w:sz w:val="24"/>
          <w:szCs w:val="24"/>
          <w:lang w:val="es-PE"/>
        </w:rPr>
      </w:pPr>
    </w:p>
    <w:p w:rsidRPr="00C814D6" w:rsidR="00E63B37" w:rsidP="00E63B37" w:rsidRDefault="00E63B37" w14:paraId="3C18D9E3" w14:textId="77777777">
      <w:pPr>
        <w:pStyle w:val="Prrafodelista"/>
        <w:numPr>
          <w:ilvl w:val="0"/>
          <w:numId w:val="14"/>
        </w:numPr>
        <w:spacing w:after="0" w:line="256" w:lineRule="auto"/>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La aseguradora, no ha adjuntado ningún cargo de entrega que genere convicción sobre la fecha de entrega de las comunicaciones que adjunta. </w:t>
      </w:r>
    </w:p>
    <w:p w:rsidRPr="00C814D6" w:rsidR="00E63B37" w:rsidP="00E63B37" w:rsidRDefault="00E63B37" w14:paraId="206BB33B" w14:textId="77777777">
      <w:pPr>
        <w:pStyle w:val="Prrafodelista"/>
        <w:spacing w:after="0"/>
        <w:jc w:val="both"/>
        <w:rPr>
          <w:rFonts w:ascii="Times New Roman" w:hAnsi="Times New Roman" w:cs="Times New Roman"/>
          <w:bCs/>
          <w:sz w:val="24"/>
          <w:szCs w:val="24"/>
          <w:lang w:val="es-PE"/>
        </w:rPr>
      </w:pPr>
    </w:p>
    <w:p w:rsidRPr="00C814D6" w:rsidR="00E63B37" w:rsidP="2067BFF3" w:rsidRDefault="00E63B37" w14:paraId="5EC7A923" w14:textId="56A80048">
      <w:pPr>
        <w:pStyle w:val="Prrafodelista"/>
        <w:spacing w:after="0"/>
        <w:jc w:val="both"/>
        <w:rPr>
          <w:rFonts w:ascii="Times New Roman" w:hAnsi="Times New Roman" w:cs="Times New Roman"/>
          <w:sz w:val="24"/>
          <w:szCs w:val="24"/>
          <w:lang w:val="es-PE"/>
        </w:rPr>
      </w:pPr>
      <w:r w:rsidRPr="2067BFF3" w:rsidR="00E63B37">
        <w:rPr>
          <w:rFonts w:ascii="Times New Roman" w:hAnsi="Times New Roman" w:cs="Times New Roman"/>
          <w:sz w:val="24"/>
          <w:szCs w:val="24"/>
          <w:lang w:val="es-PE"/>
        </w:rPr>
        <w:t xml:space="preserve">De la misma manera que la fecha puesta en el recurso de apelación de la aseguradora (que erróneamente indica 4 de abril, en cuyo caso habría sido extemporáneo) no tiene efecto legal, tampoco tienen efecto legal las fechas consignadas en las comunicaciones que adjunta </w:t>
      </w:r>
      <w:r w:rsidRPr="2067BFF3" w:rsidR="5349371D">
        <w:rPr>
          <w:rFonts w:ascii="Times New Roman" w:hAnsi="Times New Roman" w:cs="Times New Roman"/>
          <w:sz w:val="24"/>
          <w:szCs w:val="24"/>
          <w:lang w:val="es-PE"/>
        </w:rPr>
        <w:t>...................................</w:t>
      </w:r>
      <w:r w:rsidRPr="2067BFF3" w:rsidR="00E63B37">
        <w:rPr>
          <w:rFonts w:ascii="Times New Roman" w:hAnsi="Times New Roman" w:cs="Times New Roman"/>
          <w:sz w:val="24"/>
          <w:szCs w:val="24"/>
          <w:lang w:val="es-PE"/>
        </w:rPr>
        <w:t xml:space="preserve">, en la medida que no acredita la fecha de entrega de </w:t>
      </w:r>
      <w:r w:rsidRPr="2067BFF3" w:rsidR="00E63B37">
        <w:rPr>
          <w:rFonts w:ascii="Times New Roman" w:hAnsi="Times New Roman" w:cs="Times New Roman"/>
          <w:sz w:val="24"/>
          <w:szCs w:val="24"/>
          <w:lang w:val="es-PE"/>
        </w:rPr>
        <w:t>las mismas</w:t>
      </w:r>
      <w:r w:rsidRPr="2067BFF3" w:rsidR="00E63B37">
        <w:rPr>
          <w:rFonts w:ascii="Times New Roman" w:hAnsi="Times New Roman" w:cs="Times New Roman"/>
          <w:sz w:val="24"/>
          <w:szCs w:val="24"/>
          <w:lang w:val="es-PE"/>
        </w:rPr>
        <w:t>.</w:t>
      </w:r>
    </w:p>
    <w:p w:rsidRPr="00C814D6" w:rsidR="00E63B37" w:rsidP="00E63B37" w:rsidRDefault="00E63B37" w14:paraId="2CB0813A" w14:textId="77777777">
      <w:pPr>
        <w:spacing w:after="0"/>
        <w:jc w:val="both"/>
        <w:rPr>
          <w:rFonts w:ascii="Times New Roman" w:hAnsi="Times New Roman" w:cs="Times New Roman"/>
          <w:sz w:val="24"/>
          <w:szCs w:val="24"/>
          <w:lang w:val="es-PE"/>
        </w:rPr>
      </w:pPr>
    </w:p>
    <w:p w:rsidRPr="00C814D6" w:rsidR="00E63B37" w:rsidP="00E63B37" w:rsidRDefault="00E63B37" w14:paraId="0A5A5BED" w14:textId="77777777">
      <w:pPr>
        <w:pStyle w:val="Prrafodelista"/>
        <w:spacing w:after="0"/>
        <w:jc w:val="both"/>
        <w:rPr>
          <w:rFonts w:ascii="Times New Roman" w:hAnsi="Times New Roman" w:cs="Times New Roman"/>
          <w:bCs/>
          <w:i/>
          <w:iCs/>
          <w:sz w:val="24"/>
          <w:szCs w:val="24"/>
          <w:lang w:val="es-PE"/>
        </w:rPr>
      </w:pPr>
      <w:r w:rsidRPr="00C814D6">
        <w:rPr>
          <w:rFonts w:ascii="Times New Roman" w:hAnsi="Times New Roman" w:cs="Times New Roman"/>
          <w:bCs/>
          <w:sz w:val="24"/>
          <w:szCs w:val="24"/>
          <w:lang w:val="es-PE"/>
        </w:rPr>
        <w:t xml:space="preserve">Reiterando lo expuesto en la resolución impugnada </w:t>
      </w:r>
      <w:r w:rsidRPr="00C814D6">
        <w:rPr>
          <w:rFonts w:ascii="Times New Roman" w:hAnsi="Times New Roman" w:cs="Times New Roman"/>
          <w:bCs/>
          <w:i/>
          <w:iCs/>
          <w:sz w:val="24"/>
          <w:szCs w:val="24"/>
          <w:lang w:val="es-PE"/>
        </w:rPr>
        <w:t xml:space="preserve">“en aplicación del artículo 44 de la Ley Nro. 29946, y de las propias reglas del derecho común, todas las comunicaciones contractuales son recepticias, esto es, deben estar dirigidas a persona determinada y sólo surten efecto legal cuando son puestas en su conocimiento máxime cuando se pretende afectar su esfera jurídica, presumiéndose ello cuando son entregadas al domicilio designado”; </w:t>
      </w:r>
      <w:r w:rsidRPr="00C814D6">
        <w:rPr>
          <w:rFonts w:ascii="Times New Roman" w:hAnsi="Times New Roman" w:cs="Times New Roman"/>
          <w:bCs/>
          <w:sz w:val="24"/>
          <w:szCs w:val="24"/>
          <w:lang w:val="es-PE"/>
        </w:rPr>
        <w:t>en este caso, la aseguradora, no ha acreditado la fecha en la cual se entregó la carta pidiendo mayor información, así como tampoco ha acreditado la fecha en la cual envió la comunicación de rechazo al Banco, y menos aún se ha pronunciado sobre la fecha en que la comunicación de rechazo fue recibida por la reclamante, la cual está debidamente acreditada.</w:t>
      </w:r>
    </w:p>
    <w:p w:rsidRPr="00C814D6" w:rsidR="00E63B37" w:rsidP="00E63B37" w:rsidRDefault="00E63B37" w14:paraId="47853C02" w14:textId="77777777">
      <w:pPr>
        <w:spacing w:after="0"/>
        <w:jc w:val="both"/>
        <w:rPr>
          <w:rFonts w:ascii="Times New Roman" w:hAnsi="Times New Roman" w:cs="Times New Roman"/>
          <w:sz w:val="24"/>
          <w:szCs w:val="24"/>
          <w:lang w:val="es-PE"/>
        </w:rPr>
      </w:pPr>
    </w:p>
    <w:p w:rsidRPr="00C814D6" w:rsidR="00E63B37" w:rsidP="00E63B37" w:rsidRDefault="00E63B37" w14:paraId="5D5BF94F" w14:textId="77777777">
      <w:pPr>
        <w:pStyle w:val="Prrafodelista"/>
        <w:numPr>
          <w:ilvl w:val="0"/>
          <w:numId w:val="14"/>
        </w:numPr>
        <w:spacing w:after="0" w:line="256" w:lineRule="auto"/>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No solo no se ha acreditado la fecha de entrega de la carta pidiendo información adicional, sino que además esta indica lo siguiente: </w:t>
      </w:r>
    </w:p>
    <w:p w:rsidRPr="00C814D6" w:rsidR="00E63B37" w:rsidP="00E63B37" w:rsidRDefault="00E63B37" w14:paraId="2C782AB6" w14:textId="77777777">
      <w:pPr>
        <w:spacing w:after="0"/>
        <w:jc w:val="both"/>
        <w:rPr>
          <w:rFonts w:ascii="Times New Roman" w:hAnsi="Times New Roman" w:cs="Times New Roman"/>
          <w:sz w:val="24"/>
          <w:szCs w:val="24"/>
          <w:lang w:val="es-PE"/>
        </w:rPr>
      </w:pPr>
    </w:p>
    <w:p w:rsidRPr="00C814D6" w:rsidR="00E63B37" w:rsidP="00E63B37" w:rsidRDefault="00E63B37" w14:paraId="190B47E2" w14:textId="2AA65456">
      <w:pPr>
        <w:spacing w:after="0"/>
        <w:ind w:left="720"/>
        <w:jc w:val="both"/>
      </w:pPr>
      <w:r w:rsidR="1A808879">
        <w:rPr/>
        <w:t>...................................................................................................................................................</w:t>
      </w:r>
    </w:p>
    <w:p w:rsidRPr="00C814D6" w:rsidR="00E63B37" w:rsidP="00E63B37" w:rsidRDefault="00E63B37" w14:paraId="60D172AE" w14:textId="77777777">
      <w:pPr>
        <w:pStyle w:val="Prrafodelista"/>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Como puede apreciarse, no se está requiriendo información médica u otra que solo podría ser proporcionada por el asegurado o sus herederos, sino documentación que debía estar en poder del comercializador del seguro -como es el estado de cuenta</w:t>
      </w:r>
      <w:proofErr w:type="gramStart"/>
      <w:r w:rsidRPr="00C814D6">
        <w:rPr>
          <w:rFonts w:ascii="Times New Roman" w:hAnsi="Times New Roman" w:cs="Times New Roman"/>
          <w:bCs/>
          <w:sz w:val="24"/>
          <w:szCs w:val="24"/>
          <w:lang w:val="es-PE"/>
        </w:rPr>
        <w:t>-  y</w:t>
      </w:r>
      <w:proofErr w:type="gramEnd"/>
      <w:r w:rsidRPr="00C814D6">
        <w:rPr>
          <w:rFonts w:ascii="Times New Roman" w:hAnsi="Times New Roman" w:cs="Times New Roman"/>
          <w:bCs/>
          <w:sz w:val="24"/>
          <w:szCs w:val="24"/>
          <w:lang w:val="es-PE"/>
        </w:rPr>
        <w:t xml:space="preserve"> en poder de la aseguradora -como es el certificado de seguro y declaración de salud- y en consecuencia no resultaba relevante requerirla a la reclamante  para evaluar el siniestro. De otro lado, aun cuando hubiera sido pertinente, siendo que era información que debía ser proporcionada por el Banco, no puede atribuirse la demora del comercializador a los reclamantes, así como tampoco puede requerirse información que debería estar en poder de la propia compañía de seguros.</w:t>
      </w:r>
    </w:p>
    <w:p w:rsidRPr="00C814D6" w:rsidR="00E63B37" w:rsidP="00E63B37" w:rsidRDefault="00E63B37" w14:paraId="5E296549" w14:textId="77777777">
      <w:pPr>
        <w:pStyle w:val="Prrafodelista"/>
        <w:spacing w:after="0"/>
        <w:jc w:val="both"/>
        <w:rPr>
          <w:rFonts w:ascii="Times New Roman" w:hAnsi="Times New Roman" w:cs="Times New Roman"/>
          <w:bCs/>
          <w:sz w:val="24"/>
          <w:szCs w:val="24"/>
          <w:lang w:val="es-PE"/>
        </w:rPr>
      </w:pPr>
    </w:p>
    <w:p w:rsidRPr="00C814D6" w:rsidR="00E63B37" w:rsidP="2067BFF3" w:rsidRDefault="00E63B37" w14:paraId="751F86D2" w14:textId="6C2BA836">
      <w:pPr>
        <w:pStyle w:val="Prrafodelista"/>
        <w:spacing w:after="0"/>
        <w:jc w:val="both"/>
        <w:rPr>
          <w:rFonts w:ascii="Times New Roman" w:hAnsi="Times New Roman" w:cs="Times New Roman"/>
          <w:sz w:val="24"/>
          <w:szCs w:val="24"/>
          <w:lang w:val="es-PE"/>
        </w:rPr>
      </w:pPr>
      <w:r w:rsidRPr="2067BFF3" w:rsidR="00E63B37">
        <w:rPr>
          <w:rFonts w:ascii="Times New Roman" w:hAnsi="Times New Roman" w:cs="Times New Roman"/>
          <w:sz w:val="24"/>
          <w:szCs w:val="24"/>
          <w:lang w:val="es-PE"/>
        </w:rPr>
        <w:t xml:space="preserve">Al respecto, cualquier error u omisión en la comercialización de este tipo de seguros, es atribuible a la propia compañía de seguros, conforme se menciona en las normas legales </w:t>
      </w:r>
      <w:r w:rsidRPr="2067BFF3" w:rsidR="00E63B37">
        <w:rPr>
          <w:rFonts w:ascii="Times New Roman" w:hAnsi="Times New Roman" w:cs="Times New Roman"/>
          <w:sz w:val="24"/>
          <w:szCs w:val="24"/>
          <w:lang w:val="es-PE"/>
        </w:rPr>
        <w:t xml:space="preserve">y en el propio certificado de seguro que indica: </w:t>
      </w:r>
      <w:r w:rsidRPr="2067BFF3" w:rsidR="00E63B37">
        <w:rPr>
          <w:rFonts w:ascii="Times New Roman" w:hAnsi="Times New Roman" w:cs="Times New Roman"/>
          <w:i w:val="1"/>
          <w:iCs w:val="1"/>
          <w:sz w:val="24"/>
          <w:szCs w:val="24"/>
          <w:lang w:val="es-PE"/>
        </w:rPr>
        <w:t>“</w:t>
      </w:r>
      <w:r w:rsidRPr="2067BFF3" w:rsidR="508BD738">
        <w:rPr>
          <w:rFonts w:ascii="Times New Roman" w:hAnsi="Times New Roman" w:cs="Times New Roman"/>
          <w:i w:val="1"/>
          <w:iCs w:val="1"/>
          <w:sz w:val="24"/>
          <w:szCs w:val="24"/>
          <w:lang w:val="es-PE"/>
        </w:rPr>
        <w:t>...............</w:t>
      </w:r>
      <w:r w:rsidRPr="2067BFF3" w:rsidR="00E63B37">
        <w:rPr>
          <w:rFonts w:ascii="Times New Roman" w:hAnsi="Times New Roman" w:cs="Times New Roman"/>
          <w:i w:val="1"/>
          <w:iCs w:val="1"/>
          <w:sz w:val="24"/>
          <w:szCs w:val="24"/>
          <w:lang w:val="es-PE"/>
        </w:rPr>
        <w:t xml:space="preserve"> es responsable de todos los errores u omisiones en que incurra el Comercializador”,</w:t>
      </w:r>
      <w:r w:rsidRPr="2067BFF3" w:rsidR="00E63B37">
        <w:rPr>
          <w:rFonts w:ascii="Times New Roman" w:hAnsi="Times New Roman" w:cs="Times New Roman"/>
          <w:sz w:val="24"/>
          <w:szCs w:val="24"/>
          <w:lang w:val="es-PE"/>
        </w:rPr>
        <w:t xml:space="preserve"> lo cual es consistente con lo establecido en el Reglamento de Comercialización de Productos de Seguros aprobado por Resolución SBS </w:t>
      </w:r>
      <w:r w:rsidRPr="2067BFF3" w:rsidR="00E63B37">
        <w:rPr>
          <w:rFonts w:ascii="Times New Roman" w:hAnsi="Times New Roman" w:cs="Times New Roman"/>
          <w:sz w:val="24"/>
          <w:szCs w:val="24"/>
          <w:lang w:val="es-PE"/>
        </w:rPr>
        <w:t>Nº</w:t>
      </w:r>
      <w:r w:rsidRPr="2067BFF3" w:rsidR="00E63B37">
        <w:rPr>
          <w:rFonts w:ascii="Times New Roman" w:hAnsi="Times New Roman" w:cs="Times New Roman"/>
          <w:sz w:val="24"/>
          <w:szCs w:val="24"/>
          <w:lang w:val="es-PE"/>
        </w:rPr>
        <w:t xml:space="preserve"> 1121-2017. </w:t>
      </w:r>
    </w:p>
    <w:p w:rsidRPr="00C814D6" w:rsidR="00E63B37" w:rsidP="00E63B37" w:rsidRDefault="00E63B37" w14:paraId="5584164E" w14:textId="77777777">
      <w:pPr>
        <w:pStyle w:val="Prrafodelista"/>
        <w:spacing w:after="0"/>
        <w:jc w:val="both"/>
        <w:rPr>
          <w:rFonts w:ascii="Times New Roman" w:hAnsi="Times New Roman" w:cs="Times New Roman"/>
          <w:bCs/>
          <w:sz w:val="24"/>
          <w:szCs w:val="24"/>
          <w:lang w:val="es-PE"/>
        </w:rPr>
      </w:pPr>
    </w:p>
    <w:p w:rsidRPr="00C814D6" w:rsidR="00E63B37" w:rsidP="00E63B37" w:rsidRDefault="00E63B37" w14:paraId="47589D74"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Por lo expuesto, no solo no se ha acreditado cuándo se entregó la carta solicitando información adicional la cual debió haber sido cursada dentro de los 20 días siguientes a la solicitud de cobertura</w:t>
      </w:r>
      <w:r w:rsidRPr="00C814D6">
        <w:rPr>
          <w:rStyle w:val="Refdenotaalpie"/>
          <w:rFonts w:ascii="Times New Roman" w:hAnsi="Times New Roman" w:cs="Times New Roman"/>
          <w:sz w:val="24"/>
          <w:szCs w:val="24"/>
          <w:lang w:val="es-PE"/>
        </w:rPr>
        <w:footnoteReference w:id="1"/>
      </w:r>
      <w:r w:rsidRPr="00C814D6">
        <w:rPr>
          <w:rFonts w:ascii="Times New Roman" w:hAnsi="Times New Roman" w:cs="Times New Roman"/>
          <w:sz w:val="24"/>
          <w:szCs w:val="24"/>
          <w:lang w:val="es-PE"/>
        </w:rPr>
        <w:t xml:space="preserve">, </w:t>
      </w:r>
      <w:r w:rsidRPr="00C814D6">
        <w:rPr>
          <w:rFonts w:ascii="Times New Roman" w:hAnsi="Times New Roman" w:cs="Times New Roman"/>
          <w:bCs/>
          <w:sz w:val="24"/>
          <w:szCs w:val="24"/>
          <w:lang w:val="es-PE"/>
        </w:rPr>
        <w:t xml:space="preserve">sino que además estamos ante un pedido de información no relevante para evaluar el siniestro y que no se encontraba dentro del dominio de información que corresponde a los herederos del asegurado.  </w:t>
      </w:r>
    </w:p>
    <w:p w:rsidRPr="00C814D6" w:rsidR="00E63B37" w:rsidP="00E63B37" w:rsidRDefault="00E63B37" w14:paraId="2D9D534B" w14:textId="77777777">
      <w:pPr>
        <w:spacing w:after="0"/>
        <w:jc w:val="both"/>
        <w:rPr>
          <w:rFonts w:ascii="Times New Roman" w:hAnsi="Times New Roman" w:cs="Times New Roman"/>
          <w:bCs/>
          <w:sz w:val="24"/>
          <w:szCs w:val="24"/>
          <w:lang w:val="es-PE"/>
        </w:rPr>
      </w:pPr>
    </w:p>
    <w:p w:rsidRPr="00C814D6" w:rsidR="00E63B37" w:rsidP="00E63B37" w:rsidRDefault="00E63B37" w14:paraId="07912A28" w14:textId="77777777">
      <w:pPr>
        <w:spacing w:after="0"/>
        <w:jc w:val="both"/>
        <w:rPr>
          <w:rFonts w:ascii="Times New Roman" w:hAnsi="Times New Roman" w:cs="Times New Roman"/>
          <w:bCs/>
          <w:sz w:val="24"/>
          <w:szCs w:val="24"/>
          <w:lang w:val="es-PE"/>
        </w:rPr>
      </w:pPr>
      <w:r w:rsidRPr="00C814D6">
        <w:rPr>
          <w:rFonts w:ascii="Times New Roman" w:hAnsi="Times New Roman" w:cs="Times New Roman"/>
          <w:bCs/>
          <w:sz w:val="24"/>
          <w:szCs w:val="24"/>
          <w:lang w:val="es-PE"/>
        </w:rPr>
        <w:t xml:space="preserve">En consecuencia, el recurso impugnativo interpuesto puede ser categorizado, por su contenido mismo, como una solicitud de revisión general, sustentada exclusivamente en el criterio de la aseguradora, que este colegiado no comparte y sin aportar medio probatorio que permita apreciar que se incurrió en un error o vicio al momento de resolver.  </w:t>
      </w:r>
    </w:p>
    <w:p w:rsidRPr="00C814D6" w:rsidR="00E63B37" w:rsidP="00E63B37" w:rsidRDefault="00E63B37" w14:paraId="670B0610" w14:textId="77777777">
      <w:pPr>
        <w:spacing w:after="0"/>
        <w:jc w:val="both"/>
        <w:rPr>
          <w:rFonts w:ascii="Times New Roman" w:hAnsi="Times New Roman" w:cs="Times New Roman"/>
          <w:bCs/>
          <w:sz w:val="24"/>
          <w:szCs w:val="24"/>
          <w:lang w:val="es-PE"/>
        </w:rPr>
      </w:pPr>
    </w:p>
    <w:p w:rsidRPr="00C814D6" w:rsidR="00E63B37" w:rsidP="00E63B37" w:rsidRDefault="00E63B37" w14:paraId="2CF4833B" w14:textId="77777777">
      <w:pPr>
        <w:spacing w:after="0"/>
        <w:jc w:val="both"/>
        <w:rPr>
          <w:rFonts w:ascii="Times New Roman" w:hAnsi="Times New Roman" w:eastAsia="Times New Roman" w:cs="Times New Roman"/>
          <w:bCs/>
          <w:sz w:val="24"/>
          <w:szCs w:val="24"/>
          <w:lang w:val="es-MX" w:eastAsia="ar-SA"/>
        </w:rPr>
      </w:pPr>
      <w:r w:rsidRPr="00C814D6">
        <w:rPr>
          <w:rFonts w:ascii="Times New Roman" w:hAnsi="Times New Roman" w:cs="Times New Roman"/>
          <w:b/>
          <w:sz w:val="24"/>
          <w:szCs w:val="24"/>
          <w:u w:val="single"/>
          <w:lang w:val="es-PE"/>
        </w:rPr>
        <w:t>CUARTO:</w:t>
      </w:r>
      <w:r w:rsidRPr="00C814D6">
        <w:rPr>
          <w:rFonts w:ascii="Times New Roman" w:hAnsi="Times New Roman" w:cs="Times New Roman"/>
          <w:bCs/>
          <w:sz w:val="24"/>
          <w:szCs w:val="24"/>
          <w:lang w:val="es-PE"/>
        </w:rPr>
        <w:t xml:space="preserve"> En lo que respecta a lo expresado por la reclamante en el sentido que </w:t>
      </w:r>
      <w:r w:rsidRPr="00C814D6">
        <w:rPr>
          <w:rFonts w:ascii="Times New Roman" w:hAnsi="Times New Roman" w:eastAsia="Times New Roman" w:cs="Times New Roman"/>
          <w:bCs/>
          <w:sz w:val="24"/>
          <w:szCs w:val="24"/>
          <w:lang w:val="es-MX" w:eastAsia="ar-SA"/>
        </w:rPr>
        <w:t>la aseguradora tenía un plazo de 30 días para declarar la nulidad y hacer conocer de ella al asegurado, lo cual en este caso no se cumplió, porque notificó el rechazo de la cobertura por preexistencia luego de dicho plazo. Este colegiado reitera lo expuesto en la resolución impugnada que se transcribe a continuación en parte pertinente; lo que, sin embargo, no afecta la falta de legitimidad del rechazo por la aplicación de la figura del siniestro consentido:</w:t>
      </w:r>
    </w:p>
    <w:p w:rsidRPr="00C814D6" w:rsidR="00E63B37" w:rsidP="00E63B37" w:rsidRDefault="00E63B37" w14:paraId="3B5B4C18" w14:textId="77777777">
      <w:pPr>
        <w:spacing w:after="0"/>
        <w:jc w:val="both"/>
        <w:rPr>
          <w:rFonts w:ascii="Times New Roman" w:hAnsi="Times New Roman" w:eastAsia="Times New Roman" w:cs="Times New Roman"/>
          <w:bCs/>
          <w:sz w:val="24"/>
          <w:szCs w:val="24"/>
          <w:lang w:val="es-MX" w:eastAsia="ar-SA"/>
        </w:rPr>
      </w:pPr>
    </w:p>
    <w:p w:rsidRPr="00C814D6" w:rsidR="00E63B37" w:rsidP="2067BFF3" w:rsidRDefault="00E63B37" w14:paraId="38831082" w14:textId="77777777" w14:noSpellErr="1">
      <w:pPr>
        <w:spacing w:after="0"/>
        <w:ind w:left="720"/>
        <w:jc w:val="both"/>
        <w:rPr>
          <w:rFonts w:ascii="Times New Roman" w:hAnsi="Times New Roman" w:cs="Times New Roman"/>
          <w:i w:val="1"/>
          <w:iCs w:val="1"/>
          <w:sz w:val="24"/>
          <w:szCs w:val="24"/>
          <w:lang w:val="en-US"/>
        </w:rPr>
      </w:pPr>
      <w:r w:rsidRPr="2067BFF3" w:rsidR="00E63B37">
        <w:rPr>
          <w:rFonts w:ascii="Times New Roman" w:hAnsi="Times New Roman" w:cs="Times New Roman"/>
          <w:i w:val="1"/>
          <w:iCs w:val="1"/>
          <w:sz w:val="24"/>
          <w:szCs w:val="24"/>
          <w:lang w:val="en-US"/>
        </w:rPr>
        <w:t>“ (</w:t>
      </w:r>
      <w:r w:rsidRPr="2067BFF3" w:rsidR="00E63B37">
        <w:rPr>
          <w:rFonts w:ascii="Times New Roman" w:hAnsi="Times New Roman" w:cs="Times New Roman"/>
          <w:i w:val="1"/>
          <w:iCs w:val="1"/>
          <w:sz w:val="24"/>
          <w:szCs w:val="24"/>
          <w:lang w:val="en-US"/>
        </w:rPr>
        <w:t xml:space="preserve">…) la reclamante confunde la figura de la reticencia con la de la preexistencia, siendo que se trata de conceptos distintos. En este caso la aseguradora invocó la figura de la preexistencia, mas no así la figura de la reticencia. </w:t>
      </w:r>
    </w:p>
    <w:p w:rsidRPr="00C814D6" w:rsidR="00E63B37" w:rsidP="00E63B37" w:rsidRDefault="00E63B37" w14:paraId="171D1243"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51524F4F"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En la reticencia, estamos ante un vicio de la voluntad que determina la nulidad del contrato de seguro. Para que una aseguradora pueda invocar reticencia, debe existir una declaración o cuestionario de salud, a través del cual se brindó información inexacta. En este caso, la compañía de seguros no ha invocado la figura de la reticencia, y por lo tanto el contrato de seguro como tal es válido. </w:t>
      </w:r>
    </w:p>
    <w:p w:rsidRPr="00C814D6" w:rsidR="00E63B37" w:rsidP="00E63B37" w:rsidRDefault="00E63B37" w14:paraId="5DB961AA" w14:textId="77777777">
      <w:pPr>
        <w:spacing w:after="0"/>
        <w:ind w:left="720"/>
        <w:jc w:val="both"/>
        <w:rPr>
          <w:rFonts w:ascii="Times New Roman" w:hAnsi="Times New Roman" w:cs="Times New Roman"/>
          <w:i/>
          <w:iCs/>
          <w:sz w:val="24"/>
          <w:szCs w:val="24"/>
          <w:lang w:val="es-PE"/>
        </w:rPr>
      </w:pPr>
    </w:p>
    <w:p w:rsidRPr="00C814D6" w:rsidR="00E63B37" w:rsidP="00E63B37" w:rsidRDefault="00E63B37" w14:paraId="2BE49A0A" w14:textId="77777777">
      <w:pPr>
        <w:spacing w:after="0"/>
        <w:ind w:left="720"/>
        <w:jc w:val="both"/>
        <w:rPr>
          <w:rFonts w:ascii="Times New Roman" w:hAnsi="Times New Roman" w:cs="Times New Roman"/>
          <w:i/>
          <w:iCs/>
          <w:sz w:val="24"/>
          <w:szCs w:val="24"/>
          <w:lang w:val="es-PE"/>
        </w:rPr>
      </w:pPr>
      <w:r w:rsidRPr="00C814D6">
        <w:rPr>
          <w:rFonts w:ascii="Times New Roman" w:hAnsi="Times New Roman" w:cs="Times New Roman"/>
          <w:i/>
          <w:iCs/>
          <w:sz w:val="24"/>
          <w:szCs w:val="24"/>
          <w:lang w:val="es-PE"/>
        </w:rPr>
        <w:t xml:space="preserve">En el caso de las preexistencias, estamos ante un contrato válidamente celebrado, pero que establece determinadas circunstancias en las cuales no operará el pago de la indemnización, En este caso, </w:t>
      </w:r>
      <w:proofErr w:type="gramStart"/>
      <w:r w:rsidRPr="00C814D6">
        <w:rPr>
          <w:rFonts w:ascii="Times New Roman" w:hAnsi="Times New Roman" w:cs="Times New Roman"/>
          <w:i/>
          <w:iCs/>
          <w:sz w:val="24"/>
          <w:szCs w:val="24"/>
          <w:lang w:val="es-PE"/>
        </w:rPr>
        <w:t>de acuerdo al</w:t>
      </w:r>
      <w:proofErr w:type="gramEnd"/>
      <w:r w:rsidRPr="00C814D6">
        <w:rPr>
          <w:rFonts w:ascii="Times New Roman" w:hAnsi="Times New Roman" w:cs="Times New Roman"/>
          <w:i/>
          <w:iCs/>
          <w:sz w:val="24"/>
          <w:szCs w:val="24"/>
          <w:lang w:val="es-PE"/>
        </w:rPr>
        <w:t xml:space="preserve"> certificado de seguro que obra en el expediente, se pactaron una serie de exclusiones, dentro de ellas la de enfermedad preexistente.”</w:t>
      </w:r>
    </w:p>
    <w:p w:rsidRPr="00C814D6" w:rsidR="00E63B37" w:rsidP="00E63B37" w:rsidRDefault="00E63B37" w14:paraId="7BF63EF5" w14:textId="77777777">
      <w:pPr>
        <w:spacing w:after="0"/>
        <w:jc w:val="both"/>
        <w:rPr>
          <w:rFonts w:ascii="Times New Roman" w:hAnsi="Times New Roman" w:cs="Times New Roman"/>
          <w:bCs/>
          <w:sz w:val="24"/>
          <w:szCs w:val="24"/>
          <w:lang w:val="es-MX"/>
        </w:rPr>
      </w:pPr>
    </w:p>
    <w:p w:rsidRPr="00C814D6" w:rsidR="00E63B37" w:rsidP="00E63B37" w:rsidRDefault="00E63B37" w14:paraId="30DA283A" w14:textId="77777777">
      <w:pPr>
        <w:jc w:val="both"/>
        <w:rPr>
          <w:rFonts w:ascii="Times New Roman" w:hAnsi="Times New Roman" w:cs="Times New Roman"/>
          <w:b/>
          <w:bCs/>
          <w:sz w:val="24"/>
          <w:szCs w:val="24"/>
          <w:lang w:val="es-PE"/>
        </w:rPr>
      </w:pPr>
    </w:p>
    <w:p w:rsidRPr="00C814D6" w:rsidR="00E63B37" w:rsidP="00E63B37" w:rsidRDefault="00E63B37" w14:paraId="3C461036" w14:textId="77777777">
      <w:pPr>
        <w:jc w:val="both"/>
        <w:rPr>
          <w:rFonts w:ascii="Times New Roman" w:hAnsi="Times New Roman" w:cs="Times New Roman"/>
          <w:b/>
          <w:bCs/>
          <w:sz w:val="24"/>
          <w:szCs w:val="24"/>
          <w:lang w:val="es-PE"/>
        </w:rPr>
      </w:pPr>
      <w:r w:rsidRPr="00C814D6">
        <w:rPr>
          <w:rFonts w:ascii="Times New Roman" w:hAnsi="Times New Roman" w:cs="Times New Roman"/>
          <w:b/>
          <w:bCs/>
          <w:sz w:val="24"/>
          <w:szCs w:val="24"/>
          <w:lang w:val="es-PE"/>
        </w:rPr>
        <w:lastRenderedPageBreak/>
        <w:t>Atendiendo a lo expresado, conforme a su Reglamento, este colegiado resuelve:</w:t>
      </w:r>
    </w:p>
    <w:p w:rsidRPr="00C814D6" w:rsidR="00E63B37" w:rsidP="00E63B37" w:rsidRDefault="00E63B37" w14:paraId="66E8CAF8" w14:textId="725FFA1A">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2067BFF3" w:rsidR="00E63B37">
        <w:rPr>
          <w:rFonts w:ascii="Times New Roman" w:hAnsi="Times New Roman" w:cs="Times New Roman"/>
          <w:sz w:val="24"/>
          <w:szCs w:val="24"/>
          <w:lang w:val="es-PE"/>
        </w:rPr>
        <w:t xml:space="preserve">Declarar INFUNDADO el recurso de impugnación interpuesto y confirmar la Resolución </w:t>
      </w:r>
      <w:r w:rsidRPr="2067BFF3" w:rsidR="00E63B37">
        <w:rPr>
          <w:rFonts w:ascii="Times New Roman" w:hAnsi="Times New Roman" w:eastAsia="Times New Roman" w:cs="Times New Roman"/>
          <w:sz w:val="24"/>
          <w:szCs w:val="24"/>
          <w:lang w:val="es-ES" w:eastAsia="ar-SA"/>
        </w:rPr>
        <w:t xml:space="preserve">Nro. 060/22, de fecha 25 de marzo de 2022, emitida esta Defensoría del Asegurado (DEFASEG), que declaró FUNDADA la reclamación interpuesta por </w:t>
      </w:r>
      <w:r w:rsidRPr="2067BFF3" w:rsidR="61B9E79E">
        <w:rPr>
          <w:rFonts w:ascii="Times New Roman" w:hAnsi="Times New Roman" w:eastAsia="Times New Roman" w:cs="Times New Roman"/>
          <w:sz w:val="24"/>
          <w:szCs w:val="24"/>
          <w:lang w:val="es-ES" w:eastAsia="ar-SA"/>
        </w:rPr>
        <w:t>...........................................................................</w:t>
      </w:r>
      <w:r w:rsidRPr="2067BFF3" w:rsidR="00E63B37">
        <w:rPr>
          <w:rFonts w:ascii="Times New Roman" w:hAnsi="Times New Roman" w:eastAsia="Times New Roman" w:cs="Times New Roman"/>
          <w:sz w:val="24"/>
          <w:szCs w:val="24"/>
          <w:lang w:val="es-ES" w:eastAsia="ar-SA"/>
        </w:rPr>
        <w:t xml:space="preserve"> contra </w:t>
      </w:r>
      <w:r w:rsidRPr="2067BFF3" w:rsidR="508BD738">
        <w:rPr>
          <w:rFonts w:ascii="Times New Roman" w:hAnsi="Times New Roman" w:eastAsia="Times New Roman" w:cs="Times New Roman"/>
          <w:sz w:val="24"/>
          <w:szCs w:val="24"/>
          <w:lang w:val="es-ES" w:eastAsia="ar-SA"/>
        </w:rPr>
        <w:t>...............</w:t>
      </w:r>
      <w:r w:rsidRPr="2067BFF3" w:rsidR="00E63B37">
        <w:rPr>
          <w:rFonts w:ascii="Times New Roman" w:hAnsi="Times New Roman" w:eastAsia="Times New Roman" w:cs="Times New Roman"/>
          <w:sz w:val="24"/>
          <w:szCs w:val="24"/>
          <w:lang w:val="es-ES" w:eastAsia="ar-SA"/>
        </w:rPr>
        <w:t xml:space="preserve"> respecto de la cobertura del seguro de desgravamen contratado por el asegurado señor </w:t>
      </w:r>
      <w:r w:rsidRPr="2067BFF3" w:rsidR="52399564">
        <w:rPr>
          <w:rFonts w:ascii="Times New Roman" w:hAnsi="Times New Roman" w:eastAsia="Times New Roman" w:cs="Times New Roman"/>
          <w:sz w:val="24"/>
          <w:szCs w:val="24"/>
          <w:lang w:val="es-ES" w:eastAsia="ar-SA"/>
        </w:rPr>
        <w:t>.................................................................</w:t>
      </w:r>
      <w:r w:rsidRPr="2067BFF3" w:rsidR="00E63B37">
        <w:rPr>
          <w:rFonts w:ascii="Times New Roman" w:hAnsi="Times New Roman" w:eastAsia="Times New Roman" w:cs="Times New Roman"/>
          <w:sz w:val="24"/>
          <w:szCs w:val="24"/>
          <w:lang w:val="es-ES" w:eastAsia="ar-SA"/>
        </w:rPr>
        <w:t xml:space="preserve"> a través del </w:t>
      </w:r>
      <w:r w:rsidRPr="2067BFF3" w:rsidR="4F809DF1">
        <w:rPr>
          <w:rFonts w:ascii="Times New Roman" w:hAnsi="Times New Roman" w:eastAsia="Times New Roman" w:cs="Times New Roman"/>
          <w:sz w:val="24"/>
          <w:szCs w:val="24"/>
          <w:lang w:val="es-ES" w:eastAsia="ar-SA"/>
        </w:rPr>
        <w:t>.................................................................</w:t>
      </w:r>
      <w:r w:rsidRPr="2067BFF3" w:rsidR="00E63B37">
        <w:rPr>
          <w:rFonts w:ascii="Times New Roman" w:hAnsi="Times New Roman" w:eastAsia="Times New Roman" w:cs="Times New Roman"/>
          <w:sz w:val="24"/>
          <w:szCs w:val="24"/>
          <w:lang w:val="es-PE" w:eastAsia="ar-SA"/>
        </w:rPr>
        <w:t>.</w:t>
      </w:r>
    </w:p>
    <w:p w:rsidRPr="00C814D6"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C814D6" w:rsidR="00C173A8" w:rsidP="00C173A8" w:rsidRDefault="00C173A8" w14:paraId="0EB0711B" w14:textId="25B78058">
      <w:pPr>
        <w:suppressAutoHyphens/>
        <w:spacing w:after="0" w:line="240" w:lineRule="auto"/>
        <w:jc w:val="right"/>
        <w:outlineLvl w:val="0"/>
        <w:rPr>
          <w:rFonts w:ascii="Times New Roman" w:hAnsi="Times New Roman" w:eastAsia="Arial Unicode MS" w:cs="Times New Roman"/>
          <w:sz w:val="24"/>
          <w:szCs w:val="24"/>
          <w:lang w:val="es-PE" w:eastAsia="ar-SA"/>
        </w:rPr>
      </w:pPr>
      <w:r w:rsidRPr="00C814D6">
        <w:rPr>
          <w:rFonts w:ascii="Times New Roman" w:hAnsi="Times New Roman" w:eastAsia="Arial Unicode MS" w:cs="Times New Roman"/>
          <w:sz w:val="24"/>
          <w:szCs w:val="24"/>
          <w:lang w:val="es-PE" w:eastAsia="ar-SA"/>
        </w:rPr>
        <w:t xml:space="preserve">Lima, </w:t>
      </w:r>
      <w:r w:rsidRPr="00C814D6" w:rsidR="00B01C3A">
        <w:rPr>
          <w:rFonts w:ascii="Times New Roman" w:hAnsi="Times New Roman" w:eastAsia="Arial Unicode MS" w:cs="Times New Roman"/>
          <w:sz w:val="24"/>
          <w:szCs w:val="24"/>
          <w:lang w:val="es-PE" w:eastAsia="ar-SA"/>
        </w:rPr>
        <w:t>0</w:t>
      </w:r>
      <w:r w:rsidRPr="00C814D6" w:rsidR="009F3B93">
        <w:rPr>
          <w:rFonts w:ascii="Times New Roman" w:hAnsi="Times New Roman" w:eastAsia="Arial Unicode MS" w:cs="Times New Roman"/>
          <w:sz w:val="24"/>
          <w:szCs w:val="24"/>
          <w:lang w:val="es-PE" w:eastAsia="ar-SA"/>
        </w:rPr>
        <w:t>6</w:t>
      </w:r>
      <w:r w:rsidRPr="00C814D6">
        <w:rPr>
          <w:rFonts w:ascii="Times New Roman" w:hAnsi="Times New Roman" w:eastAsia="Arial Unicode MS" w:cs="Times New Roman"/>
          <w:sz w:val="24"/>
          <w:szCs w:val="24"/>
          <w:lang w:val="es-PE" w:eastAsia="ar-SA"/>
        </w:rPr>
        <w:t xml:space="preserve"> de </w:t>
      </w:r>
      <w:r w:rsidRPr="00C814D6" w:rsidR="00B01C3A">
        <w:rPr>
          <w:rFonts w:ascii="Times New Roman" w:hAnsi="Times New Roman" w:eastAsia="Arial Unicode MS" w:cs="Times New Roman"/>
          <w:sz w:val="24"/>
          <w:szCs w:val="24"/>
          <w:lang w:val="es-PE" w:eastAsia="ar-SA"/>
        </w:rPr>
        <w:t>mayo</w:t>
      </w:r>
      <w:r w:rsidRPr="00C814D6">
        <w:rPr>
          <w:rFonts w:ascii="Times New Roman" w:hAnsi="Times New Roman" w:eastAsia="Arial Unicode MS" w:cs="Times New Roman"/>
          <w:sz w:val="24"/>
          <w:szCs w:val="24"/>
          <w:lang w:val="es-PE" w:eastAsia="ar-SA"/>
        </w:rPr>
        <w:t xml:space="preserve"> de 2022</w:t>
      </w:r>
      <w:r w:rsidRPr="00C814D6">
        <w:rPr>
          <w:rFonts w:ascii="Times New Roman" w:hAnsi="Times New Roman" w:eastAsia="Times New Roman" w:cs="Times New Roman"/>
          <w:sz w:val="24"/>
          <w:szCs w:val="24"/>
          <w:lang w:val="es-PE" w:eastAsia="ar-SA"/>
        </w:rPr>
        <w:t xml:space="preserve"> </w:t>
      </w:r>
    </w:p>
    <w:p w:rsidRPr="00C814D6"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C814D6"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814D6"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C814D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814D6"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C814D6"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C814D6">
        <w:rPr>
          <w:rFonts w:ascii="Times New Roman" w:hAnsi="Times New Roman" w:cs="Times New Roman"/>
          <w:b/>
          <w:bCs/>
          <w:sz w:val="24"/>
          <w:szCs w:val="24"/>
          <w:lang w:val="es-PE"/>
        </w:rPr>
        <w:t xml:space="preserve">Marco Antonio Ortega Piana – </w:t>
      </w:r>
      <w:proofErr w:type="gramStart"/>
      <w:r w:rsidRPr="00C814D6">
        <w:rPr>
          <w:rFonts w:ascii="Times New Roman" w:hAnsi="Times New Roman" w:cs="Times New Roman"/>
          <w:b/>
          <w:bCs/>
          <w:sz w:val="24"/>
          <w:szCs w:val="24"/>
          <w:lang w:val="es-PE"/>
        </w:rPr>
        <w:t>Presidente</w:t>
      </w:r>
      <w:proofErr w:type="gramEnd"/>
    </w:p>
    <w:p w:rsidRPr="00C814D6"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C814D6">
        <w:rPr>
          <w:rFonts w:ascii="Times New Roman" w:hAnsi="Times New Roman" w:cs="Times New Roman"/>
          <w:b/>
          <w:bCs/>
          <w:sz w:val="24"/>
          <w:szCs w:val="24"/>
          <w:lang w:val="es-PE"/>
        </w:rPr>
        <w:t xml:space="preserve">María Eugenia Valdez Fernández Baca – </w:t>
      </w:r>
      <w:r w:rsidRPr="00C814D6" w:rsidR="001B1998">
        <w:rPr>
          <w:rFonts w:ascii="Times New Roman" w:hAnsi="Times New Roman" w:cs="Times New Roman"/>
          <w:b/>
          <w:bCs/>
          <w:sz w:val="24"/>
          <w:szCs w:val="24"/>
          <w:lang w:val="es-PE"/>
        </w:rPr>
        <w:t>Vocal</w:t>
      </w:r>
    </w:p>
    <w:p w:rsidRPr="00E63B37"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E63B37">
        <w:rPr>
          <w:rFonts w:ascii="Times New Roman" w:hAnsi="Times New Roman" w:cs="Times New Roman"/>
          <w:b/>
          <w:bCs/>
          <w:sz w:val="24"/>
          <w:szCs w:val="24"/>
          <w:lang w:val="es-PE"/>
        </w:rPr>
        <w:t xml:space="preserve">Rolando Eyzaguirre </w:t>
      </w:r>
      <w:proofErr w:type="spellStart"/>
      <w:r w:rsidRPr="00E63B37">
        <w:rPr>
          <w:rFonts w:ascii="Times New Roman" w:hAnsi="Times New Roman" w:cs="Times New Roman"/>
          <w:b/>
          <w:bCs/>
          <w:sz w:val="24"/>
          <w:szCs w:val="24"/>
          <w:lang w:val="es-PE"/>
        </w:rPr>
        <w:t>Maccan</w:t>
      </w:r>
      <w:proofErr w:type="spellEnd"/>
      <w:r w:rsidRPr="00E63B37">
        <w:rPr>
          <w:rFonts w:ascii="Times New Roman" w:hAnsi="Times New Roman" w:cs="Times New Roman"/>
          <w:b/>
          <w:bCs/>
          <w:sz w:val="24"/>
          <w:szCs w:val="24"/>
          <w:lang w:val="es-PE"/>
        </w:rPr>
        <w:t xml:space="preserve"> - Vocal</w:t>
      </w:r>
    </w:p>
    <w:p w:rsidRPr="00E63B37"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E63B37">
        <w:rPr>
          <w:rFonts w:ascii="Times New Roman" w:hAnsi="Times New Roman" w:cs="Times New Roman"/>
          <w:b/>
          <w:bCs/>
          <w:sz w:val="24"/>
          <w:szCs w:val="24"/>
          <w:lang w:val="es-PE"/>
        </w:rPr>
        <w:t>Gonzalo Abad del Busto – Vocal</w:t>
      </w:r>
    </w:p>
    <w:p w:rsidRPr="00E63B37"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41B8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41B86" w:rsidR="00C671F5" w:rsidSect="00077B6F">
      <w:headerReference w:type="default" r:id="rId11"/>
      <w:footerReference w:type="defaul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53C3" w:rsidP="00784355" w:rsidRDefault="00EA53C3" w14:paraId="5E3D740C" w14:textId="77777777">
      <w:pPr>
        <w:spacing w:after="0" w:line="240" w:lineRule="auto"/>
      </w:pPr>
      <w:r>
        <w:separator/>
      </w:r>
    </w:p>
  </w:endnote>
  <w:endnote w:type="continuationSeparator" w:id="0">
    <w:p w:rsidR="00EA53C3" w:rsidP="00784355" w:rsidRDefault="00EA53C3" w14:paraId="06CEE2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53C3" w:rsidP="00784355" w:rsidRDefault="00EA53C3" w14:paraId="182E96DB" w14:textId="77777777">
      <w:pPr>
        <w:spacing w:after="0" w:line="240" w:lineRule="auto"/>
      </w:pPr>
      <w:r>
        <w:separator/>
      </w:r>
    </w:p>
  </w:footnote>
  <w:footnote w:type="continuationSeparator" w:id="0">
    <w:p w:rsidR="00EA53C3" w:rsidP="00784355" w:rsidRDefault="00EA53C3" w14:paraId="0A61C285" w14:textId="77777777">
      <w:pPr>
        <w:spacing w:after="0" w:line="240" w:lineRule="auto"/>
      </w:pPr>
      <w:r>
        <w:continuationSeparator/>
      </w:r>
    </w:p>
  </w:footnote>
  <w:footnote w:id="1">
    <w:p w:rsidR="00E63B37" w:rsidP="00E63B37" w:rsidRDefault="00E63B37" w14:paraId="0BBF86C1" w14:textId="77777777">
      <w:pPr>
        <w:tabs>
          <w:tab w:val="left" w:pos="993"/>
          <w:tab w:val="left" w:pos="1134"/>
        </w:tabs>
        <w:jc w:val="both"/>
        <w:rPr>
          <w:rFonts w:ascii="Arial Narrow" w:hAnsi="Arial Narrow"/>
          <w:sz w:val="16"/>
          <w:szCs w:val="16"/>
          <w:lang w:val="es-PE"/>
        </w:rPr>
      </w:pPr>
      <w:r>
        <w:rPr>
          <w:rStyle w:val="Refdenotaalpie"/>
          <w:sz w:val="16"/>
          <w:szCs w:val="16"/>
        </w:rPr>
        <w:footnoteRef/>
      </w:r>
      <w:r>
        <w:rPr>
          <w:sz w:val="16"/>
          <w:szCs w:val="16"/>
          <w:lang w:val="es-PE"/>
        </w:rPr>
        <w:t xml:space="preserve"> </w:t>
      </w:r>
      <w:r>
        <w:rPr>
          <w:rFonts w:ascii="Arial Narrow" w:hAnsi="Arial Narrow"/>
          <w:b/>
          <w:sz w:val="16"/>
          <w:szCs w:val="16"/>
          <w:lang w:val="es-PE"/>
        </w:rPr>
        <w:t xml:space="preserve">Artículo 11° del Reglamento para la Gestion y Pago de Siniestros </w:t>
      </w:r>
    </w:p>
    <w:p w:rsidR="00E63B37" w:rsidP="00E63B37" w:rsidRDefault="00E63B37" w14:paraId="4DA15ADA" w14:textId="7777777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0"/>
  </w:num>
  <w:num w:numId="3" w16cid:durableId="760956054">
    <w:abstractNumId w:val="7"/>
  </w:num>
  <w:num w:numId="4" w16cid:durableId="1079518208">
    <w:abstractNumId w:val="6"/>
  </w:num>
  <w:num w:numId="5" w16cid:durableId="1198003566">
    <w:abstractNumId w:val="8"/>
  </w:num>
  <w:num w:numId="6" w16cid:durableId="1607540339">
    <w:abstractNumId w:val="0"/>
  </w:num>
  <w:num w:numId="7" w16cid:durableId="1490902120">
    <w:abstractNumId w:val="11"/>
  </w:num>
  <w:num w:numId="8" w16cid:durableId="615214413">
    <w:abstractNumId w:val="12"/>
  </w:num>
  <w:num w:numId="9" w16cid:durableId="1018119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0E719533"/>
    <w:rsid w:val="128B58EC"/>
    <w:rsid w:val="149DD5F4"/>
    <w:rsid w:val="1A808879"/>
    <w:rsid w:val="1E18426E"/>
    <w:rsid w:val="2067BFF3"/>
    <w:rsid w:val="238D53DA"/>
    <w:rsid w:val="457D5617"/>
    <w:rsid w:val="4B674735"/>
    <w:rsid w:val="4F809DF1"/>
    <w:rsid w:val="508BD738"/>
    <w:rsid w:val="52399564"/>
    <w:rsid w:val="5349371D"/>
    <w:rsid w:val="61B9E79E"/>
    <w:rsid w:val="668BC44D"/>
    <w:rsid w:val="6ADC5C51"/>
    <w:rsid w:val="7081F4CF"/>
    <w:rsid w:val="76B49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B0345A7-EA15-4E46-B269-FD3877073326}"/>
</file>

<file path=customXml/itemProps3.xml><?xml version="1.0" encoding="utf-8"?>
<ds:datastoreItem xmlns:ds="http://schemas.openxmlformats.org/officeDocument/2006/customXml" ds:itemID="{7DA1AFD2-931E-45B5-AC9B-E00550984BBC}"/>
</file>

<file path=customXml/itemProps4.xml><?xml version="1.0" encoding="utf-8"?>
<ds:datastoreItem xmlns:ds="http://schemas.openxmlformats.org/officeDocument/2006/customXml" ds:itemID="{BAF34541-8BF7-447D-A072-131102F3FE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106</cp:revision>
  <cp:lastPrinted>2022-05-09T14:35:00Z</cp:lastPrinted>
  <dcterms:created xsi:type="dcterms:W3CDTF">2020-12-18T20:17:00Z</dcterms:created>
  <dcterms:modified xsi:type="dcterms:W3CDTF">2025-11-26T21:45:52Z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