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2480A" w:rsidR="00B10F71" w:rsidP="00041B86" w:rsidRDefault="00201C0D" w14:paraId="51974F0B" w14:textId="19FD450E">
      <w:pPr>
        <w:spacing w:after="0" w:line="240" w:lineRule="auto"/>
        <w:jc w:val="center"/>
        <w:rPr>
          <w:rFonts w:ascii="Times New Roman" w:hAnsi="Times New Roman" w:cs="Times New Roman"/>
          <w:b/>
          <w:sz w:val="24"/>
          <w:szCs w:val="24"/>
          <w:lang w:val="es-PE" w:eastAsia="ar-SA"/>
        </w:rPr>
      </w:pPr>
      <w:r w:rsidRPr="0072480A">
        <w:rPr>
          <w:rFonts w:ascii="Times New Roman" w:hAnsi="Times New Roman" w:cs="Times New Roman"/>
          <w:b/>
          <w:sz w:val="24"/>
          <w:szCs w:val="24"/>
          <w:lang w:val="es-PE" w:eastAsia="ar-SA"/>
        </w:rPr>
        <w:t xml:space="preserve">RESOLUCIÓN DE RECURSO IMPUGNATIVO </w:t>
      </w:r>
      <w:r w:rsidRPr="0072480A" w:rsidR="00707C99">
        <w:rPr>
          <w:rFonts w:ascii="Times New Roman" w:hAnsi="Times New Roman" w:cs="Times New Roman"/>
          <w:b/>
          <w:sz w:val="24"/>
          <w:szCs w:val="24"/>
          <w:lang w:val="es-PE" w:eastAsia="ar-SA"/>
        </w:rPr>
        <w:t xml:space="preserve">N° </w:t>
      </w:r>
      <w:r w:rsidRPr="0072480A" w:rsidR="00C671F5">
        <w:rPr>
          <w:rFonts w:ascii="Times New Roman" w:hAnsi="Times New Roman" w:cs="Times New Roman"/>
          <w:b/>
          <w:sz w:val="24"/>
          <w:szCs w:val="24"/>
          <w:lang w:val="es-PE" w:eastAsia="ar-SA"/>
        </w:rPr>
        <w:t>0</w:t>
      </w:r>
      <w:r w:rsidRPr="0072480A" w:rsidR="009F3B93">
        <w:rPr>
          <w:rFonts w:ascii="Times New Roman" w:hAnsi="Times New Roman" w:cs="Times New Roman"/>
          <w:b/>
          <w:sz w:val="24"/>
          <w:szCs w:val="24"/>
          <w:lang w:val="es-PE" w:eastAsia="ar-SA"/>
        </w:rPr>
        <w:t>3</w:t>
      </w:r>
      <w:r w:rsidRPr="0072480A" w:rsidR="00905938">
        <w:rPr>
          <w:rFonts w:ascii="Times New Roman" w:hAnsi="Times New Roman" w:cs="Times New Roman"/>
          <w:b/>
          <w:sz w:val="24"/>
          <w:szCs w:val="24"/>
          <w:lang w:val="es-PE" w:eastAsia="ar-SA"/>
        </w:rPr>
        <w:t>1</w:t>
      </w:r>
      <w:r w:rsidRPr="0072480A" w:rsidR="00C671F5">
        <w:rPr>
          <w:rFonts w:ascii="Times New Roman" w:hAnsi="Times New Roman" w:cs="Times New Roman"/>
          <w:b/>
          <w:sz w:val="24"/>
          <w:szCs w:val="24"/>
          <w:lang w:val="es-PE" w:eastAsia="ar-SA"/>
        </w:rPr>
        <w:t>/2</w:t>
      </w:r>
      <w:r w:rsidRPr="0072480A" w:rsidR="00B93C7A">
        <w:rPr>
          <w:rFonts w:ascii="Times New Roman" w:hAnsi="Times New Roman" w:cs="Times New Roman"/>
          <w:b/>
          <w:sz w:val="24"/>
          <w:szCs w:val="24"/>
          <w:lang w:val="es-PE" w:eastAsia="ar-SA"/>
        </w:rPr>
        <w:t>2</w:t>
      </w:r>
    </w:p>
    <w:p w:rsidRPr="0072480A" w:rsidR="00041B86" w:rsidP="00041B86" w:rsidRDefault="00041B86" w14:paraId="7C72FA3D" w14:textId="77777777">
      <w:pPr>
        <w:spacing w:after="0" w:line="240" w:lineRule="auto"/>
        <w:jc w:val="center"/>
        <w:rPr>
          <w:rFonts w:ascii="Times New Roman" w:hAnsi="Times New Roman" w:cs="Times New Roman"/>
          <w:b/>
          <w:sz w:val="24"/>
          <w:szCs w:val="24"/>
          <w:lang w:val="es-PE" w:eastAsia="ar-SA"/>
        </w:rPr>
      </w:pPr>
    </w:p>
    <w:p w:rsidR="0072480A" w:rsidP="0072480A" w:rsidRDefault="0072480A" w14:paraId="5C416CF8" w14:textId="77777777">
      <w:pPr>
        <w:suppressAutoHyphens/>
        <w:jc w:val="both"/>
        <w:outlineLvl w:val="0"/>
        <w:rPr>
          <w:rFonts w:ascii="Times New Roman" w:hAnsi="Times New Roman" w:eastAsia="Times New Roman" w:cs="Times New Roman"/>
          <w:b/>
          <w:bCs/>
          <w:sz w:val="24"/>
          <w:szCs w:val="24"/>
          <w:lang w:val="es-MX" w:eastAsia="ar-SA"/>
        </w:rPr>
      </w:pPr>
      <w:r w:rsidRPr="0072480A">
        <w:rPr>
          <w:rFonts w:ascii="Times New Roman" w:hAnsi="Times New Roman" w:eastAsia="Times New Roman" w:cs="Times New Roman"/>
          <w:b/>
          <w:bCs/>
          <w:sz w:val="24"/>
          <w:szCs w:val="24"/>
          <w:lang w:val="es-MX" w:eastAsia="ar-SA"/>
        </w:rPr>
        <w:t>Vistos:</w:t>
      </w:r>
    </w:p>
    <w:p w:rsidRPr="0072480A" w:rsidR="0072480A" w:rsidP="0072480A" w:rsidRDefault="0072480A" w14:paraId="5C0AEB54" w14:textId="35D1FAEA">
      <w:pPr>
        <w:suppressAutoHyphens/>
        <w:jc w:val="both"/>
        <w:outlineLvl w:val="0"/>
        <w:rPr>
          <w:rFonts w:ascii="Times New Roman" w:hAnsi="Times New Roman" w:eastAsia="Times New Roman" w:cs="Times New Roman"/>
          <w:b w:val="1"/>
          <w:bCs w:val="1"/>
          <w:sz w:val="24"/>
          <w:szCs w:val="24"/>
          <w:lang w:val="es-MX" w:eastAsia="ar-SA"/>
        </w:rPr>
      </w:pPr>
      <w:r w:rsidRPr="14196EF4" w:rsidR="0072480A">
        <w:rPr>
          <w:rFonts w:ascii="Times New Roman" w:hAnsi="Times New Roman" w:eastAsia="Times New Roman" w:cs="Times New Roman"/>
          <w:sz w:val="24"/>
          <w:szCs w:val="24"/>
          <w:lang w:val="es-ES" w:eastAsia="ar-SA"/>
        </w:rPr>
        <w:t xml:space="preserve">El recurso de impugnación presentado por doña </w:t>
      </w:r>
      <w:r w:rsidRPr="14196EF4" w:rsidR="345BE8C2">
        <w:rPr>
          <w:rFonts w:ascii="Times New Roman" w:hAnsi="Times New Roman" w:eastAsia="Times New Roman" w:cs="Times New Roman"/>
          <w:sz w:val="24"/>
          <w:szCs w:val="24"/>
          <w:lang w:val="es-ES" w:eastAsia="ar-SA"/>
        </w:rPr>
        <w:t>....................................................</w:t>
      </w:r>
      <w:r w:rsidRPr="14196EF4" w:rsidR="0072480A">
        <w:rPr>
          <w:rFonts w:ascii="Times New Roman" w:hAnsi="Times New Roman" w:eastAsia="Times New Roman" w:cs="Times New Roman"/>
          <w:sz w:val="24"/>
          <w:szCs w:val="24"/>
          <w:lang w:val="es-ES" w:eastAsia="ar-SA"/>
        </w:rPr>
        <w:t xml:space="preserve"> respecto de la Resolución Nro. 068/22, que declaró INFUNDADA la </w:t>
      </w:r>
      <w:r w:rsidRPr="14196EF4" w:rsidR="0072480A">
        <w:rPr>
          <w:rFonts w:ascii="Times New Roman" w:hAnsi="Times New Roman" w:eastAsia="Arial Unicode MS" w:cs="Times New Roman"/>
          <w:sz w:val="24"/>
          <w:szCs w:val="24"/>
          <w:lang w:val="es-PE"/>
        </w:rPr>
        <w:t>la reclamación interpuesta</w:t>
      </w:r>
      <w:bookmarkStart w:name="OLE_LINK2" w:id="0"/>
      <w:r w:rsidRPr="14196EF4" w:rsidR="0072480A">
        <w:rPr>
          <w:rFonts w:ascii="Times New Roman" w:hAnsi="Times New Roman" w:eastAsia="Arial Unicode MS" w:cs="Times New Roman"/>
          <w:sz w:val="24"/>
          <w:szCs w:val="24"/>
          <w:lang w:val="es-PE"/>
        </w:rPr>
        <w:t xml:space="preserve"> contra </w:t>
      </w:r>
      <w:r w:rsidRPr="14196EF4" w:rsidR="107917F2">
        <w:rPr>
          <w:rFonts w:ascii="Times New Roman" w:hAnsi="Times New Roman" w:eastAsia="Arial Unicode MS" w:cs="Times New Roman"/>
          <w:sz w:val="24"/>
          <w:szCs w:val="24"/>
          <w:lang w:val="es-PE"/>
        </w:rPr>
        <w:t>..............................</w:t>
      </w:r>
      <w:r w:rsidRPr="14196EF4" w:rsidR="0072480A">
        <w:rPr>
          <w:rFonts w:ascii="Times New Roman" w:hAnsi="Times New Roman" w:eastAsia="Arial Unicode MS" w:cs="Times New Roman"/>
          <w:sz w:val="24"/>
          <w:szCs w:val="24"/>
          <w:lang w:val="es-PE"/>
        </w:rPr>
        <w:t xml:space="preserve"> respecto del reembolso de gastos médicos presentados bajo la póliza de seguro de enfermedades graves </w:t>
      </w:r>
      <w:r w:rsidRPr="14196EF4" w:rsidR="0072480A">
        <w:rPr>
          <w:rFonts w:ascii="Times New Roman" w:hAnsi="Times New Roman" w:eastAsia="Arial Unicode MS" w:cs="Times New Roman"/>
          <w:sz w:val="24"/>
          <w:szCs w:val="24"/>
          <w:lang w:val="es-PE"/>
        </w:rPr>
        <w:t>Nº</w:t>
      </w:r>
      <w:r w:rsidRPr="14196EF4" w:rsidR="0072480A">
        <w:rPr>
          <w:rFonts w:ascii="Times New Roman" w:hAnsi="Times New Roman" w:eastAsia="Arial Unicode MS" w:cs="Times New Roman"/>
          <w:sz w:val="24"/>
          <w:szCs w:val="24"/>
          <w:lang w:val="es-PE"/>
        </w:rPr>
        <w:t xml:space="preserve"> </w:t>
      </w:r>
      <w:r w:rsidRPr="14196EF4" w:rsidR="3AA86B7E">
        <w:rPr>
          <w:rFonts w:ascii="Times New Roman" w:hAnsi="Times New Roman" w:eastAsia="Arial Unicode MS" w:cs="Times New Roman"/>
          <w:sz w:val="24"/>
          <w:szCs w:val="24"/>
          <w:lang w:val="es-PE"/>
        </w:rPr>
        <w:t>..................</w:t>
      </w:r>
      <w:r w:rsidRPr="14196EF4" w:rsidR="0072480A">
        <w:rPr>
          <w:rFonts w:ascii="Times New Roman" w:hAnsi="Times New Roman" w:eastAsia="Arial Unicode MS" w:cs="Times New Roman"/>
          <w:sz w:val="24"/>
          <w:szCs w:val="24"/>
          <w:lang w:val="es-PE"/>
        </w:rPr>
        <w:t xml:space="preserve">. </w:t>
      </w:r>
    </w:p>
    <w:bookmarkEnd w:id="0"/>
    <w:p w:rsidRPr="0072480A" w:rsidR="0072480A" w:rsidP="0072480A" w:rsidRDefault="0072480A" w14:paraId="64DB52C7" w14:textId="77777777">
      <w:pPr>
        <w:pStyle w:val="Default"/>
        <w:jc w:val="both"/>
        <w:rPr>
          <w:rFonts w:ascii="Times New Roman" w:hAnsi="Times New Roman" w:cs="Times New Roman"/>
          <w:bCs/>
          <w:lang w:val="es-MX" w:eastAsia="ar-SA"/>
        </w:rPr>
      </w:pPr>
      <w:r w:rsidRPr="0072480A">
        <w:rPr>
          <w:rFonts w:ascii="Times New Roman" w:hAnsi="Times New Roman" w:cs="Times New Roman"/>
          <w:bCs/>
          <w:lang w:val="es-MX" w:eastAsia="ar-SA"/>
        </w:rPr>
        <w:t xml:space="preserve">Que, a través del señalado recurso, la recurrente discrepa de lo resulto pues considera que la septicemia fue consecuencia del cáncer que su cónyuge padecía y no se encuentra excluida de la cobertura; asimismo considera que debería aplicarse la Ley del Procedimiento Administrativo General, que en este caso se ha vulnerado el debido proceso al omitir considerar todos los medios probatorios ofrecidos, y no realizar una debida motivación; por lo que solicita se declare fundado su reclamo. </w:t>
      </w:r>
    </w:p>
    <w:p w:rsidRPr="0072480A" w:rsidR="0072480A" w:rsidP="0072480A" w:rsidRDefault="0072480A" w14:paraId="4D038C9C" w14:textId="77777777">
      <w:pPr>
        <w:pStyle w:val="Default"/>
        <w:jc w:val="both"/>
        <w:rPr>
          <w:rFonts w:ascii="Times New Roman" w:hAnsi="Times New Roman" w:cs="Times New Roman"/>
          <w:bCs/>
          <w:lang w:val="es-MX" w:eastAsia="ar-SA"/>
        </w:rPr>
      </w:pPr>
    </w:p>
    <w:p w:rsidR="0072480A" w:rsidP="0072480A" w:rsidRDefault="0072480A" w14:paraId="3CECE173" w14:textId="77777777">
      <w:pPr>
        <w:suppressAutoHyphens/>
        <w:jc w:val="both"/>
        <w:rPr>
          <w:rFonts w:ascii="Times New Roman" w:hAnsi="Times New Roman" w:eastAsia="Times New Roman" w:cs="Times New Roman"/>
          <w:bCs/>
          <w:sz w:val="24"/>
          <w:szCs w:val="24"/>
          <w:lang w:val="es-MX" w:eastAsia="ar-SA"/>
        </w:rPr>
      </w:pPr>
      <w:r w:rsidRPr="0072480A">
        <w:rPr>
          <w:rFonts w:ascii="Times New Roman" w:hAnsi="Times New Roman" w:eastAsia="Times New Roman" w:cs="Times New Roman"/>
          <w:bCs/>
          <w:sz w:val="24"/>
          <w:szCs w:val="24"/>
          <w:lang w:val="es-MX" w:eastAsia="ar-SA"/>
        </w:rPr>
        <w:t xml:space="preserve">Que, habiéndosele corrido traslado de la señalada impugnación, la aseguradora señaló que la misma constituye un pedido de revisión general, sin adjuntar nuevos elementos probatorios; que debe ratificarse la resolución emitida en todos sus extremos, y reafirmar que el rechazo </w:t>
      </w:r>
      <w:r w:rsidRPr="0072480A">
        <w:rPr>
          <w:rFonts w:ascii="Times New Roman" w:hAnsi="Times New Roman" w:eastAsia="Times New Roman" w:cs="Times New Roman"/>
          <w:bCs/>
          <w:sz w:val="24"/>
          <w:szCs w:val="24"/>
          <w:lang w:val="es-PE" w:eastAsia="ar-SA"/>
        </w:rPr>
        <w:t>efectuado se debió a que el riesgo reclamado no se encuentra asegurado por la póliza contratada, no tratándose de una exclusión de cobertura como equivocadamente continúa sosteniendo la reclamante</w:t>
      </w:r>
    </w:p>
    <w:p w:rsidRPr="0072480A" w:rsidR="0072480A" w:rsidP="0072480A" w:rsidRDefault="0072480A" w14:paraId="2E6BD128" w14:textId="214A5D60">
      <w:pPr>
        <w:suppressAutoHyphens/>
        <w:jc w:val="both"/>
        <w:rPr>
          <w:rFonts w:ascii="Times New Roman" w:hAnsi="Times New Roman" w:eastAsia="Times New Roman" w:cs="Times New Roman"/>
          <w:bCs/>
          <w:sz w:val="24"/>
          <w:szCs w:val="24"/>
          <w:lang w:val="es-MX" w:eastAsia="ar-SA"/>
        </w:rPr>
      </w:pPr>
      <w:r w:rsidRPr="0072480A">
        <w:rPr>
          <w:rFonts w:ascii="Times New Roman" w:hAnsi="Times New Roman" w:eastAsia="Times New Roman" w:cs="Times New Roman"/>
          <w:b/>
          <w:bCs/>
          <w:sz w:val="24"/>
          <w:szCs w:val="24"/>
          <w:lang w:val="es-MX" w:eastAsia="ar-SA"/>
        </w:rPr>
        <w:t>Considerando:</w:t>
      </w:r>
    </w:p>
    <w:p w:rsidRPr="0072480A" w:rsidR="0072480A" w:rsidP="0072480A" w:rsidRDefault="0072480A" w14:paraId="35205FE7" w14:textId="77777777">
      <w:pPr>
        <w:jc w:val="both"/>
        <w:rPr>
          <w:rFonts w:ascii="Times New Roman" w:hAnsi="Times New Roman" w:cs="Times New Roman"/>
          <w:sz w:val="24"/>
          <w:szCs w:val="24"/>
          <w:lang w:val="es-PE"/>
        </w:rPr>
      </w:pPr>
      <w:r w:rsidRPr="0072480A">
        <w:rPr>
          <w:rFonts w:ascii="Times New Roman" w:hAnsi="Times New Roman" w:cs="Times New Roman"/>
          <w:b/>
          <w:sz w:val="24"/>
          <w:szCs w:val="24"/>
          <w:u w:val="single"/>
          <w:lang w:val="es-PE"/>
        </w:rPr>
        <w:t>Primero</w:t>
      </w:r>
      <w:r w:rsidRPr="0072480A">
        <w:rPr>
          <w:rFonts w:ascii="Times New Roman" w:hAnsi="Times New Roman" w:cs="Times New Roman"/>
          <w:b/>
          <w:sz w:val="24"/>
          <w:szCs w:val="24"/>
          <w:lang w:val="es-PE"/>
        </w:rPr>
        <w:t>:</w:t>
      </w:r>
      <w:r w:rsidRPr="0072480A">
        <w:rPr>
          <w:rFonts w:ascii="Times New Roman" w:hAnsi="Times New Roman" w:cs="Times New Roman"/>
          <w:sz w:val="24"/>
          <w:szCs w:val="24"/>
          <w:lang w:val="es-PE"/>
        </w:rPr>
        <w:t xml:space="preserve"> El Reglamento de la DEFASEG </w:t>
      </w:r>
      <w:r w:rsidRPr="0072480A">
        <w:rPr>
          <w:rFonts w:ascii="Times New Roman" w:hAnsi="Times New Roman" w:eastAsia="Arial Unicode MS" w:cs="Times New Roman"/>
          <w:sz w:val="24"/>
          <w:szCs w:val="24"/>
          <w:lang w:val="es-PE"/>
        </w:rPr>
        <w:t xml:space="preserve">(http://www.defaseg.com.pe/reglamento), en su artículo 10, </w:t>
      </w:r>
      <w:r w:rsidRPr="0072480A">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w:t>
      </w:r>
    </w:p>
    <w:p w:rsidRPr="0072480A" w:rsidR="0072480A" w:rsidP="0072480A" w:rsidRDefault="0072480A" w14:paraId="0596EB08" w14:textId="77777777">
      <w:pPr>
        <w:jc w:val="both"/>
        <w:rPr>
          <w:rFonts w:ascii="Times New Roman" w:hAnsi="Times New Roman" w:cs="Times New Roman"/>
          <w:sz w:val="24"/>
          <w:szCs w:val="24"/>
          <w:lang w:val="es-PE"/>
        </w:rPr>
      </w:pPr>
      <w:r w:rsidRPr="0072480A">
        <w:rPr>
          <w:rFonts w:ascii="Times New Roman" w:hAnsi="Times New Roman" w:cs="Times New Roman"/>
          <w:sz w:val="24"/>
          <w:szCs w:val="24"/>
          <w:lang w:val="es-PE"/>
        </w:rPr>
        <w:t xml:space="preserve">De manera complementaria, el artículo 11 del indicado reglamento dispone que, el </w:t>
      </w:r>
      <w:r w:rsidRPr="0072480A">
        <w:rPr>
          <w:rFonts w:ascii="Times New Roman" w:hAnsi="Times New Roman" w:cs="Times New Roman"/>
          <w:sz w:val="24"/>
          <w:szCs w:val="24"/>
          <w:lang w:val="es-ES"/>
        </w:rPr>
        <w:t>usuario de seguro recurre en forma voluntaria a la Defensoría, siendo que la presentación de una reclamación n</w:t>
      </w:r>
      <w:r w:rsidRPr="0072480A">
        <w:rPr>
          <w:rFonts w:ascii="Times New Roman" w:hAnsi="Times New Roman" w:cs="Times New Roman"/>
          <w:sz w:val="24"/>
          <w:szCs w:val="24"/>
          <w:lang w:val="es-PE"/>
        </w:rPr>
        <w:t xml:space="preserve">o limita su derecho a recurrir posteriormente ante el órgano administrativo o jurisdiccional que considere pertinente.  </w:t>
      </w:r>
    </w:p>
    <w:p w:rsidRPr="0072480A" w:rsidR="0072480A" w:rsidP="0072480A" w:rsidRDefault="0072480A" w14:paraId="21D9A2D4" w14:textId="77777777">
      <w:pPr>
        <w:jc w:val="both"/>
        <w:rPr>
          <w:rFonts w:ascii="Times New Roman" w:hAnsi="Times New Roman" w:cs="Times New Roman"/>
          <w:sz w:val="24"/>
          <w:szCs w:val="24"/>
          <w:lang w:val="es-PE"/>
        </w:rPr>
      </w:pPr>
      <w:r w:rsidRPr="0072480A">
        <w:rPr>
          <w:rFonts w:ascii="Times New Roman" w:hAnsi="Times New Roman" w:cs="Times New Roman"/>
          <w:sz w:val="24"/>
          <w:szCs w:val="24"/>
          <w:lang w:val="es-PE"/>
        </w:rPr>
        <w:t>De acuerdo a lo anterior, si el reclamante no se encuentra conforme con lo resuelto, esto último no limita la posibilidad de poder recurrir a las instancias correspondientes, a diferencia de la aseguradora que sí queda comprometida con lo resuelto por la DEFASEG.</w:t>
      </w:r>
    </w:p>
    <w:p w:rsidRPr="0072480A" w:rsidR="0072480A" w:rsidP="0072480A" w:rsidRDefault="0072480A" w14:paraId="36D00C90" w14:textId="77777777">
      <w:pPr>
        <w:tabs>
          <w:tab w:val="left" w:pos="0"/>
          <w:tab w:val="left" w:pos="2160"/>
        </w:tabs>
        <w:jc w:val="both"/>
        <w:rPr>
          <w:rFonts w:ascii="Times New Roman" w:hAnsi="Times New Roman" w:cs="Times New Roman"/>
          <w:sz w:val="24"/>
          <w:szCs w:val="24"/>
          <w:lang w:val="es-ES"/>
        </w:rPr>
      </w:pPr>
      <w:r w:rsidRPr="0072480A">
        <w:rPr>
          <w:rFonts w:ascii="Times New Roman" w:hAnsi="Times New Roman" w:cs="Times New Roman"/>
          <w:b/>
          <w:sz w:val="24"/>
          <w:szCs w:val="24"/>
          <w:u w:val="single"/>
          <w:lang w:val="es-PE"/>
        </w:rPr>
        <w:t>Segundo</w:t>
      </w:r>
      <w:r w:rsidRPr="0072480A">
        <w:rPr>
          <w:rFonts w:ascii="Times New Roman" w:hAnsi="Times New Roman" w:cs="Times New Roman"/>
          <w:b/>
          <w:sz w:val="24"/>
          <w:szCs w:val="24"/>
          <w:lang w:val="es-PE"/>
        </w:rPr>
        <w:t>:</w:t>
      </w:r>
      <w:r w:rsidRPr="0072480A">
        <w:rPr>
          <w:rFonts w:ascii="Times New Roman" w:hAnsi="Times New Roman" w:cs="Times New Roman"/>
          <w:sz w:val="24"/>
          <w:szCs w:val="24"/>
          <w:lang w:val="es-PE"/>
        </w:rPr>
        <w:t xml:space="preserve"> Atendiendo a los fundamentos de la impugnación interpuesta, se advierte que más allá de sostener que se habría vulnerado el debido proceso y no se habría motivado adecuadamente su resolución, la reclamante insiste en sus argumentos ya analizados, </w:t>
      </w:r>
      <w:r w:rsidRPr="0072480A">
        <w:rPr>
          <w:rFonts w:ascii="Times New Roman" w:hAnsi="Times New Roman" w:cs="Times New Roman"/>
          <w:bCs/>
          <w:sz w:val="24"/>
          <w:szCs w:val="24"/>
          <w:lang w:val="es-PE"/>
        </w:rPr>
        <w:t xml:space="preserve">de manera que el </w:t>
      </w:r>
      <w:r w:rsidRPr="0072480A">
        <w:rPr>
          <w:rFonts w:ascii="Times New Roman" w:hAnsi="Times New Roman" w:cs="Times New Roman"/>
          <w:sz w:val="24"/>
          <w:szCs w:val="24"/>
          <w:lang w:val="es-ES"/>
        </w:rPr>
        <w:t xml:space="preserve">recurso impugnativo interpuesto puede ser categorizado, por su contenido mismo, como una solicitud de revisión general, sustentada exclusivamente en el criterio de la reclamante, que esta Defensoría respeta pero no comparte,  </w:t>
      </w:r>
    </w:p>
    <w:p w:rsidR="0072480A" w:rsidP="0072480A" w:rsidRDefault="0072480A" w14:paraId="44F6684C" w14:textId="77777777">
      <w:pPr>
        <w:tabs>
          <w:tab w:val="left" w:pos="0"/>
          <w:tab w:val="left" w:pos="2160"/>
        </w:tabs>
        <w:jc w:val="both"/>
        <w:rPr>
          <w:rFonts w:ascii="Times New Roman" w:hAnsi="Times New Roman" w:cs="Times New Roman"/>
          <w:sz w:val="24"/>
          <w:szCs w:val="24"/>
          <w:lang w:val="es-ES"/>
        </w:rPr>
      </w:pPr>
      <w:r w:rsidRPr="0072480A">
        <w:rPr>
          <w:rFonts w:ascii="Times New Roman" w:hAnsi="Times New Roman" w:cs="Times New Roman"/>
          <w:sz w:val="24"/>
          <w:szCs w:val="24"/>
          <w:lang w:val="es-ES"/>
        </w:rPr>
        <w:t>En efecto, es un hecho objetivo que la póliza es una de riesgos enumerados, por lo que solo cubre determinadas atenciones de cáncer. Al no estar cubierta la septicemia como complicación de un cáncer, no se requiere que figure como exclusión, como ya fue expuesto en la resolución impugnada.</w:t>
      </w:r>
    </w:p>
    <w:p w:rsidRPr="0072480A" w:rsidR="0072480A" w:rsidP="0072480A" w:rsidRDefault="0072480A" w14:paraId="230330F0" w14:textId="13A978DE">
      <w:pPr>
        <w:tabs>
          <w:tab w:val="left" w:pos="0"/>
          <w:tab w:val="left" w:pos="2160"/>
        </w:tabs>
        <w:jc w:val="both"/>
        <w:rPr>
          <w:rFonts w:ascii="Times New Roman" w:hAnsi="Times New Roman" w:cs="Times New Roman"/>
          <w:sz w:val="24"/>
          <w:szCs w:val="24"/>
          <w:lang w:val="es-ES"/>
        </w:rPr>
      </w:pPr>
      <w:r w:rsidRPr="0072480A">
        <w:rPr>
          <w:rFonts w:ascii="Times New Roman" w:hAnsi="Times New Roman" w:cs="Times New Roman"/>
          <w:sz w:val="24"/>
          <w:szCs w:val="24"/>
          <w:lang w:val="es-ES"/>
        </w:rPr>
        <w:lastRenderedPageBreak/>
        <w:t>A continuación transcribimos parte pertinente de la resolución impugnada en la que se analiza dicho aspecto:</w:t>
      </w:r>
    </w:p>
    <w:p w:rsidRPr="0072480A" w:rsidR="0072480A" w:rsidP="0072480A" w:rsidRDefault="0072480A" w14:paraId="4C7928AD" w14:textId="77777777">
      <w:pPr>
        <w:tabs>
          <w:tab w:val="left" w:pos="0"/>
          <w:tab w:val="left" w:pos="2160"/>
        </w:tabs>
        <w:ind w:left="720"/>
        <w:jc w:val="both"/>
        <w:rPr>
          <w:rFonts w:ascii="Times New Roman" w:hAnsi="Times New Roman" w:cs="Times New Roman"/>
          <w:i/>
          <w:iCs/>
          <w:sz w:val="24"/>
          <w:szCs w:val="24"/>
          <w:lang w:val="es-PE"/>
        </w:rPr>
      </w:pPr>
      <w:r w:rsidRPr="0072480A">
        <w:rPr>
          <w:rFonts w:ascii="Times New Roman" w:hAnsi="Times New Roman" w:cs="Times New Roman"/>
          <w:i/>
          <w:iCs/>
          <w:sz w:val="24"/>
          <w:szCs w:val="24"/>
          <w:lang w:val="es-PE"/>
        </w:rPr>
        <w:t xml:space="preserve">“Se aprecia por tanto que estamos ante una póliza de riesgos enumerados, donde no corresponde otorgar cobertura cuando no se ha producido alguno de los riesgos cubiertos. En este caso no se cubre el cáncer y sus complicaciones en toda su extensión, sino únicamente a los tratamientos de cáncer que la propia póliza enumera y solo la complicación post quirúrgica que se menciona, esta es: la complicación hemorrágica post-operatoria inmediata. </w:t>
      </w:r>
    </w:p>
    <w:p w:rsidRPr="0072480A" w:rsidR="0072480A" w:rsidP="0072480A" w:rsidRDefault="0072480A" w14:paraId="5F1A453F" w14:textId="77777777">
      <w:pPr>
        <w:tabs>
          <w:tab w:val="left" w:pos="0"/>
          <w:tab w:val="left" w:pos="2160"/>
        </w:tabs>
        <w:ind w:left="720"/>
        <w:jc w:val="both"/>
        <w:rPr>
          <w:rFonts w:ascii="Times New Roman" w:hAnsi="Times New Roman" w:cs="Times New Roman"/>
          <w:i/>
          <w:iCs/>
          <w:sz w:val="24"/>
          <w:szCs w:val="24"/>
          <w:lang w:val="es-PE"/>
        </w:rPr>
      </w:pPr>
      <w:r w:rsidRPr="0072480A">
        <w:rPr>
          <w:rFonts w:ascii="Times New Roman" w:hAnsi="Times New Roman" w:cs="Times New Roman"/>
          <w:i/>
          <w:iCs/>
          <w:sz w:val="24"/>
          <w:szCs w:val="24"/>
          <w:lang w:val="es-PE"/>
        </w:rPr>
        <w:t xml:space="preserve">En el presente caso las cartas de garantía rechazadas, materia de reclamo requirieron atención por complicaciones que se presentaron como consecuencia del cáncer, siendo estas: absceso hepático, septicemia. </w:t>
      </w:r>
    </w:p>
    <w:p w:rsidRPr="0072480A" w:rsidR="0072480A" w:rsidP="0072480A" w:rsidRDefault="0072480A" w14:paraId="0DDF57E8" w14:textId="77777777">
      <w:pPr>
        <w:tabs>
          <w:tab w:val="left" w:pos="0"/>
          <w:tab w:val="left" w:pos="2160"/>
        </w:tabs>
        <w:ind w:left="720"/>
        <w:jc w:val="both"/>
        <w:rPr>
          <w:rFonts w:ascii="Times New Roman" w:hAnsi="Times New Roman" w:cs="Times New Roman"/>
          <w:i/>
          <w:iCs/>
          <w:sz w:val="24"/>
          <w:szCs w:val="24"/>
          <w:lang w:val="es-PE"/>
        </w:rPr>
      </w:pPr>
      <w:r w:rsidRPr="0072480A">
        <w:rPr>
          <w:rFonts w:ascii="Times New Roman" w:hAnsi="Times New Roman" w:cs="Times New Roman"/>
          <w:i/>
          <w:iCs/>
          <w:sz w:val="24"/>
          <w:szCs w:val="24"/>
          <w:lang w:val="es-PE"/>
        </w:rPr>
        <w:t>No resulta un hecho controvertido que tanto el absceso como la septicemia corresponden a complicaciones del cáncer, ello ha sido reconocido por la propia aseguradora. Lo que la compañía de seguros señala es que dicha complicación no corresponde a una hemorrágica post-operatoria inmediata, que es el único riesgo post-operatorio del tratamiento oncológico que la póliza ampara, y por tanto no es un riesgo cubierto por la póliza.</w:t>
      </w:r>
    </w:p>
    <w:p w:rsidRPr="0072480A" w:rsidR="0072480A" w:rsidP="0072480A" w:rsidRDefault="0072480A" w14:paraId="4C3C26D6" w14:textId="77777777">
      <w:pPr>
        <w:tabs>
          <w:tab w:val="left" w:pos="0"/>
          <w:tab w:val="left" w:pos="2160"/>
        </w:tabs>
        <w:ind w:left="720"/>
        <w:jc w:val="both"/>
        <w:rPr>
          <w:rFonts w:ascii="Times New Roman" w:hAnsi="Times New Roman" w:cs="Times New Roman"/>
          <w:i/>
          <w:iCs/>
          <w:sz w:val="24"/>
          <w:szCs w:val="24"/>
          <w:lang w:val="es-PE"/>
        </w:rPr>
      </w:pPr>
      <w:r w:rsidRPr="0072480A">
        <w:rPr>
          <w:rFonts w:ascii="Times New Roman" w:hAnsi="Times New Roman" w:cs="Times New Roman"/>
          <w:i/>
          <w:iCs/>
          <w:sz w:val="24"/>
          <w:szCs w:val="24"/>
          <w:lang w:val="es-PE"/>
        </w:rPr>
        <w:t>(…)</w:t>
      </w:r>
    </w:p>
    <w:p w:rsidRPr="0072480A" w:rsidR="0072480A" w:rsidP="0072480A" w:rsidRDefault="0072480A" w14:paraId="454D5BE4" w14:textId="6CE97D7A">
      <w:pPr>
        <w:tabs>
          <w:tab w:val="left" w:pos="0"/>
          <w:tab w:val="left" w:pos="2160"/>
        </w:tabs>
        <w:ind w:left="720"/>
        <w:jc w:val="both"/>
        <w:rPr>
          <w:rFonts w:ascii="Times New Roman" w:hAnsi="Times New Roman" w:cs="Times New Roman"/>
          <w:i/>
          <w:iCs/>
          <w:sz w:val="24"/>
          <w:szCs w:val="24"/>
          <w:lang w:val="es-PE"/>
        </w:rPr>
      </w:pPr>
      <w:r w:rsidRPr="0072480A">
        <w:rPr>
          <w:rFonts w:ascii="Times New Roman" w:hAnsi="Times New Roman" w:cs="Times New Roman"/>
          <w:i/>
          <w:iCs/>
          <w:sz w:val="24"/>
          <w:szCs w:val="24"/>
          <w:lang w:val="es-PE"/>
        </w:rPr>
        <w:t>Al no ser materia controvertida el conocimiento de la póliza, ni de sus términos y condiciones, los pactos que delimitan el riesgo aceptado son definitivamente válidos y oponibles, por lo que era de conocimiento del asegurado al momento de contratar la póliza que la cobertura de cáncer se limitó positivamente, siendo que únicamente cubría la complicación hemorrágica post-operatoria y no otras complicaciones post quirúrgicas; sin perjuicio de lo cual la póliza también cubría a las complicaciones expresamente señaladas en la póliza referidas únicamente a situaciones postquimioterapia o terapia biológica o radioterapia, y dentro de ellas solo a las Página 5 de 5 expresamente enumeradas, ninguna de las cuales corresponde a las complicaciones presentadas (absceso hepática y septicemia); por lo que el rechazo de cobertura sustentado en que estamos ante riesgos no coberturados, resulta legítimo.”</w:t>
      </w:r>
    </w:p>
    <w:p w:rsidRPr="0072480A" w:rsidR="0072480A" w:rsidP="0072480A" w:rsidRDefault="0072480A" w14:paraId="5BA9D588" w14:textId="29E6C7B6">
      <w:pPr>
        <w:tabs>
          <w:tab w:val="left" w:pos="0"/>
          <w:tab w:val="left" w:pos="2160"/>
        </w:tabs>
        <w:jc w:val="both"/>
        <w:rPr>
          <w:rFonts w:ascii="Times New Roman" w:hAnsi="Times New Roman" w:cs="Times New Roman"/>
          <w:sz w:val="24"/>
          <w:szCs w:val="24"/>
          <w:lang w:val="es-ES"/>
        </w:rPr>
      </w:pPr>
      <w:r w:rsidRPr="0072480A">
        <w:rPr>
          <w:rFonts w:ascii="Times New Roman" w:hAnsi="Times New Roman" w:cs="Times New Roman"/>
          <w:b/>
          <w:bCs/>
          <w:sz w:val="24"/>
          <w:szCs w:val="24"/>
          <w:u w:val="single"/>
          <w:lang w:val="es-PE"/>
        </w:rPr>
        <w:t>Tercero:</w:t>
      </w:r>
      <w:r w:rsidRPr="0072480A">
        <w:rPr>
          <w:rFonts w:ascii="Times New Roman" w:hAnsi="Times New Roman" w:cs="Times New Roman"/>
          <w:sz w:val="24"/>
          <w:szCs w:val="24"/>
          <w:lang w:val="es-PE"/>
        </w:rPr>
        <w:t xml:space="preserve"> Por último, este colegiado estima por conveniente dejar constancia que </w:t>
      </w:r>
      <w:r w:rsidRPr="0072480A">
        <w:rPr>
          <w:rFonts w:ascii="Times New Roman" w:hAnsi="Times New Roman" w:cs="Times New Roman"/>
          <w:sz w:val="24"/>
          <w:szCs w:val="24"/>
          <w:lang w:val="es-419"/>
        </w:rPr>
        <w:t>la Defensoría del Asegurado es una entidad privada y por ende no constituye una instancia administrativa regida por la ley del procedimiento administrativo general. La Defensoría se rige por su propio reglamento (</w:t>
      </w:r>
      <w:hyperlink w:history="1" r:id="rId8">
        <w:r w:rsidRPr="0072480A">
          <w:rPr>
            <w:rStyle w:val="Hipervnculo"/>
            <w:rFonts w:ascii="Times New Roman" w:hAnsi="Times New Roman" w:cs="Times New Roman"/>
            <w:sz w:val="24"/>
            <w:szCs w:val="24"/>
            <w:lang w:val="es-419"/>
          </w:rPr>
          <w:t>http://www.defaseg.com.pe/reglamento.html</w:t>
        </w:r>
      </w:hyperlink>
      <w:r w:rsidRPr="0072480A">
        <w:rPr>
          <w:rFonts w:ascii="Times New Roman" w:hAnsi="Times New Roman" w:cs="Times New Roman"/>
          <w:sz w:val="24"/>
          <w:szCs w:val="24"/>
          <w:lang w:val="es-419"/>
        </w:rPr>
        <w:t xml:space="preserve"> ), de acuerdo al cual </w:t>
      </w:r>
      <w:r w:rsidRPr="0072480A">
        <w:rPr>
          <w:rFonts w:ascii="Times New Roman" w:hAnsi="Times New Roman" w:cs="Times New Roman"/>
          <w:sz w:val="24"/>
          <w:szCs w:val="24"/>
          <w:lang w:val="es-ES"/>
        </w:rPr>
        <w:t>el sometimiento voluntario de controversias en materia de seguros ante esta Defensoría, no afecta el derecho a la tutela jurisdiccional del asegurado, toda vez que lo resuelto por esta Defensoría no afecta su derecho a iniciar procesos ante las instancias que considere pertinentes, sin que sea necesario que se revoque previamente la resolución emitida, en tanto las resoluciones que expide esta Defensoría no son vinculantes para el asegurado o reclamante cuando éstas son desfavorables para los mismos, ya que son únicamente vinculantes para las aseguradoras cuando el fallo es favorable para el asegurado.</w:t>
      </w:r>
    </w:p>
    <w:p w:rsidRPr="0072480A" w:rsidR="0072480A" w:rsidP="0072480A" w:rsidRDefault="0072480A" w14:paraId="1D71A696" w14:textId="77777777">
      <w:pPr>
        <w:tabs>
          <w:tab w:val="left" w:pos="2160"/>
        </w:tabs>
        <w:jc w:val="both"/>
        <w:rPr>
          <w:rFonts w:ascii="Times New Roman" w:hAnsi="Times New Roman" w:cs="Times New Roman"/>
          <w:sz w:val="24"/>
          <w:szCs w:val="24"/>
          <w:lang w:val="es-ES"/>
        </w:rPr>
      </w:pPr>
      <w:r w:rsidRPr="0072480A">
        <w:rPr>
          <w:rFonts w:ascii="Times New Roman" w:hAnsi="Times New Roman" w:cs="Times New Roman"/>
          <w:sz w:val="24"/>
          <w:szCs w:val="24"/>
          <w:lang w:val="es-ES"/>
        </w:rPr>
        <w:lastRenderedPageBreak/>
        <w:t>En atención a las consideraciones precedentes, ratificando el análisis y conclusión contenidos en la resolución recurrida, este colegiado aprecia que no existe mérito para revocar la resolución recurrida; por lo tanto,</w:t>
      </w:r>
    </w:p>
    <w:p w:rsidRPr="0072480A" w:rsidR="0072480A" w:rsidP="0072480A" w:rsidRDefault="0072480A" w14:paraId="1458D241" w14:textId="77777777">
      <w:pPr>
        <w:jc w:val="both"/>
        <w:rPr>
          <w:rFonts w:ascii="Times New Roman" w:hAnsi="Times New Roman" w:cs="Times New Roman"/>
          <w:b/>
          <w:sz w:val="24"/>
          <w:szCs w:val="24"/>
          <w:lang w:val="es-PE"/>
        </w:rPr>
      </w:pPr>
      <w:r w:rsidRPr="0072480A">
        <w:rPr>
          <w:rFonts w:ascii="Times New Roman" w:hAnsi="Times New Roman" w:cs="Times New Roman"/>
          <w:b/>
          <w:sz w:val="24"/>
          <w:szCs w:val="24"/>
          <w:lang w:val="es-PE"/>
        </w:rPr>
        <w:t>Atendiendo a lo expresado, conforme a su reglamento, este colegiado resuelve:</w:t>
      </w:r>
    </w:p>
    <w:p w:rsidRPr="0072480A" w:rsidR="0072480A" w:rsidP="0072480A" w:rsidRDefault="0072480A" w14:paraId="0206500F" w14:textId="05B264E9">
      <w:pPr>
        <w:jc w:val="both"/>
        <w:rPr>
          <w:rFonts w:ascii="Times New Roman" w:hAnsi="Times New Roman" w:eastAsia="Arial Unicode MS" w:cs="Times New Roman"/>
          <w:sz w:val="24"/>
          <w:szCs w:val="24"/>
          <w:lang w:val="es-PE"/>
        </w:rPr>
      </w:pPr>
      <w:r w:rsidRPr="14196EF4" w:rsidR="0072480A">
        <w:rPr>
          <w:rFonts w:ascii="Times New Roman" w:hAnsi="Times New Roman" w:eastAsia="Arial Unicode MS" w:cs="Times New Roman"/>
          <w:b w:val="1"/>
          <w:bCs w:val="1"/>
          <w:sz w:val="24"/>
          <w:szCs w:val="24"/>
          <w:lang w:val="es-PE"/>
        </w:rPr>
        <w:t xml:space="preserve">Declarar INFUNDADO el recurso impugnativo </w:t>
      </w:r>
      <w:r w:rsidRPr="14196EF4" w:rsidR="0072480A">
        <w:rPr>
          <w:rFonts w:ascii="Times New Roman" w:hAnsi="Times New Roman" w:eastAsia="Arial Unicode MS" w:cs="Times New Roman"/>
          <w:sz w:val="24"/>
          <w:szCs w:val="24"/>
          <w:lang w:val="es-PE"/>
        </w:rPr>
        <w:t xml:space="preserve">interpuesto por doña </w:t>
      </w:r>
      <w:r w:rsidRPr="14196EF4" w:rsidR="345BE8C2">
        <w:rPr>
          <w:rFonts w:ascii="Times New Roman" w:hAnsi="Times New Roman" w:eastAsia="Arial Unicode MS" w:cs="Times New Roman"/>
          <w:sz w:val="24"/>
          <w:szCs w:val="24"/>
          <w:lang w:val="es-PE"/>
        </w:rPr>
        <w:t>....................................................</w:t>
      </w:r>
      <w:r w:rsidRPr="14196EF4" w:rsidR="0072480A">
        <w:rPr>
          <w:rFonts w:ascii="Times New Roman" w:hAnsi="Times New Roman" w:eastAsia="Arial Unicode MS" w:cs="Times New Roman"/>
          <w:sz w:val="24"/>
          <w:szCs w:val="24"/>
          <w:lang w:val="es-PE"/>
        </w:rPr>
        <w:t xml:space="preserve"> y </w:t>
      </w:r>
      <w:r w:rsidRPr="14196EF4" w:rsidR="0072480A">
        <w:rPr>
          <w:rFonts w:ascii="Times New Roman" w:hAnsi="Times New Roman" w:cs="Times New Roman"/>
          <w:sz w:val="24"/>
          <w:szCs w:val="24"/>
          <w:lang w:val="es-ES"/>
        </w:rPr>
        <w:t>, por consiguiente, ratificar</w:t>
      </w:r>
      <w:r w:rsidRPr="14196EF4" w:rsidR="0072480A">
        <w:rPr>
          <w:rFonts w:ascii="Times New Roman" w:hAnsi="Times New Roman" w:eastAsia="Times New Roman" w:cs="Times New Roman"/>
          <w:sz w:val="24"/>
          <w:szCs w:val="24"/>
          <w:lang w:val="es-ES" w:eastAsia="ar-SA"/>
        </w:rPr>
        <w:t xml:space="preserve"> la Resolución Nro. 068/</w:t>
      </w:r>
      <w:r w:rsidRPr="14196EF4" w:rsidR="0072480A">
        <w:rPr>
          <w:rFonts w:ascii="Times New Roman" w:hAnsi="Times New Roman" w:eastAsia="Times New Roman" w:cs="Times New Roman"/>
          <w:sz w:val="24"/>
          <w:szCs w:val="24"/>
          <w:lang w:val="es-ES" w:eastAsia="ar-SA"/>
        </w:rPr>
        <w:t>22  de</w:t>
      </w:r>
      <w:r w:rsidRPr="14196EF4" w:rsidR="0072480A">
        <w:rPr>
          <w:rFonts w:ascii="Times New Roman" w:hAnsi="Times New Roman" w:eastAsia="Times New Roman" w:cs="Times New Roman"/>
          <w:sz w:val="24"/>
          <w:szCs w:val="24"/>
          <w:lang w:val="es-ES" w:eastAsia="ar-SA"/>
        </w:rPr>
        <w:t xml:space="preserve"> fecha 30 de marzo de 2022, dejando a salvo el derecho de la reclamante de recurrir ante las instancias que estime convenientes.</w:t>
      </w:r>
    </w:p>
    <w:p w:rsidRPr="0072480A" w:rsidR="00C173A8" w:rsidP="00C173A8" w:rsidRDefault="00C173A8" w14:paraId="301E1FA3" w14:textId="77777777">
      <w:pPr>
        <w:spacing w:after="0" w:line="240" w:lineRule="auto"/>
        <w:jc w:val="both"/>
        <w:rPr>
          <w:rFonts w:ascii="Times New Roman" w:hAnsi="Times New Roman" w:eastAsia="Times New Roman" w:cs="Times New Roman"/>
          <w:sz w:val="24"/>
          <w:szCs w:val="24"/>
          <w:lang w:val="es-PE" w:eastAsia="ar-SA"/>
        </w:rPr>
      </w:pPr>
    </w:p>
    <w:p w:rsidRPr="0072480A" w:rsidR="00C173A8" w:rsidP="00C173A8" w:rsidRDefault="00C173A8" w14:paraId="0EB0711B" w14:textId="25B78058">
      <w:pPr>
        <w:suppressAutoHyphens/>
        <w:spacing w:after="0" w:line="240" w:lineRule="auto"/>
        <w:jc w:val="right"/>
        <w:outlineLvl w:val="0"/>
        <w:rPr>
          <w:rFonts w:ascii="Times New Roman" w:hAnsi="Times New Roman" w:eastAsia="Arial Unicode MS" w:cs="Times New Roman"/>
          <w:sz w:val="24"/>
          <w:szCs w:val="24"/>
          <w:lang w:val="es-PE" w:eastAsia="ar-SA"/>
        </w:rPr>
      </w:pPr>
      <w:r w:rsidRPr="0072480A">
        <w:rPr>
          <w:rFonts w:ascii="Times New Roman" w:hAnsi="Times New Roman" w:eastAsia="Arial Unicode MS" w:cs="Times New Roman"/>
          <w:sz w:val="24"/>
          <w:szCs w:val="24"/>
          <w:lang w:val="es-PE" w:eastAsia="ar-SA"/>
        </w:rPr>
        <w:t xml:space="preserve">Lima, </w:t>
      </w:r>
      <w:r w:rsidRPr="0072480A" w:rsidR="00B01C3A">
        <w:rPr>
          <w:rFonts w:ascii="Times New Roman" w:hAnsi="Times New Roman" w:eastAsia="Arial Unicode MS" w:cs="Times New Roman"/>
          <w:sz w:val="24"/>
          <w:szCs w:val="24"/>
          <w:lang w:val="es-PE" w:eastAsia="ar-SA"/>
        </w:rPr>
        <w:t>0</w:t>
      </w:r>
      <w:r w:rsidRPr="0072480A" w:rsidR="009F3B93">
        <w:rPr>
          <w:rFonts w:ascii="Times New Roman" w:hAnsi="Times New Roman" w:eastAsia="Arial Unicode MS" w:cs="Times New Roman"/>
          <w:sz w:val="24"/>
          <w:szCs w:val="24"/>
          <w:lang w:val="es-PE" w:eastAsia="ar-SA"/>
        </w:rPr>
        <w:t>6</w:t>
      </w:r>
      <w:r w:rsidRPr="0072480A">
        <w:rPr>
          <w:rFonts w:ascii="Times New Roman" w:hAnsi="Times New Roman" w:eastAsia="Arial Unicode MS" w:cs="Times New Roman"/>
          <w:sz w:val="24"/>
          <w:szCs w:val="24"/>
          <w:lang w:val="es-PE" w:eastAsia="ar-SA"/>
        </w:rPr>
        <w:t xml:space="preserve"> de </w:t>
      </w:r>
      <w:r w:rsidRPr="0072480A" w:rsidR="00B01C3A">
        <w:rPr>
          <w:rFonts w:ascii="Times New Roman" w:hAnsi="Times New Roman" w:eastAsia="Arial Unicode MS" w:cs="Times New Roman"/>
          <w:sz w:val="24"/>
          <w:szCs w:val="24"/>
          <w:lang w:val="es-PE" w:eastAsia="ar-SA"/>
        </w:rPr>
        <w:t>mayo</w:t>
      </w:r>
      <w:r w:rsidRPr="0072480A">
        <w:rPr>
          <w:rFonts w:ascii="Times New Roman" w:hAnsi="Times New Roman" w:eastAsia="Arial Unicode MS" w:cs="Times New Roman"/>
          <w:sz w:val="24"/>
          <w:szCs w:val="24"/>
          <w:lang w:val="es-PE" w:eastAsia="ar-SA"/>
        </w:rPr>
        <w:t xml:space="preserve"> de 2022</w:t>
      </w:r>
      <w:r w:rsidRPr="0072480A">
        <w:rPr>
          <w:rFonts w:ascii="Times New Roman" w:hAnsi="Times New Roman" w:eastAsia="Times New Roman" w:cs="Times New Roman"/>
          <w:sz w:val="24"/>
          <w:szCs w:val="24"/>
          <w:lang w:val="es-PE" w:eastAsia="ar-SA"/>
        </w:rPr>
        <w:t xml:space="preserve"> </w:t>
      </w:r>
    </w:p>
    <w:p w:rsidRPr="0072480A" w:rsidR="00C173A8" w:rsidP="00C173A8" w:rsidRDefault="00C173A8" w14:paraId="21EFD7D3"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72480A"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72480A" w:rsidR="00C173A8" w:rsidP="00C173A8" w:rsidRDefault="00C173A8" w14:paraId="32C08A5A" w14:textId="77777777">
      <w:pPr>
        <w:spacing w:after="0" w:line="240" w:lineRule="auto"/>
        <w:jc w:val="both"/>
        <w:rPr>
          <w:rFonts w:ascii="Times New Roman" w:hAnsi="Times New Roman" w:cs="Times New Roman"/>
          <w:b/>
          <w:bCs/>
          <w:i/>
          <w:iCs/>
          <w:sz w:val="24"/>
          <w:szCs w:val="24"/>
          <w:lang w:val="es-PE"/>
        </w:rPr>
      </w:pPr>
      <w:r w:rsidRPr="0072480A">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72480A" w:rsidR="00C173A8" w:rsidP="00C173A8" w:rsidRDefault="00C173A8" w14:paraId="1F888041" w14:textId="77777777">
      <w:pPr>
        <w:spacing w:after="0" w:line="360" w:lineRule="auto"/>
        <w:jc w:val="both"/>
        <w:rPr>
          <w:rFonts w:ascii="Times New Roman" w:hAnsi="Times New Roman" w:cs="Times New Roman"/>
          <w:b/>
          <w:bCs/>
          <w:i/>
          <w:iCs/>
          <w:sz w:val="24"/>
          <w:szCs w:val="24"/>
          <w:lang w:val="es-PE"/>
        </w:rPr>
      </w:pPr>
    </w:p>
    <w:p w:rsidRPr="0072480A"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72480A">
        <w:rPr>
          <w:rFonts w:ascii="Times New Roman" w:hAnsi="Times New Roman" w:cs="Times New Roman"/>
          <w:b/>
          <w:bCs/>
          <w:sz w:val="24"/>
          <w:szCs w:val="24"/>
          <w:lang w:val="es-PE"/>
        </w:rPr>
        <w:t>Marco Antonio Ortega Piana – Presidente</w:t>
      </w:r>
    </w:p>
    <w:p w:rsidRPr="0072480A"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72480A">
        <w:rPr>
          <w:rFonts w:ascii="Times New Roman" w:hAnsi="Times New Roman" w:cs="Times New Roman"/>
          <w:b/>
          <w:bCs/>
          <w:sz w:val="24"/>
          <w:szCs w:val="24"/>
          <w:lang w:val="es-PE"/>
        </w:rPr>
        <w:t xml:space="preserve">María Eugenia Valdez Fernández Baca – </w:t>
      </w:r>
      <w:r w:rsidRPr="0072480A" w:rsidR="001B1998">
        <w:rPr>
          <w:rFonts w:ascii="Times New Roman" w:hAnsi="Times New Roman" w:cs="Times New Roman"/>
          <w:b/>
          <w:bCs/>
          <w:sz w:val="24"/>
          <w:szCs w:val="24"/>
          <w:lang w:val="es-PE"/>
        </w:rPr>
        <w:t>Vocal</w:t>
      </w:r>
    </w:p>
    <w:p w:rsidRPr="0072480A"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72480A">
        <w:rPr>
          <w:rFonts w:ascii="Times New Roman" w:hAnsi="Times New Roman" w:cs="Times New Roman"/>
          <w:b/>
          <w:bCs/>
          <w:sz w:val="24"/>
          <w:szCs w:val="24"/>
          <w:lang w:val="es-PE"/>
        </w:rPr>
        <w:t>Rolando Eyzaguirre Maccan - Vocal</w:t>
      </w:r>
    </w:p>
    <w:p w:rsidRPr="0072480A"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72480A">
        <w:rPr>
          <w:rFonts w:ascii="Times New Roman" w:hAnsi="Times New Roman" w:cs="Times New Roman"/>
          <w:b/>
          <w:bCs/>
          <w:sz w:val="24"/>
          <w:szCs w:val="24"/>
          <w:lang w:val="es-PE"/>
        </w:rPr>
        <w:t>Gonzalo Abad del Busto – Vocal</w:t>
      </w:r>
    </w:p>
    <w:p w:rsidRPr="00E63B37"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041B86"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041B86" w:rsidR="00C671F5" w:rsidSect="00077B6F">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01EFF" w:rsidP="00784355" w:rsidRDefault="00D01EFF" w14:paraId="52D687CE" w14:textId="77777777">
      <w:pPr>
        <w:spacing w:after="0" w:line="240" w:lineRule="auto"/>
      </w:pPr>
      <w:r>
        <w:separator/>
      </w:r>
    </w:p>
  </w:endnote>
  <w:endnote w:type="continuationSeparator" w:id="0">
    <w:p w:rsidR="00D01EFF" w:rsidP="00784355" w:rsidRDefault="00D01EFF" w14:paraId="1D4E0BB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01EFF" w:rsidP="00784355" w:rsidRDefault="00D01EFF" w14:paraId="4453AA0E" w14:textId="77777777">
      <w:pPr>
        <w:spacing w:after="0" w:line="240" w:lineRule="auto"/>
      </w:pPr>
      <w:r>
        <w:separator/>
      </w:r>
    </w:p>
  </w:footnote>
  <w:footnote w:type="continuationSeparator" w:id="0">
    <w:p w:rsidR="00D01EFF" w:rsidP="00784355" w:rsidRDefault="00D01EFF" w14:paraId="6943A82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0"/>
  </w:num>
  <w:num w:numId="3" w16cid:durableId="760956054">
    <w:abstractNumId w:val="7"/>
  </w:num>
  <w:num w:numId="4" w16cid:durableId="1079518208">
    <w:abstractNumId w:val="6"/>
  </w:num>
  <w:num w:numId="5" w16cid:durableId="1198003566">
    <w:abstractNumId w:val="8"/>
  </w:num>
  <w:num w:numId="6" w16cid:durableId="1607540339">
    <w:abstractNumId w:val="0"/>
  </w:num>
  <w:num w:numId="7" w16cid:durableId="1490902120">
    <w:abstractNumId w:val="11"/>
  </w:num>
  <w:num w:numId="8" w16cid:durableId="615214413">
    <w:abstractNumId w:val="12"/>
  </w:num>
  <w:num w:numId="9" w16cid:durableId="10181194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DBD"/>
    <w:rsid w:val="000365E3"/>
    <w:rsid w:val="00041B86"/>
    <w:rsid w:val="0004480C"/>
    <w:rsid w:val="00050563"/>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9634E"/>
    <w:rsid w:val="000A5666"/>
    <w:rsid w:val="000A5CAA"/>
    <w:rsid w:val="000B19A0"/>
    <w:rsid w:val="000B58D8"/>
    <w:rsid w:val="000C0734"/>
    <w:rsid w:val="000C3D6F"/>
    <w:rsid w:val="000D7664"/>
    <w:rsid w:val="000F6340"/>
    <w:rsid w:val="0011308C"/>
    <w:rsid w:val="001230C6"/>
    <w:rsid w:val="001233F2"/>
    <w:rsid w:val="00125B9B"/>
    <w:rsid w:val="001320DF"/>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DCE"/>
    <w:rsid w:val="00187BFD"/>
    <w:rsid w:val="001950B9"/>
    <w:rsid w:val="0019649B"/>
    <w:rsid w:val="001A008A"/>
    <w:rsid w:val="001A3395"/>
    <w:rsid w:val="001A44E1"/>
    <w:rsid w:val="001B1998"/>
    <w:rsid w:val="001B1E59"/>
    <w:rsid w:val="001B58A3"/>
    <w:rsid w:val="001D0EED"/>
    <w:rsid w:val="001D59D9"/>
    <w:rsid w:val="001D6136"/>
    <w:rsid w:val="001E119C"/>
    <w:rsid w:val="001E4337"/>
    <w:rsid w:val="001E5803"/>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31D3"/>
    <w:rsid w:val="002A481F"/>
    <w:rsid w:val="002A7E2E"/>
    <w:rsid w:val="002B726E"/>
    <w:rsid w:val="002C1B87"/>
    <w:rsid w:val="002C2A0F"/>
    <w:rsid w:val="002D0DB0"/>
    <w:rsid w:val="002D3B01"/>
    <w:rsid w:val="002E1221"/>
    <w:rsid w:val="002E17F9"/>
    <w:rsid w:val="002E72CC"/>
    <w:rsid w:val="002F09CA"/>
    <w:rsid w:val="002F35F0"/>
    <w:rsid w:val="002F376A"/>
    <w:rsid w:val="003045E3"/>
    <w:rsid w:val="0032132E"/>
    <w:rsid w:val="00340E4B"/>
    <w:rsid w:val="0034529A"/>
    <w:rsid w:val="00345DF0"/>
    <w:rsid w:val="00345F7F"/>
    <w:rsid w:val="00347D7E"/>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4684"/>
    <w:rsid w:val="003D4687"/>
    <w:rsid w:val="003E0CC2"/>
    <w:rsid w:val="003E450C"/>
    <w:rsid w:val="003F0C97"/>
    <w:rsid w:val="003F1149"/>
    <w:rsid w:val="003F1B5F"/>
    <w:rsid w:val="003F3726"/>
    <w:rsid w:val="00403814"/>
    <w:rsid w:val="004049B9"/>
    <w:rsid w:val="00407045"/>
    <w:rsid w:val="00413C3F"/>
    <w:rsid w:val="00417E23"/>
    <w:rsid w:val="004201E5"/>
    <w:rsid w:val="00425F75"/>
    <w:rsid w:val="00434D9C"/>
    <w:rsid w:val="00440BC2"/>
    <w:rsid w:val="00444232"/>
    <w:rsid w:val="00460C30"/>
    <w:rsid w:val="00465FB9"/>
    <w:rsid w:val="00466302"/>
    <w:rsid w:val="0047370C"/>
    <w:rsid w:val="0047522D"/>
    <w:rsid w:val="00476BA1"/>
    <w:rsid w:val="00477C29"/>
    <w:rsid w:val="00490F9F"/>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818E3"/>
    <w:rsid w:val="00582D26"/>
    <w:rsid w:val="0058358B"/>
    <w:rsid w:val="00583A87"/>
    <w:rsid w:val="00585D65"/>
    <w:rsid w:val="005948EF"/>
    <w:rsid w:val="00597430"/>
    <w:rsid w:val="005A0B70"/>
    <w:rsid w:val="005A5A2C"/>
    <w:rsid w:val="005A782D"/>
    <w:rsid w:val="005B22E6"/>
    <w:rsid w:val="005B2924"/>
    <w:rsid w:val="005C524E"/>
    <w:rsid w:val="005C5AB9"/>
    <w:rsid w:val="005D3E09"/>
    <w:rsid w:val="005D3E68"/>
    <w:rsid w:val="005E0EC2"/>
    <w:rsid w:val="005E2CBE"/>
    <w:rsid w:val="005E4870"/>
    <w:rsid w:val="005F4C97"/>
    <w:rsid w:val="00605902"/>
    <w:rsid w:val="00606105"/>
    <w:rsid w:val="00613A39"/>
    <w:rsid w:val="00622ABC"/>
    <w:rsid w:val="00623204"/>
    <w:rsid w:val="00624034"/>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80A"/>
    <w:rsid w:val="00724C9A"/>
    <w:rsid w:val="007261FD"/>
    <w:rsid w:val="00726BD2"/>
    <w:rsid w:val="007300C4"/>
    <w:rsid w:val="007434BA"/>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5917"/>
    <w:rsid w:val="007F0419"/>
    <w:rsid w:val="007F14C0"/>
    <w:rsid w:val="007F6BA4"/>
    <w:rsid w:val="007F74F1"/>
    <w:rsid w:val="008010D0"/>
    <w:rsid w:val="008020A1"/>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3121"/>
    <w:rsid w:val="0088392F"/>
    <w:rsid w:val="00884426"/>
    <w:rsid w:val="00886D60"/>
    <w:rsid w:val="00887814"/>
    <w:rsid w:val="008916FF"/>
    <w:rsid w:val="00891DB3"/>
    <w:rsid w:val="00895A85"/>
    <w:rsid w:val="008A1D12"/>
    <w:rsid w:val="008A3A47"/>
    <w:rsid w:val="008D270F"/>
    <w:rsid w:val="008D6AFE"/>
    <w:rsid w:val="008D6DDF"/>
    <w:rsid w:val="008F1161"/>
    <w:rsid w:val="008F479E"/>
    <w:rsid w:val="008F708B"/>
    <w:rsid w:val="008F7C83"/>
    <w:rsid w:val="009011F1"/>
    <w:rsid w:val="00905938"/>
    <w:rsid w:val="009127A6"/>
    <w:rsid w:val="0091528B"/>
    <w:rsid w:val="009157B1"/>
    <w:rsid w:val="00917CAF"/>
    <w:rsid w:val="009225DD"/>
    <w:rsid w:val="009272D7"/>
    <w:rsid w:val="00933532"/>
    <w:rsid w:val="00943343"/>
    <w:rsid w:val="00943DA4"/>
    <w:rsid w:val="00946694"/>
    <w:rsid w:val="00951B99"/>
    <w:rsid w:val="00955C03"/>
    <w:rsid w:val="00964237"/>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9F3B93"/>
    <w:rsid w:val="00A02270"/>
    <w:rsid w:val="00A0362B"/>
    <w:rsid w:val="00A04A06"/>
    <w:rsid w:val="00A077D2"/>
    <w:rsid w:val="00A16942"/>
    <w:rsid w:val="00A17A72"/>
    <w:rsid w:val="00A244A1"/>
    <w:rsid w:val="00A25F51"/>
    <w:rsid w:val="00A30393"/>
    <w:rsid w:val="00A32246"/>
    <w:rsid w:val="00A328C0"/>
    <w:rsid w:val="00A3714C"/>
    <w:rsid w:val="00A427D6"/>
    <w:rsid w:val="00A446D0"/>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4125"/>
    <w:rsid w:val="00AF5E87"/>
    <w:rsid w:val="00B00552"/>
    <w:rsid w:val="00B01C3A"/>
    <w:rsid w:val="00B02BEE"/>
    <w:rsid w:val="00B10F71"/>
    <w:rsid w:val="00B11C1C"/>
    <w:rsid w:val="00B17BD8"/>
    <w:rsid w:val="00B30B53"/>
    <w:rsid w:val="00B313E9"/>
    <w:rsid w:val="00B32325"/>
    <w:rsid w:val="00B340A4"/>
    <w:rsid w:val="00B45C2D"/>
    <w:rsid w:val="00B56649"/>
    <w:rsid w:val="00B618FF"/>
    <w:rsid w:val="00B625F2"/>
    <w:rsid w:val="00B663DC"/>
    <w:rsid w:val="00B710D8"/>
    <w:rsid w:val="00B73629"/>
    <w:rsid w:val="00B7466E"/>
    <w:rsid w:val="00B779BD"/>
    <w:rsid w:val="00B8021E"/>
    <w:rsid w:val="00B8028F"/>
    <w:rsid w:val="00B8087B"/>
    <w:rsid w:val="00B833BE"/>
    <w:rsid w:val="00B87B08"/>
    <w:rsid w:val="00B928FB"/>
    <w:rsid w:val="00B93C7A"/>
    <w:rsid w:val="00B956C4"/>
    <w:rsid w:val="00BA0192"/>
    <w:rsid w:val="00BB2152"/>
    <w:rsid w:val="00BB2BE0"/>
    <w:rsid w:val="00BB405B"/>
    <w:rsid w:val="00BB40EE"/>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F55D6"/>
    <w:rsid w:val="00CF78D3"/>
    <w:rsid w:val="00D01EFF"/>
    <w:rsid w:val="00D10B27"/>
    <w:rsid w:val="00D12CFF"/>
    <w:rsid w:val="00D156AF"/>
    <w:rsid w:val="00D16367"/>
    <w:rsid w:val="00D2092C"/>
    <w:rsid w:val="00D22DC3"/>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5348"/>
    <w:rsid w:val="00E25D54"/>
    <w:rsid w:val="00E30E76"/>
    <w:rsid w:val="00E341F5"/>
    <w:rsid w:val="00E37E67"/>
    <w:rsid w:val="00E43D94"/>
    <w:rsid w:val="00E531B9"/>
    <w:rsid w:val="00E53BC5"/>
    <w:rsid w:val="00E57869"/>
    <w:rsid w:val="00E61DBC"/>
    <w:rsid w:val="00E63B37"/>
    <w:rsid w:val="00E64057"/>
    <w:rsid w:val="00E66AFF"/>
    <w:rsid w:val="00E6771C"/>
    <w:rsid w:val="00E70381"/>
    <w:rsid w:val="00E70F8F"/>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E38F0"/>
    <w:rsid w:val="00FE43A9"/>
    <w:rsid w:val="00FF41F3"/>
    <w:rsid w:val="07EEB6A5"/>
    <w:rsid w:val="107917F2"/>
    <w:rsid w:val="14196EF4"/>
    <w:rsid w:val="345BE8C2"/>
    <w:rsid w:val="3AA86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72C6F586-FA8C-494E-AC0C-5E5C2A0B9A3C}"/>
</file>

<file path=customXml/itemProps3.xml><?xml version="1.0" encoding="utf-8"?>
<ds:datastoreItem xmlns:ds="http://schemas.openxmlformats.org/officeDocument/2006/customXml" ds:itemID="{40D210FA-3637-4684-BC37-18DECDD28977}"/>
</file>

<file path=customXml/itemProps4.xml><?xml version="1.0" encoding="utf-8"?>
<ds:datastoreItem xmlns:ds="http://schemas.openxmlformats.org/officeDocument/2006/customXml" ds:itemID="{A3AE3FBC-0A99-460B-92B8-4B1842AC87B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109</cp:revision>
  <cp:lastPrinted>2022-05-09T14:45:00Z</cp:lastPrinted>
  <dcterms:created xsi:type="dcterms:W3CDTF">2020-12-18T20:17:00Z</dcterms:created>
  <dcterms:modified xsi:type="dcterms:W3CDTF">2025-11-26T21:52:11Z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