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248C5" w:rsidR="00B10F71" w:rsidP="00041B86" w:rsidRDefault="00201C0D" w14:paraId="51974F0B" w14:textId="591C80FA">
      <w:pPr>
        <w:spacing w:after="0" w:line="240" w:lineRule="auto"/>
        <w:jc w:val="center"/>
        <w:rPr>
          <w:rFonts w:ascii="Times New Roman" w:hAnsi="Times New Roman" w:cs="Times New Roman"/>
          <w:b/>
          <w:sz w:val="24"/>
          <w:szCs w:val="24"/>
          <w:lang w:val="es-PE" w:eastAsia="ar-SA"/>
        </w:rPr>
      </w:pPr>
      <w:r w:rsidRPr="00D248C5">
        <w:rPr>
          <w:rFonts w:ascii="Times New Roman" w:hAnsi="Times New Roman" w:cs="Times New Roman"/>
          <w:b/>
          <w:sz w:val="24"/>
          <w:szCs w:val="24"/>
          <w:lang w:val="es-PE" w:eastAsia="ar-SA"/>
        </w:rPr>
        <w:t xml:space="preserve">RESOLUCIÓN DE RECURSO IMPUGNATIVO </w:t>
      </w:r>
      <w:proofErr w:type="spellStart"/>
      <w:r w:rsidRPr="00D248C5" w:rsidR="00707C99">
        <w:rPr>
          <w:rFonts w:ascii="Times New Roman" w:hAnsi="Times New Roman" w:cs="Times New Roman"/>
          <w:b/>
          <w:sz w:val="24"/>
          <w:szCs w:val="24"/>
          <w:lang w:val="es-PE" w:eastAsia="ar-SA"/>
        </w:rPr>
        <w:t>N°</w:t>
      </w:r>
      <w:proofErr w:type="spellEnd"/>
      <w:r w:rsidRPr="00D248C5" w:rsidR="00707C99">
        <w:rPr>
          <w:rFonts w:ascii="Times New Roman" w:hAnsi="Times New Roman" w:cs="Times New Roman"/>
          <w:b/>
          <w:sz w:val="24"/>
          <w:szCs w:val="24"/>
          <w:lang w:val="es-PE" w:eastAsia="ar-SA"/>
        </w:rPr>
        <w:t xml:space="preserve"> </w:t>
      </w:r>
      <w:r w:rsidRPr="00D248C5" w:rsidR="00C671F5">
        <w:rPr>
          <w:rFonts w:ascii="Times New Roman" w:hAnsi="Times New Roman" w:cs="Times New Roman"/>
          <w:b/>
          <w:sz w:val="24"/>
          <w:szCs w:val="24"/>
          <w:lang w:val="es-PE" w:eastAsia="ar-SA"/>
        </w:rPr>
        <w:t>0</w:t>
      </w:r>
      <w:r w:rsidRPr="00D248C5" w:rsidR="009F3B93">
        <w:rPr>
          <w:rFonts w:ascii="Times New Roman" w:hAnsi="Times New Roman" w:cs="Times New Roman"/>
          <w:b/>
          <w:sz w:val="24"/>
          <w:szCs w:val="24"/>
          <w:lang w:val="es-PE" w:eastAsia="ar-SA"/>
        </w:rPr>
        <w:t>3</w:t>
      </w:r>
      <w:r w:rsidR="00E20C5F">
        <w:rPr>
          <w:rFonts w:ascii="Times New Roman" w:hAnsi="Times New Roman" w:cs="Times New Roman"/>
          <w:b/>
          <w:sz w:val="24"/>
          <w:szCs w:val="24"/>
          <w:lang w:val="es-PE" w:eastAsia="ar-SA"/>
        </w:rPr>
        <w:t>5</w:t>
      </w:r>
      <w:r w:rsidRPr="00D248C5" w:rsidR="00C671F5">
        <w:rPr>
          <w:rFonts w:ascii="Times New Roman" w:hAnsi="Times New Roman" w:cs="Times New Roman"/>
          <w:b/>
          <w:sz w:val="24"/>
          <w:szCs w:val="24"/>
          <w:lang w:val="es-PE" w:eastAsia="ar-SA"/>
        </w:rPr>
        <w:t>/2</w:t>
      </w:r>
      <w:r w:rsidRPr="00D248C5" w:rsidR="00B93C7A">
        <w:rPr>
          <w:rFonts w:ascii="Times New Roman" w:hAnsi="Times New Roman" w:cs="Times New Roman"/>
          <w:b/>
          <w:sz w:val="24"/>
          <w:szCs w:val="24"/>
          <w:lang w:val="es-PE" w:eastAsia="ar-SA"/>
        </w:rPr>
        <w:t>2</w:t>
      </w:r>
    </w:p>
    <w:p w:rsidRPr="00D248C5" w:rsidR="00913230" w:rsidP="00913230" w:rsidRDefault="00913230" w14:paraId="72CA1841"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D248C5">
        <w:rPr>
          <w:rFonts w:ascii="Times New Roman" w:hAnsi="Times New Roman" w:eastAsia="Times New Roman" w:cs="Times New Roman"/>
          <w:b/>
          <w:bCs/>
          <w:sz w:val="24"/>
          <w:szCs w:val="24"/>
          <w:lang w:val="es-MX" w:eastAsia="ar-SA"/>
        </w:rPr>
        <w:t>Vistos:</w:t>
      </w:r>
    </w:p>
    <w:p w:rsidRPr="00D248C5" w:rsidR="00913230" w:rsidP="00913230" w:rsidRDefault="00913230" w14:paraId="4E116961"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D248C5">
        <w:rPr>
          <w:rFonts w:ascii="Times New Roman" w:hAnsi="Times New Roman" w:eastAsia="Times New Roman" w:cs="Times New Roman"/>
          <w:b/>
          <w:bCs/>
          <w:sz w:val="24"/>
          <w:szCs w:val="24"/>
          <w:lang w:val="es-MX" w:eastAsia="ar-SA"/>
        </w:rPr>
        <w:t xml:space="preserve">   </w:t>
      </w:r>
    </w:p>
    <w:p w:rsidRPr="00D248C5" w:rsidR="00913230" w:rsidP="00913230" w:rsidRDefault="00913230" w14:paraId="0D047A25" w14:textId="719E2831">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r w:rsidRPr="62273B1D" w:rsidR="00913230">
        <w:rPr>
          <w:rFonts w:ascii="Times New Roman" w:hAnsi="Times New Roman" w:eastAsia="Times New Roman" w:cs="Times New Roman"/>
          <w:sz w:val="24"/>
          <w:szCs w:val="24"/>
          <w:lang w:val="es-ES" w:eastAsia="ar-SA"/>
        </w:rPr>
        <w:t xml:space="preserve">El recurso de impugnación presentado el 02 de mayo de 2022 por </w:t>
      </w:r>
      <w:r w:rsidRPr="62273B1D" w:rsidR="2DB5E122">
        <w:rPr>
          <w:rFonts w:ascii="Times New Roman" w:hAnsi="Times New Roman" w:cs="Times New Roman"/>
          <w:sz w:val="24"/>
          <w:szCs w:val="24"/>
          <w:lang w:val="es-PE"/>
        </w:rPr>
        <w:t>..................................</w:t>
      </w:r>
      <w:r w:rsidRPr="62273B1D" w:rsidR="00913230">
        <w:rPr>
          <w:rFonts w:ascii="Times New Roman" w:hAnsi="Times New Roman" w:eastAsia="Times New Roman" w:cs="Times New Roman"/>
          <w:sz w:val="24"/>
          <w:szCs w:val="24"/>
          <w:lang w:val="es-ES" w:eastAsia="ar-SA"/>
        </w:rPr>
        <w:t xml:space="preserve">, respecto de la Resolución Nro. </w:t>
      </w:r>
      <w:r w:rsidRPr="62273B1D" w:rsidR="7AC2A5DA">
        <w:rPr>
          <w:rFonts w:ascii="Times New Roman" w:hAnsi="Times New Roman" w:eastAsia="Times New Roman" w:cs="Times New Roman"/>
          <w:sz w:val="24"/>
          <w:szCs w:val="24"/>
          <w:lang w:val="es-ES" w:eastAsia="ar-SA"/>
        </w:rPr>
        <w:t>..............</w:t>
      </w:r>
      <w:r w:rsidRPr="62273B1D" w:rsidR="00913230">
        <w:rPr>
          <w:rFonts w:ascii="Times New Roman" w:hAnsi="Times New Roman" w:eastAsia="Times New Roman" w:cs="Times New Roman"/>
          <w:sz w:val="24"/>
          <w:szCs w:val="24"/>
          <w:lang w:val="es-ES" w:eastAsia="ar-SA"/>
        </w:rPr>
        <w:t>, del 25 de abril de 2022, emitida por esta Defensoría del Asegurado (DEFASEG), que declaró FUNDADA</w:t>
      </w:r>
      <w:r w:rsidRPr="62273B1D" w:rsidR="00913230">
        <w:rPr>
          <w:rFonts w:ascii="Times New Roman" w:hAnsi="Times New Roman" w:cs="Times New Roman"/>
          <w:sz w:val="24"/>
          <w:szCs w:val="24"/>
          <w:lang w:val="es-PE"/>
        </w:rPr>
        <w:t xml:space="preserve"> </w:t>
      </w:r>
      <w:r w:rsidRPr="62273B1D" w:rsidR="00913230">
        <w:rPr>
          <w:rFonts w:ascii="Times New Roman" w:hAnsi="Times New Roman" w:eastAsia="Arial Unicode MS" w:cs="Times New Roman"/>
          <w:sz w:val="24"/>
          <w:szCs w:val="24"/>
          <w:lang w:val="es-PE"/>
        </w:rPr>
        <w:t xml:space="preserve">la reclamación interpuesta por </w:t>
      </w:r>
      <w:r w:rsidRPr="62273B1D" w:rsidR="00913230">
        <w:rPr>
          <w:rFonts w:ascii="Times New Roman" w:hAnsi="Times New Roman" w:eastAsia="Times New Roman" w:cs="Times New Roman"/>
          <w:sz w:val="24"/>
          <w:szCs w:val="24"/>
          <w:lang w:val="es-ES" w:eastAsia="ar-SA"/>
        </w:rPr>
        <w:t xml:space="preserve">don </w:t>
      </w:r>
      <w:r w:rsidRPr="62273B1D" w:rsidR="192C7F5E">
        <w:rPr>
          <w:rFonts w:ascii="Times New Roman" w:hAnsi="Times New Roman" w:eastAsia="Times New Roman" w:cs="Times New Roman"/>
          <w:sz w:val="24"/>
          <w:szCs w:val="24"/>
          <w:lang w:val="es-ES" w:eastAsia="ar-SA"/>
        </w:rPr>
        <w:t>............................................</w:t>
      </w:r>
      <w:r w:rsidRPr="62273B1D" w:rsidR="00913230">
        <w:rPr>
          <w:rFonts w:ascii="Times New Roman" w:hAnsi="Times New Roman" w:eastAsia="Times New Roman" w:cs="Times New Roman"/>
          <w:sz w:val="24"/>
          <w:szCs w:val="24"/>
          <w:lang w:val="es-PE" w:eastAsia="es-ES"/>
        </w:rPr>
        <w:t xml:space="preserve"> </w:t>
      </w:r>
      <w:r w:rsidRPr="62273B1D" w:rsidR="00913230">
        <w:rPr>
          <w:rFonts w:ascii="Times New Roman" w:hAnsi="Times New Roman" w:eastAsia="Arial Unicode MS" w:cs="Times New Roman"/>
          <w:sz w:val="24"/>
          <w:szCs w:val="24"/>
          <w:lang w:val="es-PE"/>
        </w:rPr>
        <w:t xml:space="preserve">sobre otorgamiento de cobertura </w:t>
      </w:r>
      <w:r w:rsidRPr="62273B1D" w:rsidR="00913230">
        <w:rPr>
          <w:rFonts w:ascii="Times New Roman" w:hAnsi="Times New Roman" w:cs="Times New Roman"/>
          <w:sz w:val="24"/>
          <w:szCs w:val="24"/>
          <w:lang w:val="es-PE"/>
        </w:rPr>
        <w:t xml:space="preserve">al siniestro ocurrido al vehículo de placa </w:t>
      </w:r>
      <w:r w:rsidRPr="62273B1D" w:rsidR="63C3D0CC">
        <w:rPr>
          <w:rFonts w:ascii="Times New Roman" w:hAnsi="Times New Roman" w:cs="Times New Roman"/>
          <w:sz w:val="24"/>
          <w:szCs w:val="24"/>
          <w:lang w:val="es-PE"/>
        </w:rPr>
        <w:t>................</w:t>
      </w:r>
      <w:r w:rsidRPr="62273B1D" w:rsidR="00913230">
        <w:rPr>
          <w:rFonts w:ascii="Times New Roman" w:hAnsi="Times New Roman" w:cs="Times New Roman"/>
          <w:sz w:val="24"/>
          <w:szCs w:val="24"/>
          <w:lang w:val="es-PE"/>
        </w:rPr>
        <w:t>, conforme a las Condiciones de la Póliza vehicular contratada.</w:t>
      </w:r>
    </w:p>
    <w:p w:rsidRPr="00D248C5" w:rsidR="00913230" w:rsidP="00913230" w:rsidRDefault="00913230" w14:paraId="7FCE90FD" w14:textId="77777777">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p>
    <w:p w:rsidRPr="00D248C5" w:rsidR="00913230" w:rsidP="00913230" w:rsidRDefault="00913230" w14:paraId="329D38EA" w14:textId="2D7F20D8">
      <w:pPr>
        <w:suppressAutoHyphens/>
        <w:spacing w:after="0" w:line="240" w:lineRule="auto"/>
        <w:jc w:val="both"/>
        <w:rPr>
          <w:rFonts w:ascii="Times New Roman" w:hAnsi="Times New Roman" w:eastAsia="Arial Unicode MS" w:cs="Times New Roman"/>
          <w:sz w:val="24"/>
          <w:szCs w:val="24"/>
          <w:lang w:val="es-PE"/>
        </w:rPr>
      </w:pPr>
      <w:r w:rsidRPr="62273B1D" w:rsidR="00913230">
        <w:rPr>
          <w:rFonts w:ascii="Times New Roman" w:hAnsi="Times New Roman" w:cs="Times New Roman"/>
          <w:sz w:val="24"/>
          <w:szCs w:val="24"/>
          <w:lang w:val="es-PE"/>
        </w:rPr>
        <w:t xml:space="preserve">La Resolución sobre recurso impugnativo Nro. </w:t>
      </w:r>
      <w:r w:rsidRPr="62273B1D" w:rsidR="2337EB45">
        <w:rPr>
          <w:rFonts w:ascii="Times New Roman" w:hAnsi="Times New Roman" w:cs="Times New Roman"/>
          <w:sz w:val="24"/>
          <w:szCs w:val="24"/>
          <w:lang w:val="es-PE"/>
        </w:rPr>
        <w:t>................</w:t>
      </w:r>
      <w:r w:rsidRPr="62273B1D" w:rsidR="00913230">
        <w:rPr>
          <w:rFonts w:ascii="Times New Roman" w:hAnsi="Times New Roman" w:cs="Times New Roman"/>
          <w:sz w:val="24"/>
          <w:szCs w:val="24"/>
          <w:lang w:val="es-PE"/>
        </w:rPr>
        <w:t xml:space="preserve">, por la que esta Defensoría declaró infundada la impugnación presentada por </w:t>
      </w:r>
      <w:r w:rsidRPr="62273B1D" w:rsidR="2DB5E122">
        <w:rPr>
          <w:rFonts w:ascii="Times New Roman" w:hAnsi="Times New Roman" w:cs="Times New Roman"/>
          <w:sz w:val="24"/>
          <w:szCs w:val="24"/>
          <w:lang w:val="es-PE"/>
        </w:rPr>
        <w:t>..................................</w:t>
      </w:r>
      <w:r w:rsidRPr="62273B1D" w:rsidR="00913230">
        <w:rPr>
          <w:rFonts w:ascii="Times New Roman" w:hAnsi="Times New Roman" w:cs="Times New Roman"/>
          <w:sz w:val="24"/>
          <w:szCs w:val="24"/>
          <w:lang w:val="es-PE"/>
        </w:rPr>
        <w:t xml:space="preserve"> y, de manera correlativa, confirmó </w:t>
      </w:r>
      <w:r w:rsidRPr="62273B1D" w:rsidR="00913230">
        <w:rPr>
          <w:rFonts w:ascii="Times New Roman" w:hAnsi="Times New Roman" w:eastAsia="Times New Roman" w:cs="Times New Roman"/>
          <w:sz w:val="24"/>
          <w:szCs w:val="24"/>
          <w:lang w:val="es-ES" w:eastAsia="ar-SA"/>
        </w:rPr>
        <w:t xml:space="preserve">la Resolución Nro. </w:t>
      </w:r>
      <w:r w:rsidRPr="62273B1D" w:rsidR="7AC2A5DA">
        <w:rPr>
          <w:rFonts w:ascii="Times New Roman" w:hAnsi="Times New Roman" w:eastAsia="Times New Roman" w:cs="Times New Roman"/>
          <w:sz w:val="24"/>
          <w:szCs w:val="24"/>
          <w:lang w:val="es-ES" w:eastAsia="ar-SA"/>
        </w:rPr>
        <w:t>..............</w:t>
      </w:r>
      <w:r w:rsidRPr="62273B1D" w:rsidR="00913230">
        <w:rPr>
          <w:rFonts w:ascii="Times New Roman" w:hAnsi="Times New Roman" w:eastAsia="Times New Roman" w:cs="Times New Roman"/>
          <w:sz w:val="24"/>
          <w:szCs w:val="24"/>
          <w:lang w:val="es-ES" w:eastAsia="ar-SA"/>
        </w:rPr>
        <w:t xml:space="preserve">, que declaró FUNDADA la reclamación interpuesta por don </w:t>
      </w:r>
      <w:r w:rsidRPr="62273B1D" w:rsidR="192C7F5E">
        <w:rPr>
          <w:rFonts w:ascii="Times New Roman" w:hAnsi="Times New Roman" w:eastAsia="Times New Roman" w:cs="Times New Roman"/>
          <w:sz w:val="24"/>
          <w:szCs w:val="24"/>
          <w:lang w:val="es-ES" w:eastAsia="ar-SA"/>
        </w:rPr>
        <w:t>............................................</w:t>
      </w:r>
      <w:r w:rsidRPr="62273B1D" w:rsidR="00913230">
        <w:rPr>
          <w:rFonts w:ascii="Times New Roman" w:hAnsi="Times New Roman" w:eastAsia="Times New Roman" w:cs="Times New Roman"/>
          <w:sz w:val="24"/>
          <w:szCs w:val="24"/>
          <w:lang w:val="es-ES" w:eastAsia="ar-SA"/>
        </w:rPr>
        <w:t>.</w:t>
      </w:r>
    </w:p>
    <w:p w:rsidRPr="00D248C5" w:rsidR="00913230" w:rsidP="00913230" w:rsidRDefault="00913230" w14:paraId="549D3E5A" w14:textId="77777777">
      <w:pPr>
        <w:suppressAutoHyphens/>
        <w:spacing w:after="0" w:line="240" w:lineRule="auto"/>
        <w:jc w:val="both"/>
        <w:rPr>
          <w:rFonts w:ascii="Times New Roman" w:hAnsi="Times New Roman" w:eastAsia="Arial Unicode MS" w:cs="Times New Roman"/>
          <w:sz w:val="24"/>
          <w:szCs w:val="24"/>
          <w:lang w:val="es-PE"/>
        </w:rPr>
      </w:pPr>
    </w:p>
    <w:p w:rsidRPr="00D248C5" w:rsidR="00913230" w:rsidP="00913230" w:rsidRDefault="00913230" w14:paraId="2F6DD844" w14:textId="46C69CA6">
      <w:pPr>
        <w:suppressAutoHyphens/>
        <w:spacing w:after="0" w:line="240" w:lineRule="auto"/>
        <w:jc w:val="both"/>
        <w:rPr>
          <w:rFonts w:ascii="Times New Roman" w:hAnsi="Times New Roman" w:eastAsia="Times New Roman" w:cs="Times New Roman"/>
          <w:sz w:val="24"/>
          <w:szCs w:val="24"/>
          <w:lang w:val="es-ES" w:eastAsia="ar-SA"/>
        </w:rPr>
      </w:pPr>
      <w:r w:rsidRPr="62273B1D" w:rsidR="00913230">
        <w:rPr>
          <w:rFonts w:ascii="Times New Roman" w:hAnsi="Times New Roman" w:eastAsia="Arial Unicode MS" w:cs="Times New Roman"/>
          <w:sz w:val="24"/>
          <w:szCs w:val="24"/>
          <w:lang w:val="es-PE"/>
        </w:rPr>
        <w:t xml:space="preserve">La excepcional solicitud de nulidad presentada por </w:t>
      </w:r>
      <w:r w:rsidRPr="62273B1D" w:rsidR="2DB5E122">
        <w:rPr>
          <w:rFonts w:ascii="Times New Roman" w:hAnsi="Times New Roman" w:eastAsia="Arial Unicode MS" w:cs="Times New Roman"/>
          <w:sz w:val="24"/>
          <w:szCs w:val="24"/>
          <w:lang w:val="es-PE"/>
        </w:rPr>
        <w:t>..................................</w:t>
      </w:r>
      <w:r w:rsidRPr="62273B1D" w:rsidR="00913230">
        <w:rPr>
          <w:rFonts w:ascii="Times New Roman" w:hAnsi="Times New Roman" w:eastAsia="Arial Unicode MS" w:cs="Times New Roman"/>
          <w:sz w:val="24"/>
          <w:szCs w:val="24"/>
          <w:lang w:val="es-PE"/>
        </w:rPr>
        <w:t xml:space="preserve"> el 07 de junio de 2022, solicitando al colegiado que declare de oficio la nulidad de la </w:t>
      </w:r>
      <w:r w:rsidRPr="62273B1D" w:rsidR="00913230">
        <w:rPr>
          <w:rFonts w:ascii="Times New Roman" w:hAnsi="Times New Roman" w:cs="Times New Roman"/>
          <w:sz w:val="24"/>
          <w:szCs w:val="24"/>
          <w:lang w:val="es-PE"/>
        </w:rPr>
        <w:t xml:space="preserve">Resolución sobre recurso impugnativo Nro. </w:t>
      </w:r>
      <w:r w:rsidRPr="62273B1D" w:rsidR="34F18429">
        <w:rPr>
          <w:rFonts w:ascii="Times New Roman" w:hAnsi="Times New Roman" w:cs="Times New Roman"/>
          <w:sz w:val="24"/>
          <w:szCs w:val="24"/>
          <w:lang w:val="es-PE"/>
        </w:rPr>
        <w:t>..................</w:t>
      </w:r>
      <w:r w:rsidRPr="62273B1D" w:rsidR="00913230">
        <w:rPr>
          <w:rFonts w:ascii="Times New Roman" w:hAnsi="Times New Roman" w:cs="Times New Roman"/>
          <w:sz w:val="24"/>
          <w:szCs w:val="24"/>
          <w:lang w:val="es-PE"/>
        </w:rPr>
        <w:t>, por vulneración del debido proceso, por no haberse valorado el contenido de la póliza de seguro que fue entregada al Corredor de Seguros PRIMERA BROKERS y que se encuentra suscrita en su momento por el asegurado y en la cual consta el régimen de cargas y exclusiones, en particular, la carga incumplida que fue invocada para fines del rechazo, por lo que dicho régimen era de conocimiento del señalado asegurado, siendo que la preterición de dicha prueba afecta al debido proceso y los coloca en estado de indefensión;</w:t>
      </w:r>
    </w:p>
    <w:p w:rsidRPr="00D248C5" w:rsidR="00913230" w:rsidP="00913230" w:rsidRDefault="00913230" w14:paraId="240E6CD1"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D248C5" w:rsidR="00913230" w:rsidP="00913230" w:rsidRDefault="00913230" w14:paraId="587145AC"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D248C5">
        <w:rPr>
          <w:rFonts w:ascii="Times New Roman" w:hAnsi="Times New Roman" w:eastAsia="Times New Roman" w:cs="Times New Roman"/>
          <w:b/>
          <w:bCs/>
          <w:sz w:val="24"/>
          <w:szCs w:val="24"/>
          <w:lang w:val="es-MX" w:eastAsia="ar-SA"/>
        </w:rPr>
        <w:t>Considerando:</w:t>
      </w:r>
    </w:p>
    <w:p w:rsidRPr="00D248C5" w:rsidR="00913230" w:rsidP="00913230" w:rsidRDefault="00913230" w14:paraId="0C8AB6B9" w14:textId="77777777">
      <w:pPr>
        <w:suppressAutoHyphens/>
        <w:spacing w:after="0" w:line="240" w:lineRule="auto"/>
        <w:jc w:val="both"/>
        <w:rPr>
          <w:rFonts w:ascii="Times New Roman" w:hAnsi="Times New Roman" w:eastAsia="Times New Roman" w:cs="Times New Roman"/>
          <w:sz w:val="24"/>
          <w:szCs w:val="24"/>
          <w:lang w:val="es-ES" w:eastAsia="ar-SA"/>
        </w:rPr>
      </w:pPr>
    </w:p>
    <w:p w:rsidRPr="00D248C5" w:rsidR="00913230" w:rsidP="00913230" w:rsidRDefault="00913230" w14:paraId="40908583" w14:textId="77777777">
      <w:pPr>
        <w:spacing w:after="0" w:line="240" w:lineRule="auto"/>
        <w:jc w:val="both"/>
        <w:rPr>
          <w:rFonts w:ascii="Times New Roman" w:hAnsi="Times New Roman" w:cs="Times New Roman"/>
          <w:sz w:val="24"/>
          <w:szCs w:val="24"/>
          <w:lang w:val="es-PE"/>
        </w:rPr>
      </w:pPr>
      <w:r w:rsidRPr="00D248C5">
        <w:rPr>
          <w:rFonts w:ascii="Times New Roman" w:hAnsi="Times New Roman" w:cs="Times New Roman"/>
          <w:b/>
          <w:sz w:val="24"/>
          <w:szCs w:val="24"/>
          <w:u w:val="single"/>
          <w:lang w:val="es-PE"/>
        </w:rPr>
        <w:t>Primero</w:t>
      </w:r>
      <w:r w:rsidRPr="00D248C5">
        <w:rPr>
          <w:rFonts w:ascii="Times New Roman" w:hAnsi="Times New Roman" w:cs="Times New Roman"/>
          <w:b/>
          <w:sz w:val="24"/>
          <w:szCs w:val="24"/>
          <w:lang w:val="es-PE"/>
        </w:rPr>
        <w:t>:</w:t>
      </w:r>
      <w:r w:rsidRPr="00D248C5">
        <w:rPr>
          <w:rFonts w:ascii="Times New Roman" w:hAnsi="Times New Roman" w:cs="Times New Roman"/>
          <w:sz w:val="24"/>
          <w:szCs w:val="24"/>
          <w:lang w:val="es-PE"/>
        </w:rPr>
        <w:t xml:space="preserve"> El Reglamento de la DEFASEG </w:t>
      </w:r>
      <w:r w:rsidRPr="00D248C5">
        <w:rPr>
          <w:rFonts w:ascii="Times New Roman" w:hAnsi="Times New Roman" w:eastAsia="Arial Unicode MS" w:cs="Times New Roman"/>
          <w:sz w:val="24"/>
          <w:szCs w:val="24"/>
          <w:lang w:val="es-PE"/>
        </w:rPr>
        <w:t xml:space="preserve">(http://www.defaseg.com.pe/reglamento), en su artículo 10, </w:t>
      </w:r>
      <w:r w:rsidRPr="00D248C5">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D248C5">
        <w:rPr>
          <w:rFonts w:ascii="Times New Roman" w:hAnsi="Times New Roman" w:cs="Times New Roman"/>
          <w:sz w:val="24"/>
          <w:szCs w:val="24"/>
          <w:lang w:val="es-ES"/>
        </w:rPr>
        <w:t>usuario de seguro recurre en forma voluntaria a la Defensoría, siendo que la presentación de una reclamación n</w:t>
      </w:r>
      <w:r w:rsidRPr="00D248C5">
        <w:rPr>
          <w:rFonts w:ascii="Times New Roman" w:hAnsi="Times New Roman" w:cs="Times New Roman"/>
          <w:sz w:val="24"/>
          <w:szCs w:val="24"/>
          <w:lang w:val="es-PE"/>
        </w:rPr>
        <w:t>o limita su derecho a recurrir posteriormente ante el órgano administrativo o jurisdiccional que considere pertinente.  Conforme a lo anterior, si el asegurado no se encuentra conforme con lo que sea finalmente resuelto, la respectiva resolución no lo compromete ni le restringe la posibilidad de poder recurrir a las instancias correspondientes, a diferencia de la aseguradora que sí queda comprometida con lo resuelto por la DEFASEG.</w:t>
      </w:r>
    </w:p>
    <w:p w:rsidRPr="00D248C5" w:rsidR="00913230" w:rsidP="00913230" w:rsidRDefault="00913230" w14:paraId="035ED62C" w14:textId="77777777">
      <w:pPr>
        <w:spacing w:after="0" w:line="240" w:lineRule="auto"/>
        <w:jc w:val="both"/>
        <w:rPr>
          <w:rFonts w:ascii="Times New Roman" w:hAnsi="Times New Roman" w:cs="Times New Roman"/>
          <w:sz w:val="24"/>
          <w:szCs w:val="24"/>
          <w:lang w:val="es-PE"/>
        </w:rPr>
      </w:pPr>
    </w:p>
    <w:p w:rsidRPr="00D248C5" w:rsidR="00913230" w:rsidP="00913230" w:rsidRDefault="00913230" w14:paraId="684B18D1" w14:textId="77777777">
      <w:pPr>
        <w:spacing w:after="0" w:line="240" w:lineRule="auto"/>
        <w:jc w:val="both"/>
        <w:rPr>
          <w:rFonts w:ascii="Times New Roman" w:hAnsi="Times New Roman" w:cs="Times New Roman"/>
          <w:sz w:val="24"/>
          <w:szCs w:val="24"/>
          <w:lang w:val="es-PE"/>
        </w:rPr>
      </w:pPr>
      <w:r w:rsidRPr="00D248C5">
        <w:rPr>
          <w:rFonts w:ascii="Times New Roman" w:hAnsi="Times New Roman" w:cs="Times New Roman"/>
          <w:sz w:val="24"/>
          <w:szCs w:val="24"/>
          <w:lang w:val="es-PE"/>
        </w:rPr>
        <w:t>Es precisamente este último aspecto lo que, a criterio de este colegiado, legitima la presentación de la excepcional solicitud de nulidad ante lo que habría sido resuelto sin estimar el medio probatorio presentado en su oportunidad, siendo que, de mantenerse dicha situación, se estaría colocando en indefensión a la aseguradora, la misma que, a diferencia de la reclamante, no tiene la posibilidad de someter la controversia al conocimiento de otra instancia para hacer valer su derecho.</w:t>
      </w:r>
    </w:p>
    <w:p w:rsidRPr="00D248C5" w:rsidR="00913230" w:rsidP="00913230" w:rsidRDefault="00913230" w14:paraId="24040B07" w14:textId="77777777">
      <w:pPr>
        <w:spacing w:after="0" w:line="240" w:lineRule="auto"/>
        <w:jc w:val="both"/>
        <w:rPr>
          <w:rFonts w:ascii="Times New Roman" w:hAnsi="Times New Roman" w:cs="Times New Roman"/>
          <w:sz w:val="24"/>
          <w:szCs w:val="24"/>
          <w:lang w:val="es-PE"/>
        </w:rPr>
      </w:pPr>
    </w:p>
    <w:p w:rsidRPr="00D248C5" w:rsidR="00913230" w:rsidP="00913230" w:rsidRDefault="00913230" w14:paraId="4A27E41C" w14:textId="35B254B0">
      <w:pPr>
        <w:tabs>
          <w:tab w:val="left" w:pos="2160"/>
        </w:tabs>
        <w:spacing w:after="0" w:line="240" w:lineRule="auto"/>
        <w:jc w:val="both"/>
        <w:rPr>
          <w:rFonts w:ascii="Times New Roman" w:hAnsi="Times New Roman" w:cs="Times New Roman"/>
          <w:sz w:val="24"/>
          <w:szCs w:val="24"/>
          <w:lang w:val="es-PE"/>
        </w:rPr>
      </w:pPr>
      <w:r w:rsidRPr="62273B1D" w:rsidR="00913230">
        <w:rPr>
          <w:rFonts w:ascii="Times New Roman" w:hAnsi="Times New Roman" w:cs="Times New Roman"/>
          <w:b w:val="1"/>
          <w:bCs w:val="1"/>
          <w:sz w:val="24"/>
          <w:szCs w:val="24"/>
          <w:u w:val="single"/>
          <w:lang w:val="es-PE"/>
        </w:rPr>
        <w:t>Segundo</w:t>
      </w:r>
      <w:r w:rsidRPr="62273B1D" w:rsidR="00913230">
        <w:rPr>
          <w:rFonts w:ascii="Times New Roman" w:hAnsi="Times New Roman" w:cs="Times New Roman"/>
          <w:b w:val="1"/>
          <w:bCs w:val="1"/>
          <w:sz w:val="24"/>
          <w:szCs w:val="24"/>
          <w:lang w:val="es-PE"/>
        </w:rPr>
        <w:t>:</w:t>
      </w:r>
      <w:r w:rsidRPr="62273B1D" w:rsidR="00913230">
        <w:rPr>
          <w:rFonts w:ascii="Times New Roman" w:hAnsi="Times New Roman" w:cs="Times New Roman"/>
          <w:sz w:val="24"/>
          <w:szCs w:val="24"/>
          <w:lang w:val="es-PE"/>
        </w:rPr>
        <w:t xml:space="preserve"> Conforme a uniformes resoluciones de este colegiado, sobre la base de lo imperativamente sancionado en los artículos 77 y 137 de la Ley Nro. 29946 – Ley del Contrato de Seguro, corresponde a la aseguradora, no al asegurado, no a esta Defensoría, demostrar el fundamento del rechazo de cobertura y, conforme a ello, en el caso concreto que ha derivado en la reclamación sometida a la DEFASEG, las condiciones contractuales opuestas al </w:t>
      </w:r>
      <w:r w:rsidRPr="62273B1D" w:rsidR="00913230">
        <w:rPr>
          <w:rFonts w:ascii="Times New Roman" w:hAnsi="Times New Roman" w:cs="Times New Roman"/>
          <w:sz w:val="24"/>
          <w:szCs w:val="24"/>
          <w:lang w:val="es-PE"/>
        </w:rPr>
        <w:t xml:space="preserve">asegurado, entre ellas, el régimen de cargas y exclusiones, y que las mismas fueron informadas de manera oportuna, adecuada y suficiente.  Este colegiado advierte que, conforme fue reiteradamente invocado por </w:t>
      </w:r>
      <w:r w:rsidRPr="62273B1D" w:rsidR="2DB5E122">
        <w:rPr>
          <w:rFonts w:ascii="Times New Roman" w:hAnsi="Times New Roman" w:cs="Times New Roman"/>
          <w:sz w:val="24"/>
          <w:szCs w:val="24"/>
          <w:lang w:val="es-PE"/>
        </w:rPr>
        <w:t>..................................</w:t>
      </w:r>
      <w:r w:rsidRPr="62273B1D" w:rsidR="00913230">
        <w:rPr>
          <w:rFonts w:ascii="Times New Roman" w:hAnsi="Times New Roman" w:cs="Times New Roman"/>
          <w:sz w:val="24"/>
          <w:szCs w:val="24"/>
          <w:lang w:val="es-PE"/>
        </w:rPr>
        <w:t xml:space="preserve">, dicha empresa afirmó que sí había cuidado de entregar al asegurado a través del Corredor de Seguros la correspondiente póliza de seguro, la cual incluía el régimen de cargas y exclusiones; siendo que adjunto a su recurso de </w:t>
      </w:r>
      <w:r w:rsidRPr="62273B1D" w:rsidR="00913230">
        <w:rPr>
          <w:rFonts w:ascii="Times New Roman" w:hAnsi="Times New Roman" w:cs="Times New Roman"/>
          <w:sz w:val="24"/>
          <w:szCs w:val="24"/>
          <w:lang w:val="es-PE"/>
        </w:rPr>
        <w:t>imugnación</w:t>
      </w:r>
      <w:r w:rsidRPr="62273B1D" w:rsidR="00913230">
        <w:rPr>
          <w:rFonts w:ascii="Times New Roman" w:hAnsi="Times New Roman" w:cs="Times New Roman"/>
          <w:sz w:val="24"/>
          <w:szCs w:val="24"/>
          <w:lang w:val="es-PE"/>
        </w:rPr>
        <w:t xml:space="preserve"> presentó la póliza suscrita por el asegurado. A continuación, se presenta la imagen de la póliza suscrita por el asegurado:</w:t>
      </w:r>
    </w:p>
    <w:p w:rsidRPr="00D248C5" w:rsidR="00913230" w:rsidP="00913230" w:rsidRDefault="00913230" w14:paraId="7766D478" w14:textId="77777777">
      <w:pPr>
        <w:tabs>
          <w:tab w:val="left" w:pos="2160"/>
        </w:tabs>
        <w:spacing w:after="0" w:line="240" w:lineRule="auto"/>
        <w:jc w:val="both"/>
        <w:rPr>
          <w:rFonts w:ascii="Times New Roman" w:hAnsi="Times New Roman" w:cs="Times New Roman"/>
          <w:sz w:val="24"/>
          <w:szCs w:val="24"/>
          <w:lang w:val="es-PE"/>
        </w:rPr>
      </w:pPr>
    </w:p>
    <w:p w:rsidRPr="00D248C5" w:rsidR="00913230" w:rsidP="00913230" w:rsidRDefault="00913230" w14:paraId="3EF1F8AE" w14:textId="2452F3EF">
      <w:pPr>
        <w:tabs>
          <w:tab w:val="left" w:pos="2160"/>
        </w:tabs>
        <w:spacing w:after="0" w:line="240" w:lineRule="auto"/>
        <w:ind w:left="720"/>
        <w:jc w:val="both"/>
      </w:pPr>
      <w:r w:rsidR="07FD73A7">
        <w:rPr/>
        <w:t>.......................................................................................................................................</w:t>
      </w:r>
    </w:p>
    <w:p w:rsidRPr="00D248C5" w:rsidR="00913230" w:rsidP="00913230" w:rsidRDefault="00913230" w14:paraId="63DDF311" w14:textId="77777777">
      <w:pPr>
        <w:tabs>
          <w:tab w:val="left" w:pos="2160"/>
        </w:tabs>
        <w:spacing w:after="0" w:line="240" w:lineRule="auto"/>
        <w:jc w:val="both"/>
        <w:rPr>
          <w:rFonts w:ascii="Times New Roman" w:hAnsi="Times New Roman" w:cs="Times New Roman"/>
          <w:sz w:val="24"/>
          <w:szCs w:val="24"/>
          <w:lang w:val="es-PE"/>
        </w:rPr>
      </w:pPr>
    </w:p>
    <w:p w:rsidRPr="00D248C5" w:rsidR="00913230" w:rsidP="00913230" w:rsidRDefault="00913230" w14:paraId="4C90D752" w14:noSpellErr="1" w14:textId="358A98A8">
      <w:pPr>
        <w:tabs>
          <w:tab w:val="left" w:pos="2160"/>
        </w:tabs>
        <w:spacing w:after="0" w:line="240" w:lineRule="auto"/>
        <w:jc w:val="both"/>
        <w:rPr>
          <w:rFonts w:ascii="Times New Roman" w:hAnsi="Times New Roman" w:cs="Times New Roman"/>
          <w:sz w:val="24"/>
          <w:szCs w:val="24"/>
          <w:lang w:val="es-PE"/>
        </w:rPr>
      </w:pPr>
      <w:r w:rsidRPr="62273B1D" w:rsidR="00913230">
        <w:rPr>
          <w:rFonts w:ascii="Times New Roman" w:hAnsi="Times New Roman" w:cs="Times New Roman"/>
          <w:sz w:val="24"/>
          <w:szCs w:val="24"/>
          <w:lang w:val="es-PE"/>
        </w:rPr>
        <w:t xml:space="preserve"> </w:t>
      </w:r>
    </w:p>
    <w:p w:rsidRPr="00D248C5" w:rsidR="00913230" w:rsidP="00913230" w:rsidRDefault="00913230" w14:paraId="6BA14C30" w14:textId="3FFE47E6">
      <w:pPr>
        <w:tabs>
          <w:tab w:val="left" w:pos="2160"/>
        </w:tabs>
        <w:spacing w:after="0" w:line="240" w:lineRule="auto"/>
        <w:jc w:val="both"/>
        <w:rPr>
          <w:rFonts w:ascii="Times New Roman" w:hAnsi="Times New Roman" w:cs="Times New Roman"/>
          <w:sz w:val="24"/>
          <w:szCs w:val="24"/>
          <w:lang w:val="es-PE"/>
        </w:rPr>
      </w:pPr>
      <w:r w:rsidRPr="62273B1D" w:rsidR="00913230">
        <w:rPr>
          <w:rFonts w:ascii="Times New Roman" w:hAnsi="Times New Roman" w:cs="Times New Roman"/>
          <w:sz w:val="24"/>
          <w:szCs w:val="24"/>
          <w:lang w:val="es-PE"/>
        </w:rPr>
        <w:t xml:space="preserve">Que, en la póliza de seguro, consta ciertamente reproducido el régimen de cargas y exclusiones y, en particular, la carga de realizar la denuncia policial y pasar el dosaje etílico en un máximo de cuatro (4) horas, lo que al no haberse realizado, sustenta el rechazo de cobertura, lo cual permite concluir que el asegurado sí conoció de dicho régimen, conforme consta de la copia de </w:t>
      </w:r>
      <w:r w:rsidRPr="62273B1D" w:rsidR="00913230">
        <w:rPr>
          <w:rFonts w:ascii="Times New Roman" w:hAnsi="Times New Roman" w:cs="Times New Roman"/>
          <w:sz w:val="24"/>
          <w:szCs w:val="24"/>
          <w:lang w:val="es-PE"/>
        </w:rPr>
        <w:t xml:space="preserve">la póliza presentada como adjunto del recurso de impugnación contra </w:t>
      </w:r>
      <w:r w:rsidRPr="62273B1D" w:rsidR="00913230">
        <w:rPr>
          <w:rFonts w:ascii="Times New Roman" w:hAnsi="Times New Roman" w:eastAsia="Times New Roman" w:cs="Times New Roman"/>
          <w:sz w:val="24"/>
          <w:szCs w:val="24"/>
          <w:lang w:val="es-ES" w:eastAsia="ar-SA"/>
        </w:rPr>
        <w:t xml:space="preserve">la Resolución Nro. </w:t>
      </w:r>
      <w:r w:rsidRPr="62273B1D" w:rsidR="7AC2A5DA">
        <w:rPr>
          <w:rFonts w:ascii="Times New Roman" w:hAnsi="Times New Roman" w:eastAsia="Times New Roman" w:cs="Times New Roman"/>
          <w:sz w:val="24"/>
          <w:szCs w:val="24"/>
          <w:lang w:val="es-ES" w:eastAsia="ar-SA"/>
        </w:rPr>
        <w:t>..............</w:t>
      </w:r>
      <w:r w:rsidRPr="62273B1D" w:rsidR="00913230">
        <w:rPr>
          <w:rFonts w:ascii="Times New Roman" w:hAnsi="Times New Roman" w:eastAsia="Times New Roman" w:cs="Times New Roman"/>
          <w:sz w:val="24"/>
          <w:szCs w:val="24"/>
          <w:lang w:val="es-ES" w:eastAsia="ar-SA"/>
        </w:rPr>
        <w:t xml:space="preserve">  suscrita por el asegurado, medio probatorio que no fue debidamente valorado en su momento.</w:t>
      </w:r>
    </w:p>
    <w:p w:rsidRPr="00D248C5" w:rsidR="00913230" w:rsidP="00913230" w:rsidRDefault="00913230" w14:paraId="39937492" w14:textId="77777777">
      <w:pPr>
        <w:tabs>
          <w:tab w:val="left" w:pos="2160"/>
        </w:tabs>
        <w:spacing w:after="0" w:line="240" w:lineRule="auto"/>
        <w:jc w:val="both"/>
        <w:rPr>
          <w:rFonts w:ascii="Times New Roman" w:hAnsi="Times New Roman" w:cs="Times New Roman"/>
          <w:sz w:val="24"/>
          <w:szCs w:val="24"/>
          <w:lang w:val="es-PE"/>
        </w:rPr>
      </w:pPr>
    </w:p>
    <w:p w:rsidRPr="00D248C5" w:rsidR="00913230" w:rsidP="62273B1D" w:rsidRDefault="00913230" w14:paraId="68EBD150" w14:textId="13A7C4A0">
      <w:pPr>
        <w:tabs>
          <w:tab w:val="left" w:pos="2160"/>
        </w:tabs>
        <w:spacing w:after="0" w:line="240" w:lineRule="auto"/>
        <w:jc w:val="both"/>
        <w:rPr>
          <w:rFonts w:ascii="Times New Roman" w:hAnsi="Times New Roman" w:cs="Times New Roman"/>
          <w:sz w:val="24"/>
          <w:szCs w:val="24"/>
          <w:lang w:val="es-PE"/>
        </w:rPr>
      </w:pPr>
      <w:r w:rsidRPr="62273B1D" w:rsidR="00913230">
        <w:rPr>
          <w:rFonts w:ascii="Times New Roman" w:hAnsi="Times New Roman" w:cs="Times New Roman"/>
          <w:b w:val="1"/>
          <w:bCs w:val="1"/>
          <w:sz w:val="24"/>
          <w:szCs w:val="24"/>
          <w:u w:val="single"/>
          <w:lang w:val="es-PE"/>
        </w:rPr>
        <w:t>Tercero</w:t>
      </w:r>
      <w:r w:rsidRPr="62273B1D" w:rsidR="00913230">
        <w:rPr>
          <w:rFonts w:ascii="Times New Roman" w:hAnsi="Times New Roman" w:cs="Times New Roman"/>
          <w:b w:val="1"/>
          <w:bCs w:val="1"/>
          <w:sz w:val="24"/>
          <w:szCs w:val="24"/>
          <w:lang w:val="es-PE"/>
        </w:rPr>
        <w:t>:</w:t>
      </w:r>
      <w:r w:rsidRPr="62273B1D" w:rsidR="00913230">
        <w:rPr>
          <w:rFonts w:ascii="Times New Roman" w:hAnsi="Times New Roman" w:cs="Times New Roman"/>
          <w:sz w:val="24"/>
          <w:szCs w:val="24"/>
          <w:lang w:val="es-PE"/>
        </w:rPr>
        <w:t xml:space="preserve"> Atendiendo a lo expresado precedentemente, este colegiado estima declarar nula la</w:t>
      </w:r>
      <w:r w:rsidRPr="62273B1D" w:rsidR="00913230">
        <w:rPr>
          <w:rFonts w:ascii="Times New Roman" w:hAnsi="Times New Roman" w:cs="Times New Roman"/>
          <w:sz w:val="24"/>
          <w:szCs w:val="24"/>
          <w:lang w:val="es-PE"/>
        </w:rPr>
        <w:t xml:space="preserve"> Resolución sobre recurso impugnativo Nro. </w:t>
      </w:r>
      <w:r w:rsidRPr="62273B1D" w:rsidR="2337EB45">
        <w:rPr>
          <w:rFonts w:ascii="Times New Roman" w:hAnsi="Times New Roman" w:cs="Times New Roman"/>
          <w:sz w:val="24"/>
          <w:szCs w:val="24"/>
          <w:lang w:val="es-PE"/>
        </w:rPr>
        <w:t>................</w:t>
      </w:r>
      <w:r w:rsidRPr="62273B1D" w:rsidR="00913230">
        <w:rPr>
          <w:rFonts w:ascii="Times New Roman" w:hAnsi="Times New Roman" w:cs="Times New Roman"/>
          <w:sz w:val="24"/>
          <w:szCs w:val="24"/>
          <w:lang w:val="es-PE"/>
        </w:rPr>
        <w:t xml:space="preserve">, por no haberse valorado adecuadamente los medios probatorios presentados oportunamente, por lo que, conforme a ello, corresponde emitir una nueva resolución sobre el recurso impugnativo interpuesto por la aseguradora, el mismo que corresponde declararse fundado, dado que </w:t>
      </w:r>
      <w:r w:rsidRPr="62273B1D" w:rsidR="2DB5E122">
        <w:rPr>
          <w:rFonts w:ascii="Times New Roman" w:hAnsi="Times New Roman" w:cs="Times New Roman"/>
          <w:sz w:val="24"/>
          <w:szCs w:val="24"/>
          <w:lang w:val="es-PE"/>
        </w:rPr>
        <w:t>..................................</w:t>
      </w:r>
      <w:r w:rsidRPr="62273B1D" w:rsidR="00913230">
        <w:rPr>
          <w:rFonts w:ascii="Times New Roman" w:hAnsi="Times New Roman" w:cs="Times New Roman"/>
          <w:sz w:val="24"/>
          <w:szCs w:val="24"/>
          <w:lang w:val="es-PE"/>
        </w:rPr>
        <w:t xml:space="preserve"> ha probado finalmente que el contrato de seguro contiene la carga invocada, que el régimen de cargas y exclusiones sí era de conocimiento oportuno, adecuado y suficiente del asegurado, por lo que bien puede ser opuesto y, por último, que la exclusión</w:t>
      </w:r>
      <w:r w:rsidRPr="62273B1D" w:rsidR="00913230">
        <w:rPr>
          <w:rFonts w:ascii="Times New Roman" w:hAnsi="Times New Roman" w:cs="Times New Roman"/>
          <w:sz w:val="24"/>
          <w:szCs w:val="24"/>
          <w:lang w:val="es-PE"/>
        </w:rPr>
        <w:t xml:space="preserve"> fue invocada legítimamente, siendo que ya este colegiado</w:t>
      </w:r>
      <w:r w:rsidRPr="62273B1D" w:rsidR="00913230">
        <w:rPr>
          <w:rFonts w:ascii="Times New Roman" w:hAnsi="Times New Roman" w:cs="Times New Roman"/>
          <w:sz w:val="24"/>
          <w:szCs w:val="24"/>
          <w:lang w:val="es-PE"/>
        </w:rPr>
        <w:t xml:space="preserve"> ha aceptado que está probado el incumplimiento y su correspondencia con el supuesto de hecho establecido como carga contractual.</w:t>
      </w:r>
      <w:r w:rsidRPr="62273B1D" w:rsidR="00913230">
        <w:rPr>
          <w:rFonts w:ascii="Times New Roman" w:hAnsi="Times New Roman" w:cs="Times New Roman"/>
          <w:sz w:val="24"/>
          <w:szCs w:val="24"/>
          <w:lang w:val="es-PE"/>
        </w:rPr>
        <w:t xml:space="preserve">  </w:t>
      </w:r>
    </w:p>
    <w:p w:rsidRPr="00D248C5" w:rsidR="00913230" w:rsidP="00913230" w:rsidRDefault="00913230" w14:paraId="39C9E6D2" w14:textId="77777777">
      <w:pPr>
        <w:tabs>
          <w:tab w:val="left" w:pos="2160"/>
        </w:tabs>
        <w:spacing w:after="0" w:line="240" w:lineRule="auto"/>
        <w:jc w:val="both"/>
        <w:rPr>
          <w:rFonts w:ascii="Times New Roman" w:hAnsi="Times New Roman" w:cs="Times New Roman"/>
          <w:bCs/>
          <w:sz w:val="24"/>
          <w:szCs w:val="24"/>
          <w:lang w:val="es-PE"/>
        </w:rPr>
      </w:pPr>
    </w:p>
    <w:p w:rsidRPr="00D248C5" w:rsidR="00913230" w:rsidP="00913230" w:rsidRDefault="00913230" w14:paraId="11A8CA54" w14:textId="77777777">
      <w:pPr>
        <w:tabs>
          <w:tab w:val="left" w:pos="2160"/>
        </w:tabs>
        <w:spacing w:after="0" w:line="240" w:lineRule="auto"/>
        <w:jc w:val="both"/>
        <w:rPr>
          <w:rFonts w:ascii="Times New Roman" w:hAnsi="Times New Roman" w:cs="Times New Roman"/>
          <w:bCs/>
          <w:sz w:val="24"/>
          <w:szCs w:val="24"/>
          <w:lang w:val="es-PE"/>
        </w:rPr>
      </w:pPr>
      <w:r w:rsidRPr="00D248C5">
        <w:rPr>
          <w:rFonts w:ascii="Times New Roman" w:hAnsi="Times New Roman" w:cs="Times New Roman"/>
          <w:sz w:val="24"/>
          <w:szCs w:val="24"/>
          <w:lang w:val="es-PE"/>
        </w:rPr>
        <w:t>Por las consideraciones expuestas</w:t>
      </w:r>
      <w:r w:rsidRPr="00D248C5">
        <w:rPr>
          <w:rFonts w:ascii="Times New Roman" w:hAnsi="Times New Roman" w:eastAsia="Calibri" w:cs="Times New Roman"/>
          <w:sz w:val="24"/>
          <w:szCs w:val="24"/>
          <w:lang w:val="es-ES"/>
        </w:rPr>
        <w:t xml:space="preserve">, se concluye que el recurso impugnativo enerva los fundamentos de la resolución recurrida, por lo que corresponde ser estimado, revocándose </w:t>
      </w:r>
      <w:r w:rsidRPr="00D248C5">
        <w:rPr>
          <w:rFonts w:ascii="Times New Roman" w:hAnsi="Times New Roman" w:cs="Times New Roman"/>
          <w:sz w:val="24"/>
          <w:szCs w:val="24"/>
          <w:lang w:val="es-ES"/>
        </w:rPr>
        <w:t>la resolución de vista.</w:t>
      </w:r>
    </w:p>
    <w:p w:rsidRPr="00D248C5" w:rsidR="00913230" w:rsidP="00913230" w:rsidRDefault="00913230" w14:paraId="1366A94C" w14:textId="77777777">
      <w:pPr>
        <w:spacing w:after="0" w:line="240" w:lineRule="auto"/>
        <w:jc w:val="both"/>
        <w:rPr>
          <w:rFonts w:ascii="Times New Roman" w:hAnsi="Times New Roman" w:eastAsia="Times New Roman" w:cs="Times New Roman"/>
          <w:bCs/>
          <w:sz w:val="24"/>
          <w:szCs w:val="24"/>
          <w:lang w:val="es-PE" w:eastAsia="ar-SA"/>
        </w:rPr>
      </w:pPr>
    </w:p>
    <w:p w:rsidRPr="00D248C5" w:rsidR="00913230" w:rsidP="00913230" w:rsidRDefault="00913230" w14:paraId="64798599" w14:textId="77777777">
      <w:pPr>
        <w:spacing w:after="0" w:line="240" w:lineRule="auto"/>
        <w:jc w:val="both"/>
        <w:rPr>
          <w:rFonts w:ascii="Times New Roman" w:hAnsi="Times New Roman" w:cs="Times New Roman"/>
          <w:b/>
          <w:sz w:val="24"/>
          <w:szCs w:val="24"/>
          <w:lang w:val="es-PE"/>
        </w:rPr>
      </w:pPr>
      <w:r w:rsidRPr="00D248C5">
        <w:rPr>
          <w:rFonts w:ascii="Times New Roman" w:hAnsi="Times New Roman" w:cs="Times New Roman"/>
          <w:b/>
          <w:sz w:val="24"/>
          <w:szCs w:val="24"/>
          <w:lang w:val="es-PE"/>
        </w:rPr>
        <w:t>Atendiendo a lo expresado, conforme a su Reglamento, este colegiado resuelve:</w:t>
      </w:r>
    </w:p>
    <w:p w:rsidRPr="00D248C5" w:rsidR="00913230" w:rsidP="00913230" w:rsidRDefault="00913230" w14:paraId="2507393E" w14:textId="77777777">
      <w:pPr>
        <w:spacing w:after="0" w:line="240" w:lineRule="auto"/>
        <w:jc w:val="both"/>
        <w:rPr>
          <w:rFonts w:ascii="Times New Roman" w:hAnsi="Times New Roman" w:eastAsia="Arial Unicode MS" w:cs="Times New Roman"/>
          <w:b/>
          <w:sz w:val="24"/>
          <w:szCs w:val="24"/>
          <w:lang w:val="es-PE"/>
        </w:rPr>
      </w:pPr>
    </w:p>
    <w:p w:rsidRPr="00D248C5" w:rsidR="00757955" w:rsidP="00913230" w:rsidRDefault="00913230" w14:paraId="4D88E7FA" w14:textId="551E4A15">
      <w:pPr>
        <w:suppressAutoHyphens/>
        <w:spacing w:after="0" w:line="240" w:lineRule="auto"/>
        <w:jc w:val="both"/>
        <w:rPr>
          <w:rFonts w:ascii="Times New Roman" w:hAnsi="Times New Roman" w:eastAsia="Arial Unicode MS" w:cs="Times New Roman"/>
          <w:sz w:val="24"/>
          <w:szCs w:val="24"/>
          <w:lang w:val="es-PE"/>
        </w:rPr>
      </w:pPr>
      <w:r w:rsidRPr="62273B1D" w:rsidR="00913230">
        <w:rPr>
          <w:rFonts w:ascii="Times New Roman" w:hAnsi="Times New Roman" w:eastAsia="Arial Unicode MS" w:cs="Times New Roman"/>
          <w:b w:val="1"/>
          <w:bCs w:val="1"/>
          <w:sz w:val="24"/>
          <w:szCs w:val="24"/>
          <w:lang w:val="es-PE"/>
        </w:rPr>
        <w:t>Declarar NULA</w:t>
      </w:r>
      <w:r w:rsidRPr="62273B1D" w:rsidR="00913230">
        <w:rPr>
          <w:rFonts w:ascii="Times New Roman" w:hAnsi="Times New Roman" w:eastAsia="Arial Unicode MS" w:cs="Times New Roman"/>
          <w:b w:val="1"/>
          <w:bCs w:val="1"/>
          <w:sz w:val="24"/>
          <w:szCs w:val="24"/>
          <w:lang w:val="es-PE"/>
        </w:rPr>
        <w:t xml:space="preserve"> </w:t>
      </w:r>
      <w:r w:rsidRPr="62273B1D" w:rsidR="00913230">
        <w:rPr>
          <w:rFonts w:ascii="Times New Roman" w:hAnsi="Times New Roman" w:cs="Times New Roman"/>
          <w:b w:val="1"/>
          <w:bCs w:val="1"/>
          <w:sz w:val="24"/>
          <w:szCs w:val="24"/>
          <w:lang w:val="es-PE"/>
        </w:rPr>
        <w:t xml:space="preserve">la Resolución sobre recurso impugnativo Nro. </w:t>
      </w:r>
      <w:r w:rsidRPr="62273B1D" w:rsidR="2337EB45">
        <w:rPr>
          <w:rFonts w:ascii="Times New Roman" w:hAnsi="Times New Roman" w:cs="Times New Roman"/>
          <w:b w:val="1"/>
          <w:bCs w:val="1"/>
          <w:sz w:val="24"/>
          <w:szCs w:val="24"/>
          <w:lang w:val="es-PE"/>
        </w:rPr>
        <w:t>................</w:t>
      </w:r>
      <w:r w:rsidRPr="62273B1D" w:rsidR="00913230">
        <w:rPr>
          <w:rFonts w:ascii="Times New Roman" w:hAnsi="Times New Roman" w:cs="Times New Roman"/>
          <w:b w:val="1"/>
          <w:bCs w:val="1"/>
          <w:sz w:val="24"/>
          <w:szCs w:val="24"/>
          <w:lang w:val="es-PE"/>
        </w:rPr>
        <w:t xml:space="preserve">, </w:t>
      </w:r>
      <w:r w:rsidRPr="62273B1D" w:rsidR="00913230">
        <w:rPr>
          <w:rFonts w:ascii="Times New Roman" w:hAnsi="Times New Roman" w:cs="Times New Roman"/>
          <w:sz w:val="24"/>
          <w:szCs w:val="24"/>
          <w:lang w:val="es-PE"/>
        </w:rPr>
        <w:t>y retrotrayendo el estado de cosas al momento previo a su expedición, declarar</w:t>
      </w:r>
      <w:r w:rsidRPr="62273B1D" w:rsidR="00913230">
        <w:rPr>
          <w:rFonts w:ascii="Times New Roman" w:hAnsi="Times New Roman" w:eastAsia="Arial Unicode MS" w:cs="Times New Roman"/>
          <w:sz w:val="24"/>
          <w:szCs w:val="24"/>
          <w:lang w:val="es-PE"/>
        </w:rPr>
        <w:t xml:space="preserve"> </w:t>
      </w:r>
      <w:r w:rsidRPr="62273B1D" w:rsidR="00913230">
        <w:rPr>
          <w:rFonts w:ascii="Times New Roman" w:hAnsi="Times New Roman" w:eastAsia="Arial Unicode MS" w:cs="Times New Roman"/>
          <w:b w:val="1"/>
          <w:bCs w:val="1"/>
          <w:sz w:val="24"/>
          <w:szCs w:val="24"/>
          <w:lang w:val="es-PE"/>
        </w:rPr>
        <w:t xml:space="preserve">FUNDADO el recurso impugnativo </w:t>
      </w:r>
      <w:r w:rsidRPr="62273B1D" w:rsidR="00913230">
        <w:rPr>
          <w:rFonts w:ascii="Times New Roman" w:hAnsi="Times New Roman" w:eastAsia="Arial Unicode MS" w:cs="Times New Roman"/>
          <w:sz w:val="24"/>
          <w:szCs w:val="24"/>
          <w:lang w:val="es-PE"/>
        </w:rPr>
        <w:t xml:space="preserve">interpuesto por </w:t>
      </w:r>
      <w:r w:rsidRPr="62273B1D" w:rsidR="2DB5E122">
        <w:rPr>
          <w:rFonts w:ascii="Times New Roman" w:hAnsi="Times New Roman" w:eastAsia="Times New Roman" w:cs="Times New Roman"/>
          <w:sz w:val="24"/>
          <w:szCs w:val="24"/>
          <w:lang w:val="es-PE" w:eastAsia="ar-SA"/>
        </w:rPr>
        <w:t>..................................</w:t>
      </w:r>
      <w:r w:rsidRPr="62273B1D" w:rsidR="00913230">
        <w:rPr>
          <w:rFonts w:ascii="Times New Roman" w:hAnsi="Times New Roman" w:cs="Times New Roman"/>
          <w:sz w:val="24"/>
          <w:szCs w:val="24"/>
          <w:lang w:val="es-PE"/>
        </w:rPr>
        <w:t xml:space="preserve"> y, por consiguiente, </w:t>
      </w:r>
      <w:r w:rsidRPr="62273B1D" w:rsidR="00913230">
        <w:rPr>
          <w:rFonts w:ascii="Times New Roman" w:hAnsi="Times New Roman" w:cs="Times New Roman"/>
          <w:b w:val="1"/>
          <w:bCs w:val="1"/>
          <w:sz w:val="24"/>
          <w:szCs w:val="24"/>
          <w:lang w:val="es-PE"/>
        </w:rPr>
        <w:t>REVOCAR</w:t>
      </w:r>
      <w:r w:rsidRPr="62273B1D" w:rsidR="00913230">
        <w:rPr>
          <w:rFonts w:ascii="Times New Roman" w:hAnsi="Times New Roman" w:eastAsia="Times New Roman" w:cs="Times New Roman"/>
          <w:b w:val="1"/>
          <w:bCs w:val="1"/>
          <w:sz w:val="24"/>
          <w:szCs w:val="24"/>
          <w:lang w:val="es-ES" w:eastAsia="ar-SA"/>
        </w:rPr>
        <w:t xml:space="preserve"> la Resolución Nro. </w:t>
      </w:r>
      <w:r w:rsidRPr="62273B1D" w:rsidR="7AC2A5DA">
        <w:rPr>
          <w:rFonts w:ascii="Times New Roman" w:hAnsi="Times New Roman" w:eastAsia="Times New Roman" w:cs="Times New Roman"/>
          <w:b w:val="1"/>
          <w:bCs w:val="1"/>
          <w:sz w:val="24"/>
          <w:szCs w:val="24"/>
          <w:lang w:val="es-ES" w:eastAsia="ar-SA"/>
        </w:rPr>
        <w:t>..............</w:t>
      </w:r>
      <w:r w:rsidRPr="62273B1D" w:rsidR="00913230">
        <w:rPr>
          <w:rFonts w:ascii="Times New Roman" w:hAnsi="Times New Roman" w:eastAsia="Times New Roman" w:cs="Times New Roman"/>
          <w:b w:val="1"/>
          <w:bCs w:val="1"/>
          <w:sz w:val="24"/>
          <w:szCs w:val="24"/>
          <w:lang w:val="es-ES" w:eastAsia="ar-SA"/>
        </w:rPr>
        <w:t xml:space="preserve">, </w:t>
      </w:r>
      <w:r w:rsidRPr="62273B1D" w:rsidR="00913230">
        <w:rPr>
          <w:rFonts w:ascii="Times New Roman" w:hAnsi="Times New Roman" w:eastAsia="Times New Roman" w:cs="Times New Roman"/>
          <w:sz w:val="24"/>
          <w:szCs w:val="24"/>
          <w:lang w:val="es-ES" w:eastAsia="ar-SA"/>
        </w:rPr>
        <w:t>dejándose a salvo el derecho del reclamante de recurrir a las instancias correspondientes</w:t>
      </w:r>
      <w:r w:rsidRPr="62273B1D" w:rsidR="00913230">
        <w:rPr>
          <w:rFonts w:ascii="Times New Roman" w:hAnsi="Times New Roman" w:eastAsia="Arial Unicode MS" w:cs="Times New Roman"/>
          <w:sz w:val="24"/>
          <w:szCs w:val="24"/>
          <w:lang w:val="es-PE"/>
        </w:rPr>
        <w:t>.</w:t>
      </w:r>
    </w:p>
    <w:p w:rsidRPr="00D248C5" w:rsidR="00C173A8" w:rsidP="00C173A8" w:rsidRDefault="00C173A8" w14:paraId="301E1FA3" w14:textId="77777777">
      <w:pPr>
        <w:spacing w:after="0" w:line="240" w:lineRule="auto"/>
        <w:jc w:val="both"/>
        <w:rPr>
          <w:rFonts w:ascii="Times New Roman" w:hAnsi="Times New Roman" w:eastAsia="Times New Roman" w:cs="Times New Roman"/>
          <w:sz w:val="24"/>
          <w:szCs w:val="24"/>
          <w:lang w:val="es-PE" w:eastAsia="ar-SA"/>
        </w:rPr>
      </w:pPr>
    </w:p>
    <w:p w:rsidRPr="00D248C5" w:rsidR="00C173A8" w:rsidP="00C173A8" w:rsidRDefault="00C173A8" w14:paraId="0EB0711B" w14:textId="55F3BE23">
      <w:pPr>
        <w:suppressAutoHyphens/>
        <w:spacing w:after="0" w:line="240" w:lineRule="auto"/>
        <w:jc w:val="right"/>
        <w:outlineLvl w:val="0"/>
        <w:rPr>
          <w:rFonts w:ascii="Times New Roman" w:hAnsi="Times New Roman" w:eastAsia="Arial Unicode MS" w:cs="Times New Roman"/>
          <w:sz w:val="24"/>
          <w:szCs w:val="24"/>
          <w:lang w:val="es-PE" w:eastAsia="ar-SA"/>
        </w:rPr>
      </w:pPr>
      <w:r w:rsidRPr="00D248C5">
        <w:rPr>
          <w:rFonts w:ascii="Times New Roman" w:hAnsi="Times New Roman" w:eastAsia="Arial Unicode MS" w:cs="Times New Roman"/>
          <w:sz w:val="24"/>
          <w:szCs w:val="24"/>
          <w:lang w:val="es-PE" w:eastAsia="ar-SA"/>
        </w:rPr>
        <w:t xml:space="preserve">Lima, </w:t>
      </w:r>
      <w:r w:rsidRPr="00D248C5" w:rsidR="00B01C3A">
        <w:rPr>
          <w:rFonts w:ascii="Times New Roman" w:hAnsi="Times New Roman" w:eastAsia="Arial Unicode MS" w:cs="Times New Roman"/>
          <w:sz w:val="24"/>
          <w:szCs w:val="24"/>
          <w:lang w:val="es-PE" w:eastAsia="ar-SA"/>
        </w:rPr>
        <w:t>0</w:t>
      </w:r>
      <w:r w:rsidRPr="00D248C5" w:rsidR="00784200">
        <w:rPr>
          <w:rFonts w:ascii="Times New Roman" w:hAnsi="Times New Roman" w:eastAsia="Arial Unicode MS" w:cs="Times New Roman"/>
          <w:sz w:val="24"/>
          <w:szCs w:val="24"/>
          <w:lang w:val="es-PE" w:eastAsia="ar-SA"/>
        </w:rPr>
        <w:t>8</w:t>
      </w:r>
      <w:r w:rsidRPr="00D248C5">
        <w:rPr>
          <w:rFonts w:ascii="Times New Roman" w:hAnsi="Times New Roman" w:eastAsia="Arial Unicode MS" w:cs="Times New Roman"/>
          <w:sz w:val="24"/>
          <w:szCs w:val="24"/>
          <w:lang w:val="es-PE" w:eastAsia="ar-SA"/>
        </w:rPr>
        <w:t xml:space="preserve"> de </w:t>
      </w:r>
      <w:r w:rsidRPr="00D248C5" w:rsidR="006E5783">
        <w:rPr>
          <w:rFonts w:ascii="Times New Roman" w:hAnsi="Times New Roman" w:eastAsia="Arial Unicode MS" w:cs="Times New Roman"/>
          <w:sz w:val="24"/>
          <w:szCs w:val="24"/>
          <w:lang w:val="es-PE" w:eastAsia="ar-SA"/>
        </w:rPr>
        <w:t>junio</w:t>
      </w:r>
      <w:r w:rsidRPr="00D248C5">
        <w:rPr>
          <w:rFonts w:ascii="Times New Roman" w:hAnsi="Times New Roman" w:eastAsia="Arial Unicode MS" w:cs="Times New Roman"/>
          <w:sz w:val="24"/>
          <w:szCs w:val="24"/>
          <w:lang w:val="es-PE" w:eastAsia="ar-SA"/>
        </w:rPr>
        <w:t xml:space="preserve"> de 2022</w:t>
      </w:r>
      <w:r w:rsidRPr="00D248C5">
        <w:rPr>
          <w:rFonts w:ascii="Times New Roman" w:hAnsi="Times New Roman" w:eastAsia="Times New Roman" w:cs="Times New Roman"/>
          <w:sz w:val="24"/>
          <w:szCs w:val="24"/>
          <w:lang w:val="es-PE" w:eastAsia="ar-SA"/>
        </w:rPr>
        <w:t xml:space="preserve"> </w:t>
      </w:r>
    </w:p>
    <w:p w:rsidRPr="00D248C5" w:rsidR="00C173A8" w:rsidP="00C173A8" w:rsidRDefault="00C173A8" w14:paraId="21EFD7D3"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D248C5"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D248C5" w:rsidR="00C173A8" w:rsidP="00C173A8" w:rsidRDefault="00C173A8" w14:paraId="32C08A5A" w14:textId="77777777">
      <w:pPr>
        <w:spacing w:after="0" w:line="240" w:lineRule="auto"/>
        <w:jc w:val="both"/>
        <w:rPr>
          <w:rFonts w:ascii="Times New Roman" w:hAnsi="Times New Roman" w:cs="Times New Roman"/>
          <w:b/>
          <w:bCs/>
          <w:i/>
          <w:iCs/>
          <w:sz w:val="24"/>
          <w:szCs w:val="24"/>
          <w:lang w:val="es-PE"/>
        </w:rPr>
      </w:pPr>
      <w:r w:rsidRPr="00D248C5">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D248C5" w:rsidR="00C173A8" w:rsidP="00C173A8" w:rsidRDefault="00C173A8" w14:paraId="1F888041" w14:textId="77777777">
      <w:pPr>
        <w:spacing w:after="0" w:line="360" w:lineRule="auto"/>
        <w:jc w:val="both"/>
        <w:rPr>
          <w:rFonts w:ascii="Times New Roman" w:hAnsi="Times New Roman" w:cs="Times New Roman"/>
          <w:b/>
          <w:bCs/>
          <w:i/>
          <w:iCs/>
          <w:sz w:val="24"/>
          <w:szCs w:val="24"/>
          <w:lang w:val="es-PE"/>
        </w:rPr>
      </w:pPr>
    </w:p>
    <w:p w:rsidRPr="00D248C5"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D248C5">
        <w:rPr>
          <w:rFonts w:ascii="Times New Roman" w:hAnsi="Times New Roman" w:cs="Times New Roman"/>
          <w:b/>
          <w:bCs/>
          <w:sz w:val="24"/>
          <w:szCs w:val="24"/>
          <w:lang w:val="es-PE"/>
        </w:rPr>
        <w:t xml:space="preserve">Marco Antonio Ortega Piana – </w:t>
      </w:r>
      <w:proofErr w:type="gramStart"/>
      <w:r w:rsidRPr="00D248C5">
        <w:rPr>
          <w:rFonts w:ascii="Times New Roman" w:hAnsi="Times New Roman" w:cs="Times New Roman"/>
          <w:b/>
          <w:bCs/>
          <w:sz w:val="24"/>
          <w:szCs w:val="24"/>
          <w:lang w:val="es-PE"/>
        </w:rPr>
        <w:t>Presidente</w:t>
      </w:r>
      <w:proofErr w:type="gramEnd"/>
    </w:p>
    <w:p w:rsidRPr="00D248C5"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D248C5">
        <w:rPr>
          <w:rFonts w:ascii="Times New Roman" w:hAnsi="Times New Roman" w:cs="Times New Roman"/>
          <w:b/>
          <w:bCs/>
          <w:sz w:val="24"/>
          <w:szCs w:val="24"/>
          <w:lang w:val="es-PE"/>
        </w:rPr>
        <w:t xml:space="preserve">María Eugenia Valdez Fernández Baca – </w:t>
      </w:r>
      <w:r w:rsidRPr="00D248C5" w:rsidR="001B1998">
        <w:rPr>
          <w:rFonts w:ascii="Times New Roman" w:hAnsi="Times New Roman" w:cs="Times New Roman"/>
          <w:b/>
          <w:bCs/>
          <w:sz w:val="24"/>
          <w:szCs w:val="24"/>
          <w:lang w:val="es-PE"/>
        </w:rPr>
        <w:t>Vocal</w:t>
      </w:r>
    </w:p>
    <w:p w:rsidRPr="00D248C5"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D248C5">
        <w:rPr>
          <w:rFonts w:ascii="Times New Roman" w:hAnsi="Times New Roman" w:cs="Times New Roman"/>
          <w:b/>
          <w:bCs/>
          <w:sz w:val="24"/>
          <w:szCs w:val="24"/>
          <w:lang w:val="es-PE"/>
        </w:rPr>
        <w:t xml:space="preserve">Rolando Eyzaguirre </w:t>
      </w:r>
      <w:proofErr w:type="spellStart"/>
      <w:r w:rsidRPr="00D248C5">
        <w:rPr>
          <w:rFonts w:ascii="Times New Roman" w:hAnsi="Times New Roman" w:cs="Times New Roman"/>
          <w:b/>
          <w:bCs/>
          <w:sz w:val="24"/>
          <w:szCs w:val="24"/>
          <w:lang w:val="es-PE"/>
        </w:rPr>
        <w:t>Maccan</w:t>
      </w:r>
      <w:proofErr w:type="spellEnd"/>
      <w:r w:rsidRPr="00D248C5">
        <w:rPr>
          <w:rFonts w:ascii="Times New Roman" w:hAnsi="Times New Roman" w:cs="Times New Roman"/>
          <w:b/>
          <w:bCs/>
          <w:sz w:val="24"/>
          <w:szCs w:val="24"/>
          <w:lang w:val="es-PE"/>
        </w:rPr>
        <w:t xml:space="preserve"> - Vocal</w:t>
      </w:r>
    </w:p>
    <w:p w:rsidRPr="00D248C5"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D248C5">
        <w:rPr>
          <w:rFonts w:ascii="Times New Roman" w:hAnsi="Times New Roman" w:cs="Times New Roman"/>
          <w:b/>
          <w:bCs/>
          <w:sz w:val="24"/>
          <w:szCs w:val="24"/>
          <w:lang w:val="es-PE"/>
        </w:rPr>
        <w:t>Gonzalo Abad del Busto – Vocal</w:t>
      </w:r>
    </w:p>
    <w:p w:rsidRPr="0091323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913230"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913230" w:rsidR="00C671F5" w:rsidSect="00077B6F">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824EF" w:rsidP="00784355" w:rsidRDefault="005824EF" w14:paraId="15FCA88C" w14:textId="77777777">
      <w:pPr>
        <w:spacing w:after="0" w:line="240" w:lineRule="auto"/>
      </w:pPr>
      <w:r>
        <w:separator/>
      </w:r>
    </w:p>
  </w:endnote>
  <w:endnote w:type="continuationSeparator" w:id="0">
    <w:p w:rsidR="005824EF" w:rsidP="00784355" w:rsidRDefault="005824EF" w14:paraId="1D9124E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824EF" w:rsidP="00784355" w:rsidRDefault="005824EF" w14:paraId="1051E918" w14:textId="77777777">
      <w:pPr>
        <w:spacing w:after="0" w:line="240" w:lineRule="auto"/>
      </w:pPr>
      <w:r>
        <w:separator/>
      </w:r>
    </w:p>
  </w:footnote>
  <w:footnote w:type="continuationSeparator" w:id="0">
    <w:p w:rsidR="005824EF" w:rsidP="00784355" w:rsidRDefault="005824EF" w14:paraId="7BFE986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1"/>
  </w:num>
  <w:num w:numId="3" w16cid:durableId="760956054">
    <w:abstractNumId w:val="8"/>
  </w:num>
  <w:num w:numId="4" w16cid:durableId="1079518208">
    <w:abstractNumId w:val="7"/>
  </w:num>
  <w:num w:numId="5" w16cid:durableId="1198003566">
    <w:abstractNumId w:val="9"/>
  </w:num>
  <w:num w:numId="6" w16cid:durableId="1607540339">
    <w:abstractNumId w:val="0"/>
  </w:num>
  <w:num w:numId="7" w16cid:durableId="1490902120">
    <w:abstractNumId w:val="12"/>
  </w:num>
  <w:num w:numId="8" w16cid:durableId="615214413">
    <w:abstractNumId w:val="13"/>
  </w:num>
  <w:num w:numId="9" w16cid:durableId="1018119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DBD"/>
    <w:rsid w:val="000365E3"/>
    <w:rsid w:val="00041B86"/>
    <w:rsid w:val="0004480C"/>
    <w:rsid w:val="00050563"/>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9634E"/>
    <w:rsid w:val="000A5666"/>
    <w:rsid w:val="000A5CAA"/>
    <w:rsid w:val="000B19A0"/>
    <w:rsid w:val="000B58D8"/>
    <w:rsid w:val="000C0734"/>
    <w:rsid w:val="000C3D6F"/>
    <w:rsid w:val="000D7664"/>
    <w:rsid w:val="000F6340"/>
    <w:rsid w:val="0011308C"/>
    <w:rsid w:val="001230C6"/>
    <w:rsid w:val="001233F2"/>
    <w:rsid w:val="00125B9B"/>
    <w:rsid w:val="001320DF"/>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A00"/>
    <w:rsid w:val="00181DCE"/>
    <w:rsid w:val="00187BFD"/>
    <w:rsid w:val="001950B9"/>
    <w:rsid w:val="0019649B"/>
    <w:rsid w:val="001A008A"/>
    <w:rsid w:val="001A3395"/>
    <w:rsid w:val="001A44E1"/>
    <w:rsid w:val="001B1998"/>
    <w:rsid w:val="001B1E59"/>
    <w:rsid w:val="001B58A3"/>
    <w:rsid w:val="001D0EED"/>
    <w:rsid w:val="001D59D9"/>
    <w:rsid w:val="001D6136"/>
    <w:rsid w:val="001E119C"/>
    <w:rsid w:val="001E4337"/>
    <w:rsid w:val="001E5803"/>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31D3"/>
    <w:rsid w:val="002A481F"/>
    <w:rsid w:val="002A7E2E"/>
    <w:rsid w:val="002B726E"/>
    <w:rsid w:val="002C1B87"/>
    <w:rsid w:val="002C2A0F"/>
    <w:rsid w:val="002D0DB0"/>
    <w:rsid w:val="002D3B01"/>
    <w:rsid w:val="002E1221"/>
    <w:rsid w:val="002E17F9"/>
    <w:rsid w:val="002E72CC"/>
    <w:rsid w:val="002F09CA"/>
    <w:rsid w:val="002F35F0"/>
    <w:rsid w:val="002F376A"/>
    <w:rsid w:val="003045E3"/>
    <w:rsid w:val="0032132E"/>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3661"/>
    <w:rsid w:val="003A3F8C"/>
    <w:rsid w:val="003B348C"/>
    <w:rsid w:val="003B3A93"/>
    <w:rsid w:val="003B41F7"/>
    <w:rsid w:val="003B798E"/>
    <w:rsid w:val="003D09A9"/>
    <w:rsid w:val="003D4684"/>
    <w:rsid w:val="003D4687"/>
    <w:rsid w:val="003E0CC2"/>
    <w:rsid w:val="003E450C"/>
    <w:rsid w:val="003F0C97"/>
    <w:rsid w:val="003F1149"/>
    <w:rsid w:val="003F1B5F"/>
    <w:rsid w:val="003F3726"/>
    <w:rsid w:val="00403814"/>
    <w:rsid w:val="004049B9"/>
    <w:rsid w:val="00407045"/>
    <w:rsid w:val="00413C3F"/>
    <w:rsid w:val="00417E23"/>
    <w:rsid w:val="004201E5"/>
    <w:rsid w:val="00425F75"/>
    <w:rsid w:val="00434D9C"/>
    <w:rsid w:val="00440BC2"/>
    <w:rsid w:val="00444232"/>
    <w:rsid w:val="00460C30"/>
    <w:rsid w:val="00465FB9"/>
    <w:rsid w:val="00466302"/>
    <w:rsid w:val="0047370C"/>
    <w:rsid w:val="0047522D"/>
    <w:rsid w:val="00476BA1"/>
    <w:rsid w:val="00477C29"/>
    <w:rsid w:val="00490F9F"/>
    <w:rsid w:val="00496A1A"/>
    <w:rsid w:val="004A3E25"/>
    <w:rsid w:val="004B51ED"/>
    <w:rsid w:val="004C43FC"/>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818E3"/>
    <w:rsid w:val="005824EF"/>
    <w:rsid w:val="00582D26"/>
    <w:rsid w:val="0058358B"/>
    <w:rsid w:val="00583A87"/>
    <w:rsid w:val="00585D65"/>
    <w:rsid w:val="005948EF"/>
    <w:rsid w:val="00597430"/>
    <w:rsid w:val="005A0B70"/>
    <w:rsid w:val="005A5A2C"/>
    <w:rsid w:val="005A782D"/>
    <w:rsid w:val="005B22E6"/>
    <w:rsid w:val="005B2924"/>
    <w:rsid w:val="005B54CD"/>
    <w:rsid w:val="005C524E"/>
    <w:rsid w:val="005C5AB9"/>
    <w:rsid w:val="005D3E09"/>
    <w:rsid w:val="005D3E68"/>
    <w:rsid w:val="005E0EC2"/>
    <w:rsid w:val="005E2CBE"/>
    <w:rsid w:val="005E4870"/>
    <w:rsid w:val="005F4C97"/>
    <w:rsid w:val="00605902"/>
    <w:rsid w:val="00606105"/>
    <w:rsid w:val="00613A39"/>
    <w:rsid w:val="00622ABC"/>
    <w:rsid w:val="00623204"/>
    <w:rsid w:val="00624034"/>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9304A"/>
    <w:rsid w:val="00697D6C"/>
    <w:rsid w:val="006B5CAE"/>
    <w:rsid w:val="006C1A65"/>
    <w:rsid w:val="006C29A7"/>
    <w:rsid w:val="006C6261"/>
    <w:rsid w:val="006D2BA9"/>
    <w:rsid w:val="006D397E"/>
    <w:rsid w:val="006E2366"/>
    <w:rsid w:val="006E4547"/>
    <w:rsid w:val="006E5783"/>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80A"/>
    <w:rsid w:val="00724C9A"/>
    <w:rsid w:val="007261FD"/>
    <w:rsid w:val="00726BD2"/>
    <w:rsid w:val="007300C4"/>
    <w:rsid w:val="007434BA"/>
    <w:rsid w:val="00744447"/>
    <w:rsid w:val="00754DAC"/>
    <w:rsid w:val="00757955"/>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5917"/>
    <w:rsid w:val="007F0419"/>
    <w:rsid w:val="007F14C0"/>
    <w:rsid w:val="007F6BA4"/>
    <w:rsid w:val="007F74F1"/>
    <w:rsid w:val="008010D0"/>
    <w:rsid w:val="008020A1"/>
    <w:rsid w:val="00811120"/>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F40"/>
    <w:rsid w:val="00883121"/>
    <w:rsid w:val="0088392F"/>
    <w:rsid w:val="00884426"/>
    <w:rsid w:val="00886D60"/>
    <w:rsid w:val="00887814"/>
    <w:rsid w:val="008916FF"/>
    <w:rsid w:val="00891DB3"/>
    <w:rsid w:val="00895A85"/>
    <w:rsid w:val="008A1D12"/>
    <w:rsid w:val="008A3A47"/>
    <w:rsid w:val="008D270F"/>
    <w:rsid w:val="008D6AFE"/>
    <w:rsid w:val="008D6DDF"/>
    <w:rsid w:val="008F1161"/>
    <w:rsid w:val="008F479E"/>
    <w:rsid w:val="008F708B"/>
    <w:rsid w:val="008F7C83"/>
    <w:rsid w:val="009011F1"/>
    <w:rsid w:val="00905938"/>
    <w:rsid w:val="009127A6"/>
    <w:rsid w:val="00913230"/>
    <w:rsid w:val="0091528B"/>
    <w:rsid w:val="009157B1"/>
    <w:rsid w:val="00917CAF"/>
    <w:rsid w:val="009225DD"/>
    <w:rsid w:val="009272D7"/>
    <w:rsid w:val="00933532"/>
    <w:rsid w:val="00943343"/>
    <w:rsid w:val="00943DA4"/>
    <w:rsid w:val="00946694"/>
    <w:rsid w:val="00951B99"/>
    <w:rsid w:val="00955C03"/>
    <w:rsid w:val="00964237"/>
    <w:rsid w:val="0096555B"/>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1B9"/>
    <w:rsid w:val="009C6404"/>
    <w:rsid w:val="009D3B98"/>
    <w:rsid w:val="009D6055"/>
    <w:rsid w:val="009E0A09"/>
    <w:rsid w:val="009E5F11"/>
    <w:rsid w:val="009E7994"/>
    <w:rsid w:val="009F143B"/>
    <w:rsid w:val="009F2EEB"/>
    <w:rsid w:val="009F3B93"/>
    <w:rsid w:val="00A02270"/>
    <w:rsid w:val="00A0362B"/>
    <w:rsid w:val="00A04A06"/>
    <w:rsid w:val="00A077D2"/>
    <w:rsid w:val="00A16942"/>
    <w:rsid w:val="00A17A72"/>
    <w:rsid w:val="00A244A1"/>
    <w:rsid w:val="00A25F51"/>
    <w:rsid w:val="00A30393"/>
    <w:rsid w:val="00A32246"/>
    <w:rsid w:val="00A328C0"/>
    <w:rsid w:val="00A3714C"/>
    <w:rsid w:val="00A427D6"/>
    <w:rsid w:val="00A446D0"/>
    <w:rsid w:val="00A44E53"/>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4125"/>
    <w:rsid w:val="00AF5E87"/>
    <w:rsid w:val="00B00552"/>
    <w:rsid w:val="00B01C3A"/>
    <w:rsid w:val="00B02BEE"/>
    <w:rsid w:val="00B10F71"/>
    <w:rsid w:val="00B11C1C"/>
    <w:rsid w:val="00B17BD8"/>
    <w:rsid w:val="00B30B53"/>
    <w:rsid w:val="00B313E9"/>
    <w:rsid w:val="00B32325"/>
    <w:rsid w:val="00B340A4"/>
    <w:rsid w:val="00B45C2D"/>
    <w:rsid w:val="00B56649"/>
    <w:rsid w:val="00B618FF"/>
    <w:rsid w:val="00B625F2"/>
    <w:rsid w:val="00B663DC"/>
    <w:rsid w:val="00B710D8"/>
    <w:rsid w:val="00B73629"/>
    <w:rsid w:val="00B7466E"/>
    <w:rsid w:val="00B779BD"/>
    <w:rsid w:val="00B8021E"/>
    <w:rsid w:val="00B8028F"/>
    <w:rsid w:val="00B8087B"/>
    <w:rsid w:val="00B833BE"/>
    <w:rsid w:val="00B87B08"/>
    <w:rsid w:val="00B928FB"/>
    <w:rsid w:val="00B93C7A"/>
    <w:rsid w:val="00B956C4"/>
    <w:rsid w:val="00BA0192"/>
    <w:rsid w:val="00BB2152"/>
    <w:rsid w:val="00BB2BE0"/>
    <w:rsid w:val="00BB405B"/>
    <w:rsid w:val="00BB40EE"/>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55D6"/>
    <w:rsid w:val="00CF78D3"/>
    <w:rsid w:val="00D01EFF"/>
    <w:rsid w:val="00D10B27"/>
    <w:rsid w:val="00D12CFF"/>
    <w:rsid w:val="00D156AF"/>
    <w:rsid w:val="00D16367"/>
    <w:rsid w:val="00D2092C"/>
    <w:rsid w:val="00D22DC3"/>
    <w:rsid w:val="00D248C5"/>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C4A"/>
    <w:rsid w:val="00E107CA"/>
    <w:rsid w:val="00E1216B"/>
    <w:rsid w:val="00E1477F"/>
    <w:rsid w:val="00E16C63"/>
    <w:rsid w:val="00E20C5F"/>
    <w:rsid w:val="00E25348"/>
    <w:rsid w:val="00E25D54"/>
    <w:rsid w:val="00E30E76"/>
    <w:rsid w:val="00E341F5"/>
    <w:rsid w:val="00E37E67"/>
    <w:rsid w:val="00E43D94"/>
    <w:rsid w:val="00E531B9"/>
    <w:rsid w:val="00E53BC5"/>
    <w:rsid w:val="00E57869"/>
    <w:rsid w:val="00E61DBC"/>
    <w:rsid w:val="00E63B37"/>
    <w:rsid w:val="00E64057"/>
    <w:rsid w:val="00E66AFF"/>
    <w:rsid w:val="00E6771C"/>
    <w:rsid w:val="00E70381"/>
    <w:rsid w:val="00E70F8F"/>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E38F0"/>
    <w:rsid w:val="00FE43A9"/>
    <w:rsid w:val="00FF03CE"/>
    <w:rsid w:val="00FF41F3"/>
    <w:rsid w:val="07FD73A7"/>
    <w:rsid w:val="192C7F5E"/>
    <w:rsid w:val="2337EB45"/>
    <w:rsid w:val="2A6483E3"/>
    <w:rsid w:val="2AF0AFE8"/>
    <w:rsid w:val="2B1966FE"/>
    <w:rsid w:val="2DB5E122"/>
    <w:rsid w:val="34F18429"/>
    <w:rsid w:val="35512A4A"/>
    <w:rsid w:val="62273B1D"/>
    <w:rsid w:val="63C3D0CC"/>
    <w:rsid w:val="7AC2A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6B68952-C519-4692-A451-7A149CEDD974}"/>
</file>

<file path=customXml/itemProps3.xml><?xml version="1.0" encoding="utf-8"?>
<ds:datastoreItem xmlns:ds="http://schemas.openxmlformats.org/officeDocument/2006/customXml" ds:itemID="{7FFDE2A7-FBA3-4B55-9C6C-934A7497BEBE}"/>
</file>

<file path=customXml/itemProps4.xml><?xml version="1.0" encoding="utf-8"?>
<ds:datastoreItem xmlns:ds="http://schemas.openxmlformats.org/officeDocument/2006/customXml" ds:itemID="{15D76458-5122-4E75-903F-7579130DAB2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122</cp:revision>
  <cp:lastPrinted>2022-06-08T21:28:00Z</cp:lastPrinted>
  <dcterms:created xsi:type="dcterms:W3CDTF">2020-12-18T20:17:00Z</dcterms:created>
  <dcterms:modified xsi:type="dcterms:W3CDTF">2025-11-26T21:22:28Z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