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8C5" w:rsidR="00B10F71" w:rsidP="00041B86" w:rsidRDefault="00201C0D" w14:paraId="51974F0B" w14:textId="18E356DF">
      <w:pPr>
        <w:spacing w:after="0" w:line="240" w:lineRule="auto"/>
        <w:jc w:val="center"/>
        <w:rPr>
          <w:rFonts w:ascii="Times New Roman" w:hAnsi="Times New Roman" w:cs="Times New Roman"/>
          <w:b/>
          <w:sz w:val="24"/>
          <w:szCs w:val="24"/>
          <w:lang w:val="es-PE" w:eastAsia="ar-SA"/>
        </w:rPr>
      </w:pPr>
      <w:r w:rsidRPr="00D248C5">
        <w:rPr>
          <w:rFonts w:ascii="Times New Roman" w:hAnsi="Times New Roman" w:cs="Times New Roman"/>
          <w:b/>
          <w:sz w:val="24"/>
          <w:szCs w:val="24"/>
          <w:lang w:val="es-PE" w:eastAsia="ar-SA"/>
        </w:rPr>
        <w:t xml:space="preserve">RESOLUCIÓN DE RECURSO IMPUGNATIVO </w:t>
      </w:r>
      <w:proofErr w:type="spellStart"/>
      <w:r w:rsidRPr="00D248C5" w:rsidR="00707C99">
        <w:rPr>
          <w:rFonts w:ascii="Times New Roman" w:hAnsi="Times New Roman" w:cs="Times New Roman"/>
          <w:b/>
          <w:sz w:val="24"/>
          <w:szCs w:val="24"/>
          <w:lang w:val="es-PE" w:eastAsia="ar-SA"/>
        </w:rPr>
        <w:t>N°</w:t>
      </w:r>
      <w:proofErr w:type="spellEnd"/>
      <w:r w:rsidRPr="00D248C5" w:rsidR="00707C99">
        <w:rPr>
          <w:rFonts w:ascii="Times New Roman" w:hAnsi="Times New Roman" w:cs="Times New Roman"/>
          <w:b/>
          <w:sz w:val="24"/>
          <w:szCs w:val="24"/>
          <w:lang w:val="es-PE" w:eastAsia="ar-SA"/>
        </w:rPr>
        <w:t xml:space="preserve"> </w:t>
      </w:r>
      <w:r w:rsidRPr="00D248C5" w:rsidR="00C671F5">
        <w:rPr>
          <w:rFonts w:ascii="Times New Roman" w:hAnsi="Times New Roman" w:cs="Times New Roman"/>
          <w:b/>
          <w:sz w:val="24"/>
          <w:szCs w:val="24"/>
          <w:lang w:val="es-PE" w:eastAsia="ar-SA"/>
        </w:rPr>
        <w:t>0</w:t>
      </w:r>
      <w:r w:rsidRPr="00D248C5" w:rsidR="009F3B93">
        <w:rPr>
          <w:rFonts w:ascii="Times New Roman" w:hAnsi="Times New Roman" w:cs="Times New Roman"/>
          <w:b/>
          <w:sz w:val="24"/>
          <w:szCs w:val="24"/>
          <w:lang w:val="es-PE" w:eastAsia="ar-SA"/>
        </w:rPr>
        <w:t>3</w:t>
      </w:r>
      <w:r w:rsidR="00907E44">
        <w:rPr>
          <w:rFonts w:ascii="Times New Roman" w:hAnsi="Times New Roman" w:cs="Times New Roman"/>
          <w:b/>
          <w:sz w:val="24"/>
          <w:szCs w:val="24"/>
          <w:lang w:val="es-PE" w:eastAsia="ar-SA"/>
        </w:rPr>
        <w:t>6</w:t>
      </w:r>
      <w:r w:rsidRPr="00D248C5" w:rsidR="00C671F5">
        <w:rPr>
          <w:rFonts w:ascii="Times New Roman" w:hAnsi="Times New Roman" w:cs="Times New Roman"/>
          <w:b/>
          <w:sz w:val="24"/>
          <w:szCs w:val="24"/>
          <w:lang w:val="es-PE" w:eastAsia="ar-SA"/>
        </w:rPr>
        <w:t>/2</w:t>
      </w:r>
      <w:r w:rsidRPr="00D248C5" w:rsidR="00B93C7A">
        <w:rPr>
          <w:rFonts w:ascii="Times New Roman" w:hAnsi="Times New Roman" w:cs="Times New Roman"/>
          <w:b/>
          <w:sz w:val="24"/>
          <w:szCs w:val="24"/>
          <w:lang w:val="es-PE" w:eastAsia="ar-SA"/>
        </w:rPr>
        <w:t>2</w:t>
      </w:r>
    </w:p>
    <w:p w:rsidR="00572D92" w:rsidP="00572D92" w:rsidRDefault="00572D92" w14:paraId="2443FBEC" w14:textId="77777777">
      <w:pPr>
        <w:spacing w:after="0" w:line="240" w:lineRule="auto"/>
        <w:rPr>
          <w:rFonts w:ascii="Times New Roman" w:hAnsi="Times New Roman" w:cs="Times New Roman"/>
          <w:sz w:val="24"/>
          <w:szCs w:val="24"/>
        </w:rPr>
      </w:pPr>
    </w:p>
    <w:p w:rsidRPr="00572D92" w:rsidR="00572D92" w:rsidP="00572D92" w:rsidRDefault="00572D92" w14:paraId="5F244262" w14:textId="77777777">
      <w:pPr>
        <w:spacing w:after="0" w:line="240" w:lineRule="auto"/>
        <w:jc w:val="both"/>
        <w:rPr>
          <w:rFonts w:ascii="Times New Roman" w:hAnsi="Times New Roman" w:cs="Times New Roman"/>
          <w:sz w:val="24"/>
          <w:szCs w:val="24"/>
          <w:lang w:val="es-PE"/>
        </w:rPr>
      </w:pPr>
      <w:r w:rsidRPr="00572D92">
        <w:rPr>
          <w:rFonts w:ascii="Times New Roman" w:hAnsi="Times New Roman" w:cs="Times New Roman"/>
          <w:b/>
          <w:sz w:val="24"/>
          <w:szCs w:val="24"/>
          <w:lang w:val="es-PE"/>
        </w:rPr>
        <w:t xml:space="preserve">Vistos: </w:t>
      </w:r>
    </w:p>
    <w:p w:rsidRPr="00572D92" w:rsidR="00572D92" w:rsidP="00572D92" w:rsidRDefault="00572D92" w14:paraId="0D13858B" w14:textId="77777777">
      <w:pPr>
        <w:spacing w:after="0" w:line="240" w:lineRule="auto"/>
        <w:jc w:val="both"/>
        <w:rPr>
          <w:rFonts w:ascii="Times New Roman" w:hAnsi="Times New Roman" w:cs="Times New Roman"/>
          <w:sz w:val="24"/>
          <w:szCs w:val="24"/>
          <w:lang w:val="es-PE"/>
        </w:rPr>
      </w:pPr>
    </w:p>
    <w:p w:rsidRPr="00572D92" w:rsidR="00572D92" w:rsidP="00572D92" w:rsidRDefault="00572D92" w14:paraId="40F6D41A" w14:textId="57144512">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El Recurso Impugnativo presentado el 17 de mayo de 2022 por </w:t>
      </w:r>
      <w:r w:rsidRPr="2C3C1052" w:rsidR="0C25188B">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respecto de la Resolución </w:t>
      </w:r>
      <w:r w:rsidRPr="2C3C1052" w:rsidR="00572D92">
        <w:rPr>
          <w:rFonts w:ascii="Times New Roman" w:hAnsi="Times New Roman" w:cs="Times New Roman"/>
          <w:sz w:val="24"/>
          <w:szCs w:val="24"/>
          <w:lang w:val="es-PE"/>
        </w:rPr>
        <w:t>N°</w:t>
      </w:r>
      <w:r w:rsidRPr="2C3C1052" w:rsidR="00572D92">
        <w:rPr>
          <w:rFonts w:ascii="Times New Roman" w:hAnsi="Times New Roman" w:cs="Times New Roman"/>
          <w:sz w:val="24"/>
          <w:szCs w:val="24"/>
          <w:lang w:val="es-PE"/>
        </w:rPr>
        <w:t xml:space="preserve"> </w:t>
      </w:r>
      <w:r w:rsidRPr="2C3C1052" w:rsidR="68ED1FA7">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emitida el 09 de mayo de 2022 por esta Defensoría del Asegurado (DEFASEG) que declaró INFUNDADA la reclamación interpuesta, sobre la cobertura del siniestro ocurrido al vehículo asegurado.</w:t>
      </w:r>
    </w:p>
    <w:p w:rsidRPr="00572D92" w:rsidR="00572D92" w:rsidP="00572D92" w:rsidRDefault="00572D92" w14:paraId="5833C289" w14:textId="4B41FA7C">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Que el señalado Recurso Impugnativo se fundamenta resumidamente en lo siguiente: 1) Que, </w:t>
      </w:r>
      <w:r w:rsidRPr="2C3C1052" w:rsidR="00572D92">
        <w:rPr>
          <w:rFonts w:ascii="Times New Roman" w:hAnsi="Times New Roman" w:cs="Times New Roman"/>
          <w:sz w:val="24"/>
          <w:szCs w:val="24"/>
          <w:lang w:val="es-PE"/>
        </w:rPr>
        <w:t>de acuerdo a</w:t>
      </w:r>
      <w:r w:rsidRPr="2C3C1052" w:rsidR="00572D92">
        <w:rPr>
          <w:rFonts w:ascii="Times New Roman" w:hAnsi="Times New Roman" w:cs="Times New Roman"/>
          <w:sz w:val="24"/>
          <w:szCs w:val="24"/>
          <w:lang w:val="es-PE"/>
        </w:rPr>
        <w:t xml:space="preserve"> la condición especial de la póliza que indica que el vehículo asegurado debe pasar efectiva y satisfactoriamente la inspección, se entiende que la razón por la cual se hace una </w:t>
      </w:r>
      <w:r w:rsidRPr="2C3C1052" w:rsidR="00572D92">
        <w:rPr>
          <w:rFonts w:ascii="Times New Roman" w:hAnsi="Times New Roman" w:cs="Times New Roman"/>
          <w:sz w:val="24"/>
          <w:szCs w:val="24"/>
          <w:lang w:val="es-PE"/>
        </w:rPr>
        <w:t>inspección,</w:t>
      </w:r>
      <w:r w:rsidRPr="2C3C1052" w:rsidR="00572D92">
        <w:rPr>
          <w:rFonts w:ascii="Times New Roman" w:hAnsi="Times New Roman" w:cs="Times New Roman"/>
          <w:sz w:val="24"/>
          <w:szCs w:val="24"/>
          <w:lang w:val="es-PE"/>
        </w:rPr>
        <w:t xml:space="preserve"> es para corroborar del bien materia del seguro y el buen estado y conservación que estén acordes con la suma asegurada del vehículo asegurado al inicio de la vigencia de la póliza. 2) Que, el seguro fue tomado con la máxima buena fe, tal como se esboza en la Ley 29946, Ley de Contrato de Seguro; en tal sentido la inspección no es </w:t>
      </w:r>
      <w:r w:rsidRPr="2C3C1052" w:rsidR="00572D92">
        <w:rPr>
          <w:rFonts w:ascii="Times New Roman" w:hAnsi="Times New Roman" w:cs="Times New Roman"/>
          <w:sz w:val="24"/>
          <w:szCs w:val="24"/>
          <w:lang w:val="es-PE"/>
        </w:rPr>
        <w:t>mas</w:t>
      </w:r>
      <w:r w:rsidRPr="2C3C1052" w:rsidR="00572D92">
        <w:rPr>
          <w:rFonts w:ascii="Times New Roman" w:hAnsi="Times New Roman" w:cs="Times New Roman"/>
          <w:sz w:val="24"/>
          <w:szCs w:val="24"/>
          <w:lang w:val="es-PE"/>
        </w:rPr>
        <w:t xml:space="preserve"> que la corroboración efectiva y satisfactoria de la existencia y del estado del vehículo, de tal manera que no exista duda sobre el bien que se pretende asegurar. 3) Que el vehículo fue comprado y cancelado a la empresa </w:t>
      </w:r>
      <w:r w:rsidRPr="2C3C1052" w:rsidR="094B2B68">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emitiendo la empresa una boleta por la cancelación; que el asegurado adjunta al presente diferentes fotos del vehículo que evidencian el estado </w:t>
      </w:r>
      <w:r w:rsidRPr="2C3C1052" w:rsidR="00572D92">
        <w:rPr>
          <w:rFonts w:ascii="Times New Roman" w:hAnsi="Times New Roman" w:cs="Times New Roman"/>
          <w:sz w:val="24"/>
          <w:szCs w:val="24"/>
          <w:lang w:val="es-PE"/>
        </w:rPr>
        <w:t>del mismo</w:t>
      </w:r>
      <w:r w:rsidRPr="2C3C1052" w:rsidR="00572D92">
        <w:rPr>
          <w:rFonts w:ascii="Times New Roman" w:hAnsi="Times New Roman" w:cs="Times New Roman"/>
          <w:sz w:val="24"/>
          <w:szCs w:val="24"/>
          <w:lang w:val="es-PE"/>
        </w:rPr>
        <w:t xml:space="preserve">. Que, la vigencia del seguro se inicia el 20 de octubre de 2021 y ese día recibió la póliza; siguiendo el cronograma de hechos, </w:t>
      </w:r>
      <w:r w:rsidRPr="2C3C1052" w:rsidR="22CFD33C">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el mismo 20 de octubre envía su primera comunicación en la cual indica lo siguiente:</w:t>
      </w:r>
    </w:p>
    <w:p w:rsidRPr="00572D92" w:rsidR="00572D92" w:rsidP="00572D92" w:rsidRDefault="00572D92" w14:paraId="54BADA7C" w14:textId="63974240">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“Hola </w:t>
      </w:r>
      <w:r w:rsidRPr="2C3C1052" w:rsidR="42F5CBD9">
        <w:rPr>
          <w:rFonts w:ascii="Times New Roman" w:hAnsi="Times New Roman" w:cs="Times New Roman"/>
          <w:sz w:val="24"/>
          <w:szCs w:val="24"/>
          <w:lang w:val="es-PE"/>
        </w:rPr>
        <w:t>...............................</w:t>
      </w:r>
    </w:p>
    <w:p w:rsidRPr="00572D92" w:rsidR="00572D92" w:rsidP="00572D92" w:rsidRDefault="00572D92" w14:paraId="1F5CA349" w14:textId="216274D0">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Para culminar el proceso de compra de tu seguro de auto, necesitamos que realices la inspección vehicular de tu auto MITSUBISHI ASX 2WD 2.0 GLS CVT, de placa </w:t>
      </w:r>
      <w:r w:rsidRPr="2C3C1052" w:rsidR="3911CD55">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del año 2014”</w:t>
      </w:r>
    </w:p>
    <w:p w:rsidRPr="00572D92" w:rsidR="00572D92" w:rsidP="00572D92" w:rsidRDefault="00572D92" w14:paraId="3FF0F200" w14:textId="413D64F6">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4) Que, el día 24 de octubre de 2021, a las 21 horas y 9 minutos, el asegurado fue víctima del robo de su camioneta, evidenciándose la existencia del vehículo por las cámaras de seguridad, video que fue entregado a la Fiscalía. Ante ello, la aseguradora no tiene </w:t>
      </w:r>
      <w:r w:rsidRPr="2C3C1052" w:rsidR="00572D92">
        <w:rPr>
          <w:rFonts w:ascii="Times New Roman" w:hAnsi="Times New Roman" w:cs="Times New Roman"/>
          <w:sz w:val="24"/>
          <w:szCs w:val="24"/>
          <w:lang w:val="es-PE"/>
        </w:rPr>
        <w:t>porque</w:t>
      </w:r>
      <w:r w:rsidRPr="2C3C1052" w:rsidR="00572D92">
        <w:rPr>
          <w:rFonts w:ascii="Times New Roman" w:hAnsi="Times New Roman" w:cs="Times New Roman"/>
          <w:sz w:val="24"/>
          <w:szCs w:val="24"/>
          <w:lang w:val="es-PE"/>
        </w:rPr>
        <w:t xml:space="preserve"> dudar de la existencia y estado de conservación del vehículo asegurado, puesto que fue adquirido días antes y, aplicando el principio de buena fe, honrar el contrato de seguro que refleja la credibilidad de los hechos y no buscar como pretexto, alguna razón contractual para no cubrir el siniestro, ignorando las evidencias reales que originaron la toma del seguro. 5) Que, según el procedimiento establecido en la Cláusula referida, se menciona que </w:t>
      </w:r>
      <w:r w:rsidRPr="2C3C1052" w:rsidR="22CFD33C">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coordinará mediante correo electrónico o vía telefónica, la fecha y lugar para realizar la inspección, con un preaviso de 3 días calendarios; se debe mencionar que los dos siguientes avisos fueron enviados con fechas 25 y 27 de </w:t>
      </w:r>
      <w:r w:rsidRPr="2C3C1052" w:rsidR="00572D92">
        <w:rPr>
          <w:rFonts w:ascii="Times New Roman" w:hAnsi="Times New Roman" w:cs="Times New Roman"/>
          <w:sz w:val="24"/>
          <w:szCs w:val="24"/>
          <w:lang w:val="es-PE"/>
        </w:rPr>
        <w:t>Octubre</w:t>
      </w:r>
      <w:r w:rsidRPr="2C3C1052" w:rsidR="00572D92">
        <w:rPr>
          <w:rFonts w:ascii="Times New Roman" w:hAnsi="Times New Roman" w:cs="Times New Roman"/>
          <w:sz w:val="24"/>
          <w:szCs w:val="24"/>
          <w:lang w:val="es-PE"/>
        </w:rPr>
        <w:t xml:space="preserve">, es decir, después de ocurrido el robo; añadir además que, en el segundo aviso, recién hacen mención que debe pasar inspección para que tenga cobertura de </w:t>
      </w:r>
      <w:r w:rsidRPr="2C3C1052" w:rsidR="00572D92">
        <w:rPr>
          <w:rFonts w:ascii="Times New Roman" w:hAnsi="Times New Roman" w:cs="Times New Roman"/>
          <w:sz w:val="24"/>
          <w:szCs w:val="24"/>
          <w:lang w:val="es-PE"/>
        </w:rPr>
        <w:t>pérdida total y robo total</w:t>
      </w:r>
      <w:r w:rsidRPr="2C3C1052" w:rsidR="00572D92">
        <w:rPr>
          <w:rFonts w:ascii="Times New Roman" w:hAnsi="Times New Roman" w:cs="Times New Roman"/>
          <w:sz w:val="24"/>
          <w:szCs w:val="24"/>
          <w:lang w:val="es-PE"/>
        </w:rPr>
        <w:t xml:space="preserve">, indicación que no aparece en el primer correo. 6) Que, el Contrato de </w:t>
      </w:r>
      <w:r w:rsidRPr="2C3C1052" w:rsidR="438F6D89">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indica que “Los términos del contrato que generen ambigüedad o dudas son interpretados en el sentido y con el alcance más favorable al asegurado”.</w:t>
      </w:r>
    </w:p>
    <w:p w:rsidRPr="00572D92" w:rsidR="00572D92" w:rsidP="00572D92" w:rsidRDefault="00572D92" w14:paraId="1980B29C" w14:textId="4D12E21F">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Que, habiéndose corrido traslado a </w:t>
      </w:r>
      <w:r w:rsidRPr="2C3C1052" w:rsidR="22CFD33C">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w:t>
      </w:r>
      <w:r w:rsidRPr="2C3C1052" w:rsidR="438F6D89">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del referido Recurso impugnatorio, la aseguradora con fecha 30 de mayo de 2022, expresa lo siguiente: 1) Que, con respecto a que la inspección vehicular no habría sido necesaria para otorgar la cobertura reclamada, cabe precisar que la inspección es un requisito indispensable para la contratación del seguro vehicular, toda vez que en esta se chequea su estado general, originalidad del sistema de identificación, </w:t>
      </w:r>
      <w:r w:rsidRPr="2C3C1052" w:rsidR="00572D92">
        <w:rPr>
          <w:rFonts w:ascii="Times New Roman" w:hAnsi="Times New Roman" w:cs="Times New Roman"/>
          <w:sz w:val="24"/>
          <w:szCs w:val="24"/>
          <w:lang w:val="es-PE"/>
        </w:rPr>
        <w:t>correspondencia de lo mismo con características descritas en la matricula, registro en el organismo de tránsito  e información adicional que garanticen el estado general del automóvil; así mismo, el kilometraje, estado de las puertas, faros, pintura, parachoques, y todas las características exteriores como las interiores, 2) Que, como se puede apreciar la inspección del vehículo es fundamental para la contratación del seguro, por lo que el argumento del asegurado en este sentido no resiste el mayor análisis. Que, así mismo, el día de la contratación del seguro, (20 de octubre de 2021), la aseguradora cumplió con entregar la póliza al asegurado, siendo que en esta se estipulaba la condición especial de que la inspección vehicular CONDICIONABA la cobertura de robo total, por lo que está acreditado que esta información fue comunicada al asegurado de manera oportuna.</w:t>
      </w:r>
    </w:p>
    <w:p w:rsidRPr="00572D92" w:rsidR="00572D92" w:rsidP="00572D92" w:rsidRDefault="00572D92" w14:paraId="7950BE85" w14:textId="77777777">
      <w:pPr>
        <w:spacing w:line="240" w:lineRule="auto"/>
        <w:jc w:val="both"/>
        <w:rPr>
          <w:rFonts w:ascii="Times New Roman" w:hAnsi="Times New Roman" w:cs="Times New Roman"/>
          <w:sz w:val="24"/>
          <w:szCs w:val="24"/>
          <w:lang w:val="es-PE"/>
        </w:rPr>
      </w:pPr>
      <w:r w:rsidRPr="00572D92">
        <w:rPr>
          <w:rFonts w:ascii="Times New Roman" w:hAnsi="Times New Roman" w:cs="Times New Roman"/>
          <w:sz w:val="24"/>
          <w:szCs w:val="24"/>
          <w:lang w:val="es-PE"/>
        </w:rPr>
        <w:t>Que, atendiendo a lo expuesto, esta Defensoría resuelve finalmente lo siguiente:</w:t>
      </w:r>
    </w:p>
    <w:p w:rsidRPr="00572D92" w:rsidR="00572D92" w:rsidP="00572D92" w:rsidRDefault="00572D92" w14:paraId="29A9E8D5" w14:textId="655906B4">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b w:val="1"/>
          <w:bCs w:val="1"/>
          <w:sz w:val="24"/>
          <w:szCs w:val="24"/>
          <w:lang w:val="es-PE"/>
        </w:rPr>
        <w:t>PRIMERO:</w:t>
      </w:r>
      <w:r w:rsidRPr="2C3C1052" w:rsidR="00572D92">
        <w:rPr>
          <w:rFonts w:ascii="Times New Roman" w:hAnsi="Times New Roman" w:cs="Times New Roman"/>
          <w:sz w:val="24"/>
          <w:szCs w:val="24"/>
          <w:lang w:val="es-PE"/>
        </w:rPr>
        <w:t xml:space="preserve"> Que el artículo 10 (Procedimiento) del Reglamento de la DEFASEG (</w:t>
      </w:r>
      <w:hyperlink r:id="R2fcfeffd27bf4f6a">
        <w:r w:rsidRPr="2C3C1052" w:rsidR="00572D92">
          <w:rPr>
            <w:rStyle w:val="Hipervnculo"/>
            <w:rFonts w:ascii="Times New Roman" w:hAnsi="Times New Roman" w:cs="Times New Roman"/>
            <w:sz w:val="24"/>
            <w:szCs w:val="24"/>
            <w:lang w:val="es-PE"/>
          </w:rPr>
          <w:t>http://www.defaseg.com.pe/reglamento</w:t>
        </w:r>
      </w:hyperlink>
      <w:r w:rsidRPr="2C3C1052" w:rsidR="00572D92">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2C3C1052" w:rsidR="3728386B">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572D92" w:rsidR="00572D92" w:rsidP="00572D92" w:rsidRDefault="00572D92" w14:paraId="7655F83C" w14:textId="77777777">
      <w:pPr>
        <w:spacing w:line="240" w:lineRule="auto"/>
        <w:jc w:val="both"/>
        <w:rPr>
          <w:rFonts w:ascii="Times New Roman" w:hAnsi="Times New Roman" w:cs="Times New Roman"/>
          <w:sz w:val="24"/>
          <w:szCs w:val="24"/>
          <w:lang w:val="es-PE"/>
        </w:rPr>
      </w:pPr>
      <w:r w:rsidRPr="00572D92">
        <w:rPr>
          <w:rFonts w:ascii="Times New Roman" w:hAnsi="Times New Roman" w:cs="Times New Roman"/>
          <w:b/>
          <w:sz w:val="24"/>
          <w:szCs w:val="24"/>
          <w:lang w:val="es-PE"/>
        </w:rPr>
        <w:t>SEGUNDO:</w:t>
      </w:r>
      <w:r w:rsidRPr="00572D92">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572D92" w:rsidR="00572D92" w:rsidP="00572D92" w:rsidRDefault="00572D92" w14:paraId="5B21133A" w14:textId="77777777">
      <w:pPr>
        <w:spacing w:line="240" w:lineRule="auto"/>
        <w:jc w:val="both"/>
        <w:rPr>
          <w:rFonts w:ascii="Times New Roman" w:hAnsi="Times New Roman" w:cs="Times New Roman"/>
          <w:sz w:val="24"/>
          <w:szCs w:val="24"/>
          <w:lang w:val="es-PE"/>
        </w:rPr>
      </w:pPr>
      <w:r w:rsidRPr="00572D92">
        <w:rPr>
          <w:rFonts w:ascii="Times New Roman" w:hAnsi="Times New Roman" w:cs="Times New Roman"/>
          <w:sz w:val="24"/>
          <w:szCs w:val="24"/>
          <w:lang w:val="es-PE"/>
        </w:rPr>
        <w:t>Por consiguiente, este colegiado reitera su análisis contenido en la resolución recurrida.</w:t>
      </w:r>
    </w:p>
    <w:p w:rsidRPr="00572D92" w:rsidR="00572D92" w:rsidP="00572D92" w:rsidRDefault="00572D92" w14:paraId="1EEB749C" w14:textId="77777777">
      <w:pPr>
        <w:spacing w:line="240" w:lineRule="auto"/>
        <w:jc w:val="both"/>
        <w:rPr>
          <w:rFonts w:ascii="Times New Roman" w:hAnsi="Times New Roman" w:cs="Times New Roman"/>
          <w:sz w:val="24"/>
          <w:szCs w:val="24"/>
          <w:lang w:val="es-PE"/>
        </w:rPr>
      </w:pPr>
      <w:r w:rsidRPr="00572D92">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572D92" w:rsidR="00572D92" w:rsidP="00572D92" w:rsidRDefault="00572D92" w14:paraId="49E544A9" w14:textId="77777777">
      <w:pPr>
        <w:spacing w:line="240" w:lineRule="auto"/>
        <w:jc w:val="both"/>
        <w:rPr>
          <w:rFonts w:ascii="Times New Roman" w:hAnsi="Times New Roman" w:cs="Times New Roman"/>
          <w:b/>
          <w:sz w:val="24"/>
          <w:szCs w:val="24"/>
          <w:lang w:val="es-PE"/>
        </w:rPr>
      </w:pPr>
      <w:r w:rsidRPr="00572D92">
        <w:rPr>
          <w:rFonts w:ascii="Times New Roman" w:hAnsi="Times New Roman" w:cs="Times New Roman"/>
          <w:b/>
          <w:sz w:val="24"/>
          <w:szCs w:val="24"/>
          <w:lang w:val="es-PE"/>
        </w:rPr>
        <w:t xml:space="preserve">RESUELVE: </w:t>
      </w:r>
    </w:p>
    <w:p w:rsidRPr="00572D92" w:rsidR="00572D92" w:rsidP="00572D92" w:rsidRDefault="00572D92" w14:paraId="7B87E5E0" w14:textId="0A7EF50D">
      <w:pPr>
        <w:spacing w:line="240" w:lineRule="auto"/>
        <w:jc w:val="both"/>
        <w:rPr>
          <w:rFonts w:ascii="Times New Roman" w:hAnsi="Times New Roman" w:cs="Times New Roman"/>
          <w:sz w:val="24"/>
          <w:szCs w:val="24"/>
          <w:lang w:val="es-PE"/>
        </w:rPr>
      </w:pPr>
      <w:r w:rsidRPr="2C3C1052" w:rsidR="00572D92">
        <w:rPr>
          <w:rFonts w:ascii="Times New Roman" w:hAnsi="Times New Roman" w:cs="Times New Roman"/>
          <w:sz w:val="24"/>
          <w:szCs w:val="24"/>
          <w:lang w:val="es-PE"/>
        </w:rPr>
        <w:t xml:space="preserve">Declarar </w:t>
      </w:r>
      <w:r w:rsidRPr="2C3C1052" w:rsidR="00572D92">
        <w:rPr>
          <w:rFonts w:ascii="Times New Roman" w:hAnsi="Times New Roman" w:cs="Times New Roman"/>
          <w:b w:val="1"/>
          <w:bCs w:val="1"/>
          <w:sz w:val="24"/>
          <w:szCs w:val="24"/>
          <w:lang w:val="es-PE"/>
        </w:rPr>
        <w:t>INFUNDADO</w:t>
      </w:r>
      <w:r w:rsidRPr="2C3C1052" w:rsidR="00572D92">
        <w:rPr>
          <w:rFonts w:ascii="Times New Roman" w:hAnsi="Times New Roman" w:cs="Times New Roman"/>
          <w:sz w:val="24"/>
          <w:szCs w:val="24"/>
          <w:lang w:val="es-PE"/>
        </w:rPr>
        <w:t xml:space="preserve"> el Recurso Impugnativo interpuesto y, por consiguiente, RATIFICAR la Resolución </w:t>
      </w:r>
      <w:r w:rsidRPr="2C3C1052" w:rsidR="00572D92">
        <w:rPr>
          <w:rFonts w:ascii="Times New Roman" w:hAnsi="Times New Roman" w:cs="Times New Roman"/>
          <w:sz w:val="24"/>
          <w:szCs w:val="24"/>
          <w:lang w:val="es-PE"/>
        </w:rPr>
        <w:t>N°</w:t>
      </w:r>
      <w:r w:rsidRPr="2C3C1052" w:rsidR="00572D92">
        <w:rPr>
          <w:rFonts w:ascii="Times New Roman" w:hAnsi="Times New Roman" w:cs="Times New Roman"/>
          <w:sz w:val="24"/>
          <w:szCs w:val="24"/>
          <w:lang w:val="es-PE"/>
        </w:rPr>
        <w:t xml:space="preserve"> </w:t>
      </w:r>
      <w:r w:rsidRPr="2C3C1052" w:rsidR="68ED1FA7">
        <w:rPr>
          <w:rFonts w:ascii="Times New Roman" w:hAnsi="Times New Roman" w:cs="Times New Roman"/>
          <w:sz w:val="24"/>
          <w:szCs w:val="24"/>
          <w:lang w:val="es-PE"/>
        </w:rPr>
        <w:t>...............</w:t>
      </w:r>
      <w:r w:rsidRPr="2C3C1052" w:rsidR="00572D92">
        <w:rPr>
          <w:rFonts w:ascii="Times New Roman" w:hAnsi="Times New Roman" w:cs="Times New Roman"/>
          <w:sz w:val="24"/>
          <w:szCs w:val="24"/>
          <w:lang w:val="es-PE"/>
        </w:rPr>
        <w:t xml:space="preserve"> que declaró INFUNDADA la reclamación interpuesta contra </w:t>
      </w:r>
      <w:r w:rsidRPr="2C3C1052" w:rsidR="22CFD33C">
        <w:rPr>
          <w:rFonts w:ascii="Times New Roman" w:hAnsi="Times New Roman" w:cs="Times New Roman"/>
          <w:b w:val="1"/>
          <w:bCs w:val="1"/>
          <w:sz w:val="24"/>
          <w:szCs w:val="24"/>
          <w:lang w:val="es-PE"/>
        </w:rPr>
        <w:t>................</w:t>
      </w:r>
      <w:r w:rsidRPr="2C3C1052" w:rsidR="00572D92">
        <w:rPr>
          <w:rFonts w:ascii="Times New Roman" w:hAnsi="Times New Roman" w:cs="Times New Roman"/>
          <w:b w:val="1"/>
          <w:bCs w:val="1"/>
          <w:sz w:val="24"/>
          <w:szCs w:val="24"/>
          <w:lang w:val="es-PE"/>
        </w:rPr>
        <w:t xml:space="preserve"> </w:t>
      </w:r>
      <w:r w:rsidRPr="2C3C1052" w:rsidR="438F6D89">
        <w:rPr>
          <w:rFonts w:ascii="Times New Roman" w:hAnsi="Times New Roman" w:cs="Times New Roman"/>
          <w:b w:val="1"/>
          <w:bCs w:val="1"/>
          <w:sz w:val="24"/>
          <w:szCs w:val="24"/>
          <w:lang w:val="es-PE"/>
        </w:rPr>
        <w:t>...................</w:t>
      </w:r>
      <w:r w:rsidRPr="2C3C1052" w:rsidR="00572D92">
        <w:rPr>
          <w:rFonts w:ascii="Times New Roman" w:hAnsi="Times New Roman" w:cs="Times New Roman"/>
          <w:sz w:val="24"/>
          <w:szCs w:val="24"/>
          <w:lang w:val="es-PE"/>
        </w:rPr>
        <w:t>, dejando a salvo el derecho de la reclamante de acudir a otras instancias que considere pertinentes.</w:t>
      </w:r>
    </w:p>
    <w:p w:rsidRPr="00D248C5"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D248C5" w:rsidR="00C173A8" w:rsidP="00C173A8" w:rsidRDefault="00C173A8" w14:paraId="0EB0711B" w14:textId="3F61B644">
      <w:pPr>
        <w:suppressAutoHyphens/>
        <w:spacing w:after="0" w:line="240" w:lineRule="auto"/>
        <w:jc w:val="right"/>
        <w:outlineLvl w:val="0"/>
        <w:rPr>
          <w:rFonts w:ascii="Times New Roman" w:hAnsi="Times New Roman" w:eastAsia="Arial Unicode MS" w:cs="Times New Roman"/>
          <w:sz w:val="24"/>
          <w:szCs w:val="24"/>
          <w:lang w:val="es-PE" w:eastAsia="ar-SA"/>
        </w:rPr>
      </w:pPr>
      <w:r w:rsidRPr="00D248C5">
        <w:rPr>
          <w:rFonts w:ascii="Times New Roman" w:hAnsi="Times New Roman" w:eastAsia="Arial Unicode MS" w:cs="Times New Roman"/>
          <w:sz w:val="24"/>
          <w:szCs w:val="24"/>
          <w:lang w:val="es-PE" w:eastAsia="ar-SA"/>
        </w:rPr>
        <w:t xml:space="preserve">Lima, </w:t>
      </w:r>
      <w:r w:rsidR="00907E44">
        <w:rPr>
          <w:rFonts w:ascii="Times New Roman" w:hAnsi="Times New Roman" w:eastAsia="Arial Unicode MS" w:cs="Times New Roman"/>
          <w:sz w:val="24"/>
          <w:szCs w:val="24"/>
          <w:lang w:val="es-PE" w:eastAsia="ar-SA"/>
        </w:rPr>
        <w:t>13</w:t>
      </w:r>
      <w:r w:rsidRPr="00D248C5">
        <w:rPr>
          <w:rFonts w:ascii="Times New Roman" w:hAnsi="Times New Roman" w:eastAsia="Arial Unicode MS" w:cs="Times New Roman"/>
          <w:sz w:val="24"/>
          <w:szCs w:val="24"/>
          <w:lang w:val="es-PE" w:eastAsia="ar-SA"/>
        </w:rPr>
        <w:t xml:space="preserve"> de </w:t>
      </w:r>
      <w:r w:rsidRPr="00D248C5" w:rsidR="006E5783">
        <w:rPr>
          <w:rFonts w:ascii="Times New Roman" w:hAnsi="Times New Roman" w:eastAsia="Arial Unicode MS" w:cs="Times New Roman"/>
          <w:sz w:val="24"/>
          <w:szCs w:val="24"/>
          <w:lang w:val="es-PE" w:eastAsia="ar-SA"/>
        </w:rPr>
        <w:t>junio</w:t>
      </w:r>
      <w:r w:rsidRPr="00D248C5">
        <w:rPr>
          <w:rFonts w:ascii="Times New Roman" w:hAnsi="Times New Roman" w:eastAsia="Arial Unicode MS" w:cs="Times New Roman"/>
          <w:sz w:val="24"/>
          <w:szCs w:val="24"/>
          <w:lang w:val="es-PE" w:eastAsia="ar-SA"/>
        </w:rPr>
        <w:t xml:space="preserve"> de 2022</w:t>
      </w:r>
      <w:r w:rsidRPr="00D248C5">
        <w:rPr>
          <w:rFonts w:ascii="Times New Roman" w:hAnsi="Times New Roman" w:eastAsia="Times New Roman" w:cs="Times New Roman"/>
          <w:sz w:val="24"/>
          <w:szCs w:val="24"/>
          <w:lang w:val="es-PE" w:eastAsia="ar-SA"/>
        </w:rPr>
        <w:t xml:space="preserve"> </w:t>
      </w:r>
    </w:p>
    <w:p w:rsidRPr="00D248C5"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D248C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248C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D248C5">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rsidRPr="00D248C5"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D248C5"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Marco Antonio Ortega Piana – </w:t>
      </w:r>
      <w:proofErr w:type="gramStart"/>
      <w:r w:rsidRPr="00D248C5">
        <w:rPr>
          <w:rFonts w:ascii="Times New Roman" w:hAnsi="Times New Roman" w:cs="Times New Roman"/>
          <w:b/>
          <w:bCs/>
          <w:sz w:val="24"/>
          <w:szCs w:val="24"/>
          <w:lang w:val="es-PE"/>
        </w:rPr>
        <w:t>Presidente</w:t>
      </w:r>
      <w:proofErr w:type="gramEnd"/>
    </w:p>
    <w:p w:rsidRPr="00D248C5"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María Eugenia Valdez Fernández Baca – </w:t>
      </w:r>
      <w:r w:rsidRPr="00D248C5" w:rsidR="001B1998">
        <w:rPr>
          <w:rFonts w:ascii="Times New Roman" w:hAnsi="Times New Roman" w:cs="Times New Roman"/>
          <w:b/>
          <w:bCs/>
          <w:sz w:val="24"/>
          <w:szCs w:val="24"/>
          <w:lang w:val="es-PE"/>
        </w:rPr>
        <w:t>Vocal</w:t>
      </w:r>
    </w:p>
    <w:p w:rsidRPr="00D248C5"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Rolando Eyzaguirre </w:t>
      </w:r>
      <w:proofErr w:type="spellStart"/>
      <w:r w:rsidRPr="00D248C5">
        <w:rPr>
          <w:rFonts w:ascii="Times New Roman" w:hAnsi="Times New Roman" w:cs="Times New Roman"/>
          <w:b/>
          <w:bCs/>
          <w:sz w:val="24"/>
          <w:szCs w:val="24"/>
          <w:lang w:val="es-PE"/>
        </w:rPr>
        <w:t>Maccan</w:t>
      </w:r>
      <w:proofErr w:type="spellEnd"/>
      <w:r w:rsidRPr="00D248C5">
        <w:rPr>
          <w:rFonts w:ascii="Times New Roman" w:hAnsi="Times New Roman" w:cs="Times New Roman"/>
          <w:b/>
          <w:bCs/>
          <w:sz w:val="24"/>
          <w:szCs w:val="24"/>
          <w:lang w:val="es-PE"/>
        </w:rPr>
        <w:t xml:space="preserve"> - Vocal</w:t>
      </w:r>
    </w:p>
    <w:p w:rsidRPr="00D248C5"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248C5">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5B14" w:rsidP="00784355" w:rsidRDefault="00415B14" w14:paraId="320A2165" w14:textId="77777777">
      <w:pPr>
        <w:spacing w:after="0" w:line="240" w:lineRule="auto"/>
      </w:pPr>
      <w:r>
        <w:separator/>
      </w:r>
    </w:p>
  </w:endnote>
  <w:endnote w:type="continuationSeparator" w:id="0">
    <w:p w:rsidR="00415B14" w:rsidP="00784355" w:rsidRDefault="00415B14" w14:paraId="7A759C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5B14" w:rsidP="00784355" w:rsidRDefault="00415B14" w14:paraId="6A9DB786" w14:textId="77777777">
      <w:pPr>
        <w:spacing w:after="0" w:line="240" w:lineRule="auto"/>
      </w:pPr>
      <w:r>
        <w:separator/>
      </w:r>
    </w:p>
  </w:footnote>
  <w:footnote w:type="continuationSeparator" w:id="0">
    <w:p w:rsidR="00415B14" w:rsidP="00784355" w:rsidRDefault="00415B14" w14:paraId="09241B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1"/>
  </w:num>
  <w:num w:numId="3" w16cid:durableId="760956054">
    <w:abstractNumId w:val="8"/>
  </w:num>
  <w:num w:numId="4" w16cid:durableId="1079518208">
    <w:abstractNumId w:val="7"/>
  </w:num>
  <w:num w:numId="5" w16cid:durableId="1198003566">
    <w:abstractNumId w:val="9"/>
  </w:num>
  <w:num w:numId="6" w16cid:durableId="1607540339">
    <w:abstractNumId w:val="0"/>
  </w:num>
  <w:num w:numId="7" w16cid:durableId="1490902120">
    <w:abstractNumId w:val="12"/>
  </w:num>
  <w:num w:numId="8" w16cid:durableId="615214413">
    <w:abstractNumId w:val="13"/>
  </w:num>
  <w:num w:numId="9" w16cid:durableId="101811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03CE"/>
    <w:rsid w:val="00FF41F3"/>
    <w:rsid w:val="01A876B6"/>
    <w:rsid w:val="094B2B68"/>
    <w:rsid w:val="0C25188B"/>
    <w:rsid w:val="22CFD33C"/>
    <w:rsid w:val="2682B9BC"/>
    <w:rsid w:val="2C3C1052"/>
    <w:rsid w:val="3728386B"/>
    <w:rsid w:val="38505A94"/>
    <w:rsid w:val="3911CD55"/>
    <w:rsid w:val="42F5CBD9"/>
    <w:rsid w:val="438F6D89"/>
    <w:rsid w:val="4460056D"/>
    <w:rsid w:val="53B94E09"/>
    <w:rsid w:val="6495A122"/>
    <w:rsid w:val="68ED1FA7"/>
    <w:rsid w:val="7D90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2fcfeffd27bf4f6a"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BB99CCF-ED83-4453-A97D-F7CBFC35BF7C}"/>
</file>

<file path=customXml/itemProps3.xml><?xml version="1.0" encoding="utf-8"?>
<ds:datastoreItem xmlns:ds="http://schemas.openxmlformats.org/officeDocument/2006/customXml" ds:itemID="{4AAFB2BC-8710-410C-AFC5-ED3B23EFB4E2}"/>
</file>

<file path=customXml/itemProps4.xml><?xml version="1.0" encoding="utf-8"?>
<ds:datastoreItem xmlns:ds="http://schemas.openxmlformats.org/officeDocument/2006/customXml" ds:itemID="{7C2755F4-23E3-440C-9047-D53BBFA115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125</cp:revision>
  <cp:lastPrinted>2022-06-14T19:17:00Z</cp:lastPrinted>
  <dcterms:created xsi:type="dcterms:W3CDTF">2020-12-18T20:17:00Z</dcterms:created>
  <dcterms:modified xsi:type="dcterms:W3CDTF">2025-11-26T21:57:34Z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