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8C5" w:rsidR="00B10F71" w:rsidP="00041B86" w:rsidRDefault="00201C0D" w14:paraId="51974F0B" w14:textId="19FD86A6">
      <w:pPr>
        <w:spacing w:after="0" w:line="240" w:lineRule="auto"/>
        <w:jc w:val="center"/>
        <w:rPr>
          <w:rFonts w:ascii="Times New Roman" w:hAnsi="Times New Roman" w:cs="Times New Roman"/>
          <w:b/>
          <w:sz w:val="24"/>
          <w:szCs w:val="24"/>
          <w:lang w:val="es-PE" w:eastAsia="ar-SA"/>
        </w:rPr>
      </w:pPr>
      <w:r w:rsidRPr="00D248C5">
        <w:rPr>
          <w:rFonts w:ascii="Times New Roman" w:hAnsi="Times New Roman" w:cs="Times New Roman"/>
          <w:b/>
          <w:sz w:val="24"/>
          <w:szCs w:val="24"/>
          <w:lang w:val="es-PE" w:eastAsia="ar-SA"/>
        </w:rPr>
        <w:t xml:space="preserve">RESOLUCIÓN DE RECURSO IMPUGNATIVO </w:t>
      </w:r>
      <w:proofErr w:type="spellStart"/>
      <w:r w:rsidRPr="00D248C5" w:rsidR="00707C99">
        <w:rPr>
          <w:rFonts w:ascii="Times New Roman" w:hAnsi="Times New Roman" w:cs="Times New Roman"/>
          <w:b/>
          <w:sz w:val="24"/>
          <w:szCs w:val="24"/>
          <w:lang w:val="es-PE" w:eastAsia="ar-SA"/>
        </w:rPr>
        <w:t>N°</w:t>
      </w:r>
      <w:proofErr w:type="spellEnd"/>
      <w:r w:rsidRPr="00D248C5" w:rsidR="00707C99">
        <w:rPr>
          <w:rFonts w:ascii="Times New Roman" w:hAnsi="Times New Roman" w:cs="Times New Roman"/>
          <w:b/>
          <w:sz w:val="24"/>
          <w:szCs w:val="24"/>
          <w:lang w:val="es-PE" w:eastAsia="ar-SA"/>
        </w:rPr>
        <w:t xml:space="preserve"> </w:t>
      </w:r>
      <w:r w:rsidRPr="00D248C5" w:rsidR="00C671F5">
        <w:rPr>
          <w:rFonts w:ascii="Times New Roman" w:hAnsi="Times New Roman" w:cs="Times New Roman"/>
          <w:b/>
          <w:sz w:val="24"/>
          <w:szCs w:val="24"/>
          <w:lang w:val="es-PE" w:eastAsia="ar-SA"/>
        </w:rPr>
        <w:t>0</w:t>
      </w:r>
      <w:r w:rsidRPr="00D248C5" w:rsidR="009F3B93">
        <w:rPr>
          <w:rFonts w:ascii="Times New Roman" w:hAnsi="Times New Roman" w:cs="Times New Roman"/>
          <w:b/>
          <w:sz w:val="24"/>
          <w:szCs w:val="24"/>
          <w:lang w:val="es-PE" w:eastAsia="ar-SA"/>
        </w:rPr>
        <w:t>3</w:t>
      </w:r>
      <w:r w:rsidR="001E6261">
        <w:rPr>
          <w:rFonts w:ascii="Times New Roman" w:hAnsi="Times New Roman" w:cs="Times New Roman"/>
          <w:b/>
          <w:sz w:val="24"/>
          <w:szCs w:val="24"/>
          <w:lang w:val="es-PE" w:eastAsia="ar-SA"/>
        </w:rPr>
        <w:t>7</w:t>
      </w:r>
      <w:r w:rsidRPr="00D248C5" w:rsidR="00C671F5">
        <w:rPr>
          <w:rFonts w:ascii="Times New Roman" w:hAnsi="Times New Roman" w:cs="Times New Roman"/>
          <w:b/>
          <w:sz w:val="24"/>
          <w:szCs w:val="24"/>
          <w:lang w:val="es-PE" w:eastAsia="ar-SA"/>
        </w:rPr>
        <w:t>/2</w:t>
      </w:r>
      <w:r w:rsidRPr="00D248C5" w:rsidR="00B93C7A">
        <w:rPr>
          <w:rFonts w:ascii="Times New Roman" w:hAnsi="Times New Roman" w:cs="Times New Roman"/>
          <w:b/>
          <w:sz w:val="24"/>
          <w:szCs w:val="24"/>
          <w:lang w:val="es-PE" w:eastAsia="ar-SA"/>
        </w:rPr>
        <w:t>2</w:t>
      </w:r>
    </w:p>
    <w:p w:rsidRPr="00092C2E" w:rsidR="00092C2E" w:rsidP="00092C2E" w:rsidRDefault="00092C2E" w14:paraId="43B78372" w14:textId="65B93EA0">
      <w:pPr>
        <w:spacing w:after="0" w:line="240" w:lineRule="auto"/>
        <w:jc w:val="both"/>
        <w:rPr>
          <w:rFonts w:ascii="Times New Roman" w:hAnsi="Times New Roman" w:cs="Times New Roman"/>
          <w:sz w:val="24"/>
          <w:szCs w:val="24"/>
          <w:lang w:val="es-PE"/>
        </w:rPr>
      </w:pPr>
      <w:r w:rsidRPr="16F744CF" w:rsidR="316C95C9">
        <w:rPr>
          <w:rFonts w:ascii="Times New Roman" w:hAnsi="Times New Roman" w:cs="Times New Roman"/>
          <w:b w:val="1"/>
          <w:bCs w:val="1"/>
          <w:sz w:val="24"/>
          <w:szCs w:val="24"/>
          <w:lang w:val="es-PE"/>
        </w:rPr>
        <w:t xml:space="preserve">Vistos: </w:t>
      </w:r>
    </w:p>
    <w:p w:rsidRPr="00092C2E" w:rsidR="00092C2E" w:rsidP="16F744CF" w:rsidRDefault="00092C2E" w14:paraId="12F1F668" w14:textId="5FA052BB">
      <w:pPr>
        <w:pStyle w:val="Normal"/>
        <w:spacing w:after="0" w:line="240" w:lineRule="auto"/>
        <w:jc w:val="both"/>
        <w:rPr>
          <w:rFonts w:ascii="Times New Roman" w:hAnsi="Times New Roman" w:cs="Times New Roman"/>
          <w:sz w:val="24"/>
          <w:szCs w:val="24"/>
          <w:lang w:val="es-PE"/>
        </w:rPr>
      </w:pPr>
    </w:p>
    <w:p w:rsidRPr="00092C2E" w:rsidR="00092C2E" w:rsidP="16F744CF" w:rsidRDefault="00092C2E" w14:paraId="723A83A1" w14:textId="32FB6F4E">
      <w:pPr>
        <w:pStyle w:val="Normal"/>
        <w:spacing w:after="0" w:line="240" w:lineRule="auto"/>
        <w:jc w:val="both"/>
        <w:rPr>
          <w:rFonts w:ascii="Times New Roman" w:hAnsi="Times New Roman" w:cs="Times New Roman"/>
          <w:sz w:val="24"/>
          <w:szCs w:val="24"/>
          <w:lang w:val="es-PE"/>
        </w:rPr>
      </w:pPr>
      <w:r w:rsidRPr="16F744CF" w:rsidR="316C95C9">
        <w:rPr>
          <w:rFonts w:ascii="Times New Roman" w:hAnsi="Times New Roman" w:cs="Times New Roman"/>
          <w:sz w:val="24"/>
          <w:szCs w:val="24"/>
          <w:lang w:val="es-PE"/>
        </w:rPr>
        <w:t xml:space="preserve">El Recurso Impugnativo presentado el 09 de mayo de 2022 por </w:t>
      </w:r>
      <w:r w:rsidRPr="16F744CF" w:rsidR="055BD86F">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xml:space="preserve">, respecto de la Resolución </w:t>
      </w:r>
      <w:r w:rsidRPr="16F744CF" w:rsidR="316C95C9">
        <w:rPr>
          <w:rFonts w:ascii="Times New Roman" w:hAnsi="Times New Roman" w:cs="Times New Roman"/>
          <w:sz w:val="24"/>
          <w:szCs w:val="24"/>
          <w:lang w:val="es-PE"/>
        </w:rPr>
        <w:t>N°</w:t>
      </w:r>
      <w:r w:rsidRPr="16F744CF" w:rsidR="316C95C9">
        <w:rPr>
          <w:rFonts w:ascii="Times New Roman" w:hAnsi="Times New Roman" w:cs="Times New Roman"/>
          <w:sz w:val="24"/>
          <w:szCs w:val="24"/>
          <w:lang w:val="es-PE"/>
        </w:rPr>
        <w:t xml:space="preserve"> </w:t>
      </w:r>
      <w:r w:rsidRPr="16F744CF" w:rsidR="67CB024A">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xml:space="preserve"> de fecha 02 de mayo 2022 por esta Defensoría del Asegurado (DEFASEG) que declaró FUNDADA la reclamación interpuesta, sobre otorgamiento de cobertura al siniestro ocurrido bajo la Póliza de Seguro de Protección de Tarjeta contratada</w:t>
      </w:r>
    </w:p>
    <w:p w:rsidRPr="00092C2E" w:rsidR="00092C2E" w:rsidP="00092C2E" w:rsidRDefault="00092C2E" w14:paraId="49D8A1D0" w14:textId="01CEACB5">
      <w:pPr>
        <w:spacing w:line="240" w:lineRule="auto"/>
        <w:jc w:val="both"/>
        <w:rPr>
          <w:rFonts w:ascii="Times New Roman" w:hAnsi="Times New Roman" w:cs="Times New Roman"/>
          <w:sz w:val="24"/>
          <w:szCs w:val="24"/>
          <w:lang w:val="es-PE"/>
        </w:rPr>
      </w:pPr>
      <w:r w:rsidRPr="16F744CF" w:rsidR="316C95C9">
        <w:rPr>
          <w:rFonts w:ascii="Times New Roman" w:hAnsi="Times New Roman" w:cs="Times New Roman"/>
          <w:sz w:val="24"/>
          <w:szCs w:val="24"/>
          <w:lang w:val="es-PE"/>
        </w:rPr>
        <w:t xml:space="preserve">Que el señalado Recurso Impugnativo se fundamenta resumidamente en lo siguiente: 1) Que, mediante la Resolución </w:t>
      </w:r>
      <w:r w:rsidRPr="16F744CF" w:rsidR="316C95C9">
        <w:rPr>
          <w:rFonts w:ascii="Times New Roman" w:hAnsi="Times New Roman" w:cs="Times New Roman"/>
          <w:sz w:val="24"/>
          <w:szCs w:val="24"/>
          <w:lang w:val="es-PE"/>
        </w:rPr>
        <w:t>N°</w:t>
      </w:r>
      <w:r w:rsidRPr="16F744CF" w:rsidR="316C95C9">
        <w:rPr>
          <w:rFonts w:ascii="Times New Roman" w:hAnsi="Times New Roman" w:cs="Times New Roman"/>
          <w:sz w:val="24"/>
          <w:szCs w:val="24"/>
          <w:lang w:val="es-PE"/>
        </w:rPr>
        <w:t xml:space="preserve"> </w:t>
      </w:r>
      <w:r w:rsidRPr="16F744CF" w:rsidR="67CB024A">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la Defensoría del Asegurado resolvió declarar fundada. en parte la denuncia interpuesta por la denunciante, en atención a que consideró lo siguiente:</w:t>
      </w:r>
    </w:p>
    <w:p w:rsidRPr="00092C2E" w:rsidR="00092C2E" w:rsidP="00092C2E" w:rsidRDefault="00092C2E" w14:paraId="16C478D0" w14:textId="77777777">
      <w:pPr>
        <w:pStyle w:val="Prrafodelista"/>
        <w:numPr>
          <w:ilvl w:val="0"/>
          <w:numId w:val="16"/>
        </w:numPr>
        <w:spacing w:after="200"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la aseguradora no ha cumplido con acompañar el certificado por el asegurado o la póliza matriz, para efectos de tener legitimidad para poder oponer causal de exclusión alguna y,</w:t>
      </w:r>
    </w:p>
    <w:p w:rsidRPr="00092C2E" w:rsidR="00092C2E" w:rsidP="00092C2E" w:rsidRDefault="00092C2E" w14:paraId="0A5B8BA6" w14:textId="77777777">
      <w:pPr>
        <w:pStyle w:val="Prrafodelista"/>
        <w:numPr>
          <w:ilvl w:val="0"/>
          <w:numId w:val="16"/>
        </w:numPr>
        <w:spacing w:after="200"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si bien quedaba claro que el caso en cuestión no calzaba dentro de un supuesto de la figura del cambiazo, ello no había sido probado por lo que correspondía amparar el reclamo.</w:t>
      </w:r>
    </w:p>
    <w:p w:rsidRPr="00092C2E" w:rsidR="00092C2E" w:rsidP="00092C2E" w:rsidRDefault="00092C2E" w14:paraId="750908BD"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 xml:space="preserve">2) Que, respecto al primer punto, la aseguradora cumple con adjuntar el Certificado firmado por la asegurada y la póliza matriz, con el fin de acreditar la legitimidad para la oposición de la causal de exclusión de cobertura y limitación de la Póliza. Que, con ello también se acredita el conocimiento de la denunciante de las condiciones del seguro contratado y que la figura del cambiazo no tiene cobertura por la póliza contratada. 3) Que, respecto al segundo punto, el pronunciamiento emitido es incongruente e irrazonable, toda vez que por un lado reconoce la postura de la aseguradora al afirmar “que estamos frente a la figura del cambiazo”, para luego contradecirse y señalar que ello no ha sido acreditado por la aseguradora. 4)  Que, se debe precisar que, tal como la aseguradora ha desarrollado en distintos casos similares, el certificado de seguro es aquel documento que se entrega al asegurado a la hora de la celebración del contrato de seguros y en donde ambas partes contratantes expresan mediante su firma su voluntad de contratar dentro de las condiciones estipuladas en tal documento. 5) Que, conforme a lo declarado y conforme obra en la Denuncia Policial de fecha 15 de noviembre de 2021, la denunciante fue víctima de la modalidad de fraude llamada “cambiazo”, táctica diseñada para que los delincuentes busquen el chip de la tarjeta de crédito o débito, información de la víctima y/o realicen compras no autorizadas. Que, en esta línea, a través de la distracción, el delincuente distrae a la víctima e intercambia la real tarjeta de crédito o débito por una falsa, A través de esta técnica, también se logra usualmente el obtener la clave confidencial de la tarjeta, entre otros datos confidenciales. 6) Que, por otro lado, el Seguro de Protección de Tarjeta brinda la seguridad de proteger las tarjetas del consumidor ante </w:t>
      </w:r>
      <w:r w:rsidRPr="00092C2E">
        <w:rPr>
          <w:rFonts w:ascii="Times New Roman" w:hAnsi="Times New Roman" w:cs="Times New Roman"/>
          <w:b/>
          <w:bCs/>
          <w:sz w:val="24"/>
          <w:szCs w:val="24"/>
          <w:lang w:val="es-PE"/>
        </w:rPr>
        <w:t xml:space="preserve">el uso indebido </w:t>
      </w:r>
      <w:r w:rsidRPr="00092C2E">
        <w:rPr>
          <w:rFonts w:ascii="Times New Roman" w:hAnsi="Times New Roman" w:cs="Times New Roman"/>
          <w:sz w:val="24"/>
          <w:szCs w:val="24"/>
          <w:lang w:val="es-PE"/>
        </w:rPr>
        <w:t>de ellas, falsificación de identidad, uso forzado, hurto de retiros en cajeros automáticos y compras fraudulentas por internet, siempre y cuando se cumpla con las obligaciones estipuladas para activar su cobertura, las mismas que se encuentran detalladas en la Póliza de Seguro contratada. 7) Que, de acuerdo con el contrato de Seguro de Protección de Tarjeta contratado, se tiene que:</w:t>
      </w:r>
    </w:p>
    <w:p w:rsidRPr="00092C2E" w:rsidR="00092C2E" w:rsidP="00092C2E" w:rsidRDefault="00092C2E" w14:paraId="76A125A8" w14:textId="77777777">
      <w:pPr>
        <w:spacing w:line="240" w:lineRule="auto"/>
        <w:jc w:val="both"/>
        <w:rPr>
          <w:rFonts w:ascii="Times New Roman" w:hAnsi="Times New Roman" w:cs="Times New Roman"/>
          <w:b/>
          <w:bCs/>
          <w:sz w:val="24"/>
          <w:szCs w:val="24"/>
          <w:lang w:val="es-PE"/>
        </w:rPr>
      </w:pPr>
      <w:r w:rsidRPr="00092C2E">
        <w:rPr>
          <w:rFonts w:ascii="Times New Roman" w:hAnsi="Times New Roman" w:cs="Times New Roman"/>
          <w:b/>
          <w:bCs/>
          <w:sz w:val="24"/>
          <w:szCs w:val="24"/>
          <w:lang w:val="es-PE"/>
        </w:rPr>
        <w:t xml:space="preserve">4. COBERTURA DE COMPRA FRAUDULENTA VIA INTERNET (SOLO APLICABLE A LAS TARJETAS DE CRÉDITO Y DÉBITO EMITIDAS POR EL CONTRATANTE). Cubre las pérdidas ocasionadas por compras fraudulentas vía internet mediante el uso indebido de las tarjetas de Crédito y/o Débito del ASEGURADO, sin la autorización y conocimiento de su titular. Se protege a las Tarjetas de Crédito y/o </w:t>
      </w:r>
      <w:r w:rsidRPr="00092C2E">
        <w:rPr>
          <w:rFonts w:ascii="Times New Roman" w:hAnsi="Times New Roman" w:cs="Times New Roman"/>
          <w:b/>
          <w:bCs/>
          <w:sz w:val="24"/>
          <w:szCs w:val="24"/>
          <w:lang w:val="es-PE"/>
        </w:rPr>
        <w:lastRenderedPageBreak/>
        <w:t xml:space="preserve">Débito hasta dentro de los 60 días anteriores a la fecha en que el Asegurado haya dado aviso al contratante del uso indebido de su tarjeta. </w:t>
      </w:r>
    </w:p>
    <w:p w:rsidRPr="00092C2E" w:rsidR="00092C2E" w:rsidP="00092C2E" w:rsidRDefault="00092C2E" w14:paraId="1F2E868F"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8) Que, de acuerdo con ello, ¿Qué se entiende por uso indebido de tarjetas?, conforme a lo señalado también de manera pública en la página Web del Banco BBVA, se tiene que el concepto de “uso indebido” responde a lo siguiente:</w:t>
      </w:r>
    </w:p>
    <w:p w:rsidRPr="00092C2E" w:rsidR="00092C2E" w:rsidP="00092C2E" w:rsidRDefault="00092C2E" w14:paraId="56ECDE69" w14:textId="77777777">
      <w:pPr>
        <w:spacing w:line="240" w:lineRule="auto"/>
        <w:jc w:val="both"/>
        <w:rPr>
          <w:rFonts w:ascii="Times New Roman" w:hAnsi="Times New Roman" w:cs="Times New Roman"/>
          <w:b/>
          <w:bCs/>
          <w:sz w:val="24"/>
          <w:szCs w:val="24"/>
          <w:lang w:val="es-PE"/>
        </w:rPr>
      </w:pPr>
      <w:r w:rsidRPr="00092C2E">
        <w:rPr>
          <w:rFonts w:ascii="Times New Roman" w:hAnsi="Times New Roman" w:cs="Times New Roman"/>
          <w:b/>
          <w:bCs/>
          <w:sz w:val="24"/>
          <w:szCs w:val="24"/>
          <w:lang w:val="es-PE"/>
        </w:rPr>
        <w:t>COBERTURAS</w:t>
      </w:r>
    </w:p>
    <w:p w:rsidRPr="00092C2E" w:rsidR="00092C2E" w:rsidP="00092C2E" w:rsidRDefault="00092C2E" w14:paraId="581D4067"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b/>
          <w:bCs/>
          <w:sz w:val="24"/>
          <w:szCs w:val="24"/>
          <w:lang w:val="es-PE"/>
        </w:rPr>
        <w:t>Uso indebido:</w:t>
      </w:r>
      <w:r w:rsidRPr="00092C2E">
        <w:rPr>
          <w:rFonts w:ascii="Times New Roman" w:hAnsi="Times New Roman" w:cs="Times New Roman"/>
          <w:sz w:val="24"/>
          <w:szCs w:val="24"/>
          <w:lang w:val="es-PE"/>
        </w:rPr>
        <w:t xml:space="preserve"> Si es por el robo, hurto de la tarjeta asegurada sea de crédito y/o débito, personas terceras hacen uso indebido de la misma únicamente en establecimientos comerciales.</w:t>
      </w:r>
    </w:p>
    <w:p w:rsidRPr="00092C2E" w:rsidR="00092C2E" w:rsidP="00092C2E" w:rsidRDefault="00092C2E" w14:paraId="753C9C96" w14:textId="77777777">
      <w:pPr>
        <w:spacing w:line="240" w:lineRule="auto"/>
        <w:jc w:val="both"/>
        <w:rPr>
          <w:rFonts w:ascii="Times New Roman" w:hAnsi="Times New Roman" w:cs="Times New Roman"/>
          <w:b/>
          <w:bCs/>
          <w:sz w:val="24"/>
          <w:szCs w:val="24"/>
          <w:lang w:val="es-PE"/>
        </w:rPr>
      </w:pPr>
      <w:r w:rsidRPr="00092C2E">
        <w:rPr>
          <w:rFonts w:ascii="Times New Roman" w:hAnsi="Times New Roman" w:cs="Times New Roman"/>
          <w:b/>
          <w:bCs/>
          <w:sz w:val="24"/>
          <w:szCs w:val="24"/>
          <w:lang w:val="es-PE"/>
        </w:rPr>
        <w:t>SOLO TARJETAS BBVA</w:t>
      </w:r>
    </w:p>
    <w:p w:rsidRPr="00092C2E" w:rsidR="00092C2E" w:rsidP="00092C2E" w:rsidRDefault="00092C2E" w14:paraId="31501949"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b/>
          <w:bCs/>
          <w:sz w:val="24"/>
          <w:szCs w:val="24"/>
          <w:lang w:val="es-PE"/>
        </w:rPr>
        <w:t xml:space="preserve">US$ 10,000 </w:t>
      </w:r>
      <w:r w:rsidRPr="00092C2E">
        <w:rPr>
          <w:rFonts w:ascii="Times New Roman" w:hAnsi="Times New Roman" w:cs="Times New Roman"/>
          <w:sz w:val="24"/>
          <w:szCs w:val="24"/>
          <w:lang w:val="es-PE"/>
        </w:rPr>
        <w:t>por asegurado al año (máx. 2 eventos)</w:t>
      </w:r>
    </w:p>
    <w:p w:rsidRPr="00092C2E" w:rsidR="00092C2E" w:rsidP="00092C2E" w:rsidRDefault="00092C2E" w14:paraId="68E6C37C"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 xml:space="preserve">9) Que tal definición no solo se encuentra en la página web del Banco BBVA y es que la misma se encuentra detallada en la propia póliza de seguros contratada. Y es que, como se podrá apreciar a continuación, el artículo </w:t>
      </w:r>
      <w:proofErr w:type="spellStart"/>
      <w:r w:rsidRPr="00092C2E">
        <w:rPr>
          <w:rFonts w:ascii="Times New Roman" w:hAnsi="Times New Roman" w:cs="Times New Roman"/>
          <w:sz w:val="24"/>
          <w:szCs w:val="24"/>
          <w:lang w:val="es-PE"/>
        </w:rPr>
        <w:t>N°</w:t>
      </w:r>
      <w:proofErr w:type="spellEnd"/>
      <w:r w:rsidRPr="00092C2E">
        <w:rPr>
          <w:rFonts w:ascii="Times New Roman" w:hAnsi="Times New Roman" w:cs="Times New Roman"/>
          <w:sz w:val="24"/>
          <w:szCs w:val="24"/>
          <w:lang w:val="es-PE"/>
        </w:rPr>
        <w:t xml:space="preserve"> 30 sobre Coberturas de la Póliza, señala expresamente lo siguiente:</w:t>
      </w:r>
    </w:p>
    <w:p w:rsidRPr="00092C2E" w:rsidR="00092C2E" w:rsidP="00092C2E" w:rsidRDefault="00092C2E" w14:paraId="77E64E33" w14:textId="77777777">
      <w:pPr>
        <w:spacing w:line="240" w:lineRule="auto"/>
        <w:jc w:val="both"/>
        <w:rPr>
          <w:rFonts w:ascii="Times New Roman" w:hAnsi="Times New Roman" w:cs="Times New Roman"/>
          <w:b/>
          <w:bCs/>
          <w:sz w:val="24"/>
          <w:szCs w:val="24"/>
          <w:lang w:val="es-PE"/>
        </w:rPr>
      </w:pPr>
      <w:r w:rsidRPr="00092C2E">
        <w:rPr>
          <w:rFonts w:ascii="Times New Roman" w:hAnsi="Times New Roman" w:cs="Times New Roman"/>
          <w:b/>
          <w:bCs/>
          <w:sz w:val="24"/>
          <w:szCs w:val="24"/>
          <w:lang w:val="es-PE"/>
        </w:rPr>
        <w:t>1) USO INDEBIDO DE LA TARJETA DE CRÉDITO Y/O DÉBITO</w:t>
      </w:r>
    </w:p>
    <w:p w:rsidRPr="00092C2E" w:rsidR="00092C2E" w:rsidP="00092C2E" w:rsidRDefault="00092C2E" w14:paraId="5952F8C8"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Uso indebido de la Tarjeta de Crédito y/o Débito por Robo y/o Secuestro, Extravío y/o Hurto en cajeros automáticos y/o casas comerciales (…)</w:t>
      </w:r>
    </w:p>
    <w:p w:rsidRPr="00092C2E" w:rsidR="00092C2E" w:rsidP="00092C2E" w:rsidRDefault="00092C2E" w14:paraId="5F1EED0B"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10) Que, por lo cual, al estar frente a un caso de “fraude” en la modalidad de “cambiazo”, la aseguradora no está posibilitada de amparar el reclamo efectuado, pues los hechos descritos no calzan dentro de los alcances de la cobertura de seguro contratado.</w:t>
      </w:r>
    </w:p>
    <w:p w:rsidRPr="00092C2E" w:rsidR="00092C2E" w:rsidP="00092C2E" w:rsidRDefault="00092C2E" w14:paraId="40789769"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habiéndose corrido traslado a la asegurada del referido Recurso impugnatorio, la misma expresó que, luego de revisar sus archivos, envió el documento emitido por el MINISTERIO PUBLICO, donde se detalla el fraude que sufrió, el reporte de las compras fraudulentas, retiros de dinero, etc. Reportados por el mismo BBVA, y espera que con este documento ayude en el sustento de la Resolución s su favor.</w:t>
      </w:r>
    </w:p>
    <w:p w:rsidRPr="00092C2E" w:rsidR="00092C2E" w:rsidP="00092C2E" w:rsidRDefault="00092C2E" w14:paraId="6D557DDE"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atendiendo a lo expuesto, esta Defensoría resuelve finalmente lo siguiente:</w:t>
      </w:r>
    </w:p>
    <w:p w:rsidRPr="00092C2E" w:rsidR="00092C2E" w:rsidP="00092C2E" w:rsidRDefault="00092C2E" w14:paraId="03CAAEFB" w14:textId="5999093B">
      <w:pPr>
        <w:spacing w:line="240" w:lineRule="auto"/>
        <w:jc w:val="both"/>
        <w:rPr>
          <w:rFonts w:ascii="Times New Roman" w:hAnsi="Times New Roman" w:cs="Times New Roman"/>
          <w:sz w:val="24"/>
          <w:szCs w:val="24"/>
          <w:lang w:val="es-PE"/>
        </w:rPr>
      </w:pPr>
      <w:r w:rsidRPr="16F744CF" w:rsidR="316C95C9">
        <w:rPr>
          <w:rFonts w:ascii="Times New Roman" w:hAnsi="Times New Roman" w:cs="Times New Roman"/>
          <w:b w:val="1"/>
          <w:bCs w:val="1"/>
          <w:sz w:val="24"/>
          <w:szCs w:val="24"/>
          <w:lang w:val="es-PE"/>
        </w:rPr>
        <w:t>PRIMERO:</w:t>
      </w:r>
      <w:r w:rsidRPr="16F744CF" w:rsidR="316C95C9">
        <w:rPr>
          <w:rFonts w:ascii="Times New Roman" w:hAnsi="Times New Roman" w:cs="Times New Roman"/>
          <w:sz w:val="24"/>
          <w:szCs w:val="24"/>
          <w:lang w:val="es-PE"/>
        </w:rPr>
        <w:t xml:space="preserve"> Que el artículo 10 (Procedimiento) del Reglamento de la DEFASEG (</w:t>
      </w:r>
      <w:hyperlink r:id="Rbc85bd999ee54712">
        <w:r w:rsidRPr="16F744CF" w:rsidR="316C95C9">
          <w:rPr>
            <w:rStyle w:val="Hipervnculo"/>
            <w:rFonts w:ascii="Times New Roman" w:hAnsi="Times New Roman" w:cs="Times New Roman"/>
            <w:sz w:val="24"/>
            <w:szCs w:val="24"/>
            <w:lang w:val="es-PE"/>
          </w:rPr>
          <w:t>http://www.defaseg.com.pe/reglamento</w:t>
        </w:r>
      </w:hyperlink>
      <w:r w:rsidRPr="16F744CF" w:rsidR="316C95C9">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16F744CF" w:rsidR="055BD86F">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092C2E" w:rsidR="00092C2E" w:rsidP="00092C2E" w:rsidRDefault="00092C2E" w14:paraId="11A77415" w14:textId="3EC4BE87">
      <w:pPr>
        <w:spacing w:line="240" w:lineRule="auto"/>
        <w:jc w:val="both"/>
        <w:rPr>
          <w:rFonts w:ascii="Times New Roman" w:hAnsi="Times New Roman" w:cs="Times New Roman"/>
          <w:sz w:val="24"/>
          <w:szCs w:val="24"/>
          <w:lang w:val="es-PE"/>
        </w:rPr>
      </w:pPr>
      <w:r w:rsidRPr="16F744CF" w:rsidR="316C95C9">
        <w:rPr>
          <w:rFonts w:ascii="Times New Roman" w:hAnsi="Times New Roman" w:cs="Times New Roman"/>
          <w:b w:val="1"/>
          <w:bCs w:val="1"/>
          <w:sz w:val="24"/>
          <w:szCs w:val="24"/>
          <w:lang w:val="es-PE"/>
        </w:rPr>
        <w:t>SEGUNDO:</w:t>
      </w:r>
      <w:r w:rsidRPr="16F744CF" w:rsidR="316C95C9">
        <w:rPr>
          <w:rFonts w:ascii="Times New Roman" w:hAnsi="Times New Roman" w:cs="Times New Roman"/>
          <w:sz w:val="24"/>
          <w:szCs w:val="24"/>
          <w:lang w:val="es-PE"/>
        </w:rPr>
        <w:t xml:space="preserve"> Que, de la lectura del Recurso Impugnativo interpuesto, se aprecia que, la aseguradora equivoca el sentido de la Resolución recurrida, en razón de que la misma declaró fundada la reclamación de la asegurada: (i) por el hecho de que </w:t>
      </w:r>
      <w:r w:rsidRPr="16F744CF" w:rsidR="0B8091CA">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xml:space="preserve">, pese a que se le otorgó un plazo adicional para que pruebe documentariamente la entrega a la asegurada de la póliza o certificado que contengan las condiciones, cargas y exclusiones de la misma, siendo </w:t>
      </w:r>
      <w:r w:rsidRPr="16F744CF" w:rsidR="316C95C9">
        <w:rPr>
          <w:rFonts w:ascii="Times New Roman" w:hAnsi="Times New Roman" w:cs="Times New Roman"/>
          <w:sz w:val="24"/>
          <w:szCs w:val="24"/>
          <w:lang w:val="es-PE"/>
        </w:rPr>
        <w:t>que, vencido el plazo otorgado no cumplió con lo solicitado, por lo que la aseguradora incumplió con lo establecido en el artículo 137 de la Ley 29946, Ley de Contrato de Seguro, el cual es absolutamente concluyente sobre el particular; y (</w:t>
      </w:r>
      <w:r w:rsidRPr="16F744CF" w:rsidR="316C95C9">
        <w:rPr>
          <w:rFonts w:ascii="Times New Roman" w:hAnsi="Times New Roman" w:cs="Times New Roman"/>
          <w:sz w:val="24"/>
          <w:szCs w:val="24"/>
          <w:lang w:val="es-PE"/>
        </w:rPr>
        <w:t>ii</w:t>
      </w:r>
      <w:r w:rsidRPr="16F744CF" w:rsidR="316C95C9">
        <w:rPr>
          <w:rFonts w:ascii="Times New Roman" w:hAnsi="Times New Roman" w:cs="Times New Roman"/>
          <w:sz w:val="24"/>
          <w:szCs w:val="24"/>
          <w:lang w:val="es-PE"/>
        </w:rPr>
        <w:t xml:space="preserve">) por el hecho que la forma como se produjo el siniestro no correspondía a un cambiazo. Al respecto, a </w:t>
      </w:r>
      <w:r w:rsidRPr="16F744CF" w:rsidR="316C95C9">
        <w:rPr>
          <w:rFonts w:ascii="Times New Roman" w:hAnsi="Times New Roman" w:cs="Times New Roman"/>
          <w:sz w:val="24"/>
          <w:szCs w:val="24"/>
          <w:lang w:val="es-PE"/>
        </w:rPr>
        <w:t>continuación</w:t>
      </w:r>
      <w:r w:rsidRPr="16F744CF" w:rsidR="316C95C9">
        <w:rPr>
          <w:rFonts w:ascii="Times New Roman" w:hAnsi="Times New Roman" w:cs="Times New Roman"/>
          <w:sz w:val="24"/>
          <w:szCs w:val="24"/>
          <w:lang w:val="es-PE"/>
        </w:rPr>
        <w:t xml:space="preserve"> transcribimos parte pertinente de la resolución impugnada: </w:t>
      </w:r>
    </w:p>
    <w:p w:rsidRPr="00092C2E" w:rsidR="00092C2E" w:rsidP="00092C2E" w:rsidRDefault="00092C2E" w14:paraId="601CF323" w14:textId="77777777">
      <w:pPr>
        <w:spacing w:line="240" w:lineRule="auto"/>
        <w:ind w:left="708"/>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 xml:space="preserve">"Que en lo que respecta a si estamos ante un cambiazo o un robo de tarjeta, este colegiado aprecia que, en este caso, la reclamante refiere que no hubo una previa entrega voluntaria de la tarjeta asegurada, sino que esta le fue arrebatada lo que no se condice con un caso de cambiazo. Que si bien luego del forcejeo, arrojaron a su mano una tarjeta y ella se retiró asustada, dicho hecho no puede interpretarse como la configuración de un cambiazo, siendo que en todo caso corresponde a la aseguradora acreditar por qué estaríamos ante un cambiazo y no ante un robo o hurto de la tarjeta (en tanto no hubo una entrega voluntaria). </w:t>
      </w:r>
    </w:p>
    <w:p w:rsidR="316C95C9" w:rsidP="16F744CF" w:rsidRDefault="316C95C9" w14:paraId="4184A1B7" w14:textId="2B8EB0CD">
      <w:pPr>
        <w:spacing w:line="240" w:lineRule="auto"/>
        <w:ind w:left="708"/>
        <w:jc w:val="both"/>
        <w:rPr>
          <w:rFonts w:ascii="Times New Roman" w:hAnsi="Times New Roman" w:cs="Times New Roman"/>
          <w:sz w:val="24"/>
          <w:szCs w:val="24"/>
          <w:lang w:val="es-PE"/>
        </w:rPr>
      </w:pPr>
      <w:r w:rsidRPr="16F744CF" w:rsidR="316C95C9">
        <w:rPr>
          <w:rFonts w:ascii="Times New Roman" w:hAnsi="Times New Roman" w:cs="Times New Roman"/>
          <w:sz w:val="24"/>
          <w:szCs w:val="24"/>
          <w:lang w:val="es-PE"/>
        </w:rPr>
        <w:t>Adicionalmente, este Colegiado destaca que habiéndose rechazado el siniestro sustentando el hecho en que el mismo ocurrió por resultar aplicable la figura del cambiazo, resulta manifiesto que la aseguradora tiene la carga procesal esencial de demostrar el cumplimiento de los requisitos para oponer válidamente el respectivo pacto, esto es, que haya informado de los alcances del seguro al asegurado. En consecuencia, al no cumplir con esa carga probatoria, la aseguradora no está legitimada para rechazar el siniestro reclamado.”</w:t>
      </w:r>
    </w:p>
    <w:p w:rsidRPr="00092C2E" w:rsidR="00092C2E" w:rsidP="00092C2E" w:rsidRDefault="00092C2E" w14:paraId="07169A2A"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b/>
          <w:bCs/>
          <w:sz w:val="24"/>
          <w:szCs w:val="24"/>
          <w:lang w:val="es-PE"/>
        </w:rPr>
        <w:t xml:space="preserve">TERCERO: </w:t>
      </w:r>
      <w:r w:rsidRPr="00092C2E">
        <w:rPr>
          <w:rFonts w:ascii="Times New Roman" w:hAnsi="Times New Roman" w:cs="Times New Roman"/>
          <w:sz w:val="24"/>
          <w:szCs w:val="24"/>
          <w:lang w:val="es-PE"/>
        </w:rPr>
        <w:t>Que, adjunto a la presentación por parte de la aseguradora de su Recurso Impugnativo, la misma adjunta dos (2) ejemplares de Certificados, uno firmado por la reclamante y el otro no firmado por la misma, con lo que considera acreditada le legitimidad para oponer la causal de exclusión de cobertura y la limitación de la póliza de Protección de Tarjeta.</w:t>
      </w:r>
    </w:p>
    <w:p w:rsidRPr="00092C2E" w:rsidR="00092C2E" w:rsidP="00092C2E" w:rsidRDefault="00092C2E" w14:paraId="0924EAAB"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b/>
          <w:bCs/>
          <w:sz w:val="24"/>
          <w:szCs w:val="24"/>
          <w:lang w:val="es-PE"/>
        </w:rPr>
        <w:t xml:space="preserve">CUARTO: </w:t>
      </w:r>
      <w:r w:rsidRPr="00092C2E">
        <w:rPr>
          <w:rFonts w:ascii="Times New Roman" w:hAnsi="Times New Roman" w:cs="Times New Roman"/>
          <w:sz w:val="24"/>
          <w:szCs w:val="24"/>
          <w:lang w:val="es-PE"/>
        </w:rPr>
        <w:t>Que, del análisis de los documentos adjuntados, esta Defensoría aprecia lo siguiente:</w:t>
      </w:r>
    </w:p>
    <w:p w:rsidRPr="00092C2E" w:rsidR="00092C2E" w:rsidP="00092C2E" w:rsidRDefault="00092C2E" w14:paraId="684B5871" w14:textId="77777777">
      <w:pPr>
        <w:pStyle w:val="Prrafodelista"/>
        <w:numPr>
          <w:ilvl w:val="0"/>
          <w:numId w:val="17"/>
        </w:numPr>
        <w:spacing w:after="200" w:line="240" w:lineRule="auto"/>
        <w:jc w:val="both"/>
        <w:rPr>
          <w:rFonts w:ascii="Times New Roman" w:hAnsi="Times New Roman" w:cs="Times New Roman"/>
          <w:i/>
          <w:iCs/>
          <w:sz w:val="24"/>
          <w:szCs w:val="24"/>
          <w:lang w:val="es-PE"/>
        </w:rPr>
      </w:pPr>
      <w:r w:rsidRPr="00092C2E">
        <w:rPr>
          <w:rFonts w:ascii="Times New Roman" w:hAnsi="Times New Roman" w:cs="Times New Roman"/>
          <w:sz w:val="24"/>
          <w:szCs w:val="24"/>
          <w:lang w:val="es-PE"/>
        </w:rPr>
        <w:t xml:space="preserve">Que, la aseguradora adjunta un primer Certificado debidamente firmado por la asegurada, que indica: número de certificado, importe de prima, moneda, forma de pago, fecha de emisión, inicio del seguro, fin del seguro, oficina gestora, tarjeta asegurada. Así mismo, datos personales de la asegurada, datos de la aseguradora, e información adicional que, sin embargo, no se menciona en ninguna parte las Coberturas de la póliza, cargas y exclusiones de </w:t>
      </w:r>
      <w:proofErr w:type="gramStart"/>
      <w:r w:rsidRPr="00092C2E">
        <w:rPr>
          <w:rFonts w:ascii="Times New Roman" w:hAnsi="Times New Roman" w:cs="Times New Roman"/>
          <w:sz w:val="24"/>
          <w:szCs w:val="24"/>
          <w:lang w:val="es-PE"/>
        </w:rPr>
        <w:t>la misma</w:t>
      </w:r>
      <w:proofErr w:type="gramEnd"/>
      <w:r w:rsidRPr="00092C2E">
        <w:rPr>
          <w:rFonts w:ascii="Times New Roman" w:hAnsi="Times New Roman" w:cs="Times New Roman"/>
          <w:sz w:val="24"/>
          <w:szCs w:val="24"/>
          <w:lang w:val="es-PE"/>
        </w:rPr>
        <w:t>.</w:t>
      </w:r>
    </w:p>
    <w:p w:rsidRPr="00092C2E" w:rsidR="00092C2E" w:rsidP="00092C2E" w:rsidRDefault="00092C2E" w14:paraId="2D8CDB57"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al final del mencionado certificado, se expresa lo siguiente:</w:t>
      </w:r>
    </w:p>
    <w:p w:rsidRPr="00092C2E" w:rsidR="00092C2E" w:rsidP="00092C2E" w:rsidRDefault="00092C2E" w14:paraId="0FC76EDA" w14:textId="77777777">
      <w:pPr>
        <w:spacing w:line="240" w:lineRule="auto"/>
        <w:jc w:val="both"/>
        <w:rPr>
          <w:rFonts w:ascii="Times New Roman" w:hAnsi="Times New Roman" w:cs="Times New Roman"/>
          <w:b/>
          <w:bCs/>
          <w:sz w:val="24"/>
          <w:szCs w:val="24"/>
          <w:lang w:val="es-PE"/>
        </w:rPr>
      </w:pPr>
      <w:r w:rsidRPr="00092C2E">
        <w:rPr>
          <w:rFonts w:ascii="Times New Roman" w:hAnsi="Times New Roman" w:cs="Times New Roman"/>
          <w:b/>
          <w:bCs/>
          <w:sz w:val="24"/>
          <w:szCs w:val="24"/>
          <w:lang w:val="es-PE"/>
        </w:rPr>
        <w:t xml:space="preserve">Mediante la firma de la presente Solicitud – Certificado de Seguro, el asegurado declara que tiene pleno conocimiento y que </w:t>
      </w:r>
      <w:proofErr w:type="spellStart"/>
      <w:r w:rsidRPr="00092C2E">
        <w:rPr>
          <w:rFonts w:ascii="Times New Roman" w:hAnsi="Times New Roman" w:cs="Times New Roman"/>
          <w:b/>
          <w:bCs/>
          <w:sz w:val="24"/>
          <w:szCs w:val="24"/>
          <w:lang w:val="es-PE"/>
        </w:rPr>
        <w:t>esta</w:t>
      </w:r>
      <w:proofErr w:type="spellEnd"/>
      <w:r w:rsidRPr="00092C2E">
        <w:rPr>
          <w:rFonts w:ascii="Times New Roman" w:hAnsi="Times New Roman" w:cs="Times New Roman"/>
          <w:b/>
          <w:bCs/>
          <w:sz w:val="24"/>
          <w:szCs w:val="24"/>
          <w:lang w:val="es-PE"/>
        </w:rPr>
        <w:t xml:space="preserve"> conforme con su contenido, y reconoce que dicho documento ha sido elaborado partiendo del supuesto de que el (asegurado) ha proporcionado información veraz. Al firmar la presente Solicitud – Certificado de Seguro, el asegurado acepta y está conforme con que esta Solicitud – Certificado se encuentra compuesta por una parte A y una Parte B y que son parte integrantes de la Solicitud – Certificado.</w:t>
      </w:r>
    </w:p>
    <w:p w:rsidRPr="00092C2E" w:rsidR="00092C2E" w:rsidP="00092C2E" w:rsidRDefault="00092C2E" w14:paraId="70F4574A"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lastRenderedPageBreak/>
        <w:t>Que, como se puede apreciar, el mencionado documento no cumple con informar a la asegurada de las Condiciones, Cargas y Exclusiones de la Póliza contratada.</w:t>
      </w:r>
    </w:p>
    <w:p w:rsidRPr="00092C2E" w:rsidR="00092C2E" w:rsidP="00092C2E" w:rsidRDefault="00092C2E" w14:paraId="68C5B7A1" w14:textId="77777777">
      <w:pPr>
        <w:pStyle w:val="Prrafodelista"/>
        <w:numPr>
          <w:ilvl w:val="0"/>
          <w:numId w:val="17"/>
        </w:numPr>
        <w:spacing w:after="200"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Que, en la segunda Solicitud – Certificado adjuntado, los datos de la asegurada, como el número de Certificado – Póliza, número de tarjeta, aparecen en blanco, apareciendo si, los datos de la Aseguradora y del Banco, por lo que el documento no prueba que está relacionado con la Póliza contratada. Que, así mismo, en este Certificado si aparecen las Coberturas, Cargas y Exclusiones de la Póliza, sin embargo, este documento no se encuentra firmado por la asegurada, por lo que no prueba que la misma fue suficientemente informada de las coberturas, cargas y exclusiones de la Póliza contratada.</w:t>
      </w:r>
    </w:p>
    <w:p w:rsidRPr="00092C2E" w:rsidR="00092C2E" w:rsidP="00092C2E" w:rsidRDefault="00092C2E" w14:paraId="04227E2C"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 xml:space="preserve">Que, en el caso de robo o hurto de la tarjeta de crédito y/o débito (supuestos a los que se refiere una de las coberturas principales de la póliza) hay una sustracción, un acto por el cual un tercero se apodera ilegítimamente de un bien mueble total o parcialmente ajeno (siendo que en el robo se emplea violencia y en el hurto no). En el presente caso, se aprecia que no hubo una entrega voluntaria de la tarjeta asegurada, sino que el desconocido arrebata la tarjeta a la reclamante y hay un forcejeo, y que luego de “supuestamente” recuperar la tarjeta (es decir, cuando ya se habría consumado el delito), la reclamante ingresa en el cajero la tarjeta falsa y aparece la indicación “tarjeta cancelada”, siendo </w:t>
      </w:r>
      <w:proofErr w:type="gramStart"/>
      <w:r w:rsidRPr="00092C2E">
        <w:rPr>
          <w:rFonts w:ascii="Times New Roman" w:hAnsi="Times New Roman" w:cs="Times New Roman"/>
          <w:sz w:val="24"/>
          <w:szCs w:val="24"/>
          <w:lang w:val="es-PE"/>
        </w:rPr>
        <w:t>que</w:t>
      </w:r>
      <w:proofErr w:type="gramEnd"/>
      <w:r w:rsidRPr="00092C2E">
        <w:rPr>
          <w:rFonts w:ascii="Times New Roman" w:hAnsi="Times New Roman" w:cs="Times New Roman"/>
          <w:sz w:val="24"/>
          <w:szCs w:val="24"/>
          <w:lang w:val="es-PE"/>
        </w:rPr>
        <w:t xml:space="preserve"> al costado, habían personas desconocidas que habrían estado observando la escena en forma sospechosa. De donde se aprecia que el delincuente se apoderó ilegítimamente de la tarjeta, luego de lo cual hizo un uso indebido de la misma. La aseguradora no ha indicado por qué dicha situación no correspondería a un robo o a un hurto, limitándose a señalar que ello es un cambiazo, admitiendo que en el cambiazo se produce una entrega voluntaria en base a engaños luego de la cual se produce el “cambio”, pero sin pronunciarse sobre los hechos descritos por la reclamante -que evidencian que no hubo una entrega voluntaria-, y sin acreditar la existencia de una exclusión que la libere de su obligación de pago, la cual para ser oponible debió ser debidamente puesta en conocimiento de la asegurada. </w:t>
      </w:r>
    </w:p>
    <w:p w:rsidRPr="00092C2E" w:rsidR="00092C2E" w:rsidP="00092C2E" w:rsidRDefault="00092C2E" w14:paraId="3A4F19ED"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Por consiguiente, este colegiado reitera su análisis contenido en la resolución recurrida.</w:t>
      </w:r>
    </w:p>
    <w:p w:rsidRPr="00092C2E" w:rsidR="00092C2E" w:rsidP="00092C2E" w:rsidRDefault="00092C2E" w14:paraId="07A27EEE" w14:textId="77777777">
      <w:pPr>
        <w:spacing w:line="240" w:lineRule="auto"/>
        <w:jc w:val="both"/>
        <w:rPr>
          <w:rFonts w:ascii="Times New Roman" w:hAnsi="Times New Roman" w:cs="Times New Roman"/>
          <w:sz w:val="24"/>
          <w:szCs w:val="24"/>
          <w:lang w:val="es-PE"/>
        </w:rPr>
      </w:pPr>
      <w:r w:rsidRPr="00092C2E">
        <w:rPr>
          <w:rFonts w:ascii="Times New Roman" w:hAnsi="Times New Roman" w:cs="Times New Roman"/>
          <w:sz w:val="24"/>
          <w:szCs w:val="24"/>
          <w:lang w:val="es-PE"/>
        </w:rPr>
        <w:t>En atención a las consideraciones precedentes, este colegiado no aprecia mérito ni razón objetiva para revocar la resolución recurrida y, por lo tanto</w:t>
      </w:r>
    </w:p>
    <w:p w:rsidRPr="00092C2E" w:rsidR="00092C2E" w:rsidP="00092C2E" w:rsidRDefault="00092C2E" w14:paraId="7FEC1E2A" w14:textId="77777777">
      <w:pPr>
        <w:spacing w:line="240" w:lineRule="auto"/>
        <w:jc w:val="both"/>
        <w:rPr>
          <w:rFonts w:ascii="Times New Roman" w:hAnsi="Times New Roman" w:cs="Times New Roman"/>
          <w:b/>
          <w:sz w:val="24"/>
          <w:szCs w:val="24"/>
          <w:lang w:val="es-PE"/>
        </w:rPr>
      </w:pPr>
      <w:r w:rsidRPr="00092C2E">
        <w:rPr>
          <w:rFonts w:ascii="Times New Roman" w:hAnsi="Times New Roman" w:cs="Times New Roman"/>
          <w:b/>
          <w:sz w:val="24"/>
          <w:szCs w:val="24"/>
          <w:lang w:val="es-PE"/>
        </w:rPr>
        <w:t xml:space="preserve">RESUELVE: </w:t>
      </w:r>
    </w:p>
    <w:p w:rsidRPr="00D248C5" w:rsidR="00C173A8" w:rsidP="16F744CF" w:rsidRDefault="00C173A8" w14:paraId="301E1FA3" w14:textId="74D2F22B">
      <w:pPr>
        <w:spacing w:after="0" w:line="240" w:lineRule="auto"/>
        <w:jc w:val="both"/>
        <w:rPr>
          <w:rFonts w:ascii="Times New Roman" w:hAnsi="Times New Roman" w:cs="Times New Roman"/>
          <w:sz w:val="24"/>
          <w:szCs w:val="24"/>
          <w:lang w:val="es-PE"/>
        </w:rPr>
      </w:pPr>
      <w:r w:rsidRPr="16F744CF" w:rsidR="316C95C9">
        <w:rPr>
          <w:rFonts w:ascii="Times New Roman" w:hAnsi="Times New Roman" w:cs="Times New Roman"/>
          <w:sz w:val="24"/>
          <w:szCs w:val="24"/>
          <w:lang w:val="es-PE"/>
        </w:rPr>
        <w:t xml:space="preserve">Declarar </w:t>
      </w:r>
      <w:r w:rsidRPr="16F744CF" w:rsidR="316C95C9">
        <w:rPr>
          <w:rFonts w:ascii="Times New Roman" w:hAnsi="Times New Roman" w:cs="Times New Roman"/>
          <w:b w:val="1"/>
          <w:bCs w:val="1"/>
          <w:sz w:val="24"/>
          <w:szCs w:val="24"/>
          <w:lang w:val="es-PE"/>
        </w:rPr>
        <w:t>INFUNDADO</w:t>
      </w:r>
      <w:r w:rsidRPr="16F744CF" w:rsidR="316C95C9">
        <w:rPr>
          <w:rFonts w:ascii="Times New Roman" w:hAnsi="Times New Roman" w:cs="Times New Roman"/>
          <w:sz w:val="24"/>
          <w:szCs w:val="24"/>
          <w:lang w:val="es-PE"/>
        </w:rPr>
        <w:t xml:space="preserve"> el Recurso Impugnativo interpuesto y, por consiguiente, RATIFICAR la Resolución </w:t>
      </w:r>
      <w:r w:rsidRPr="16F744CF" w:rsidR="316C95C9">
        <w:rPr>
          <w:rFonts w:ascii="Times New Roman" w:hAnsi="Times New Roman" w:cs="Times New Roman"/>
          <w:sz w:val="24"/>
          <w:szCs w:val="24"/>
          <w:lang w:val="es-PE"/>
        </w:rPr>
        <w:t>N°</w:t>
      </w:r>
      <w:r w:rsidRPr="16F744CF" w:rsidR="316C95C9">
        <w:rPr>
          <w:rFonts w:ascii="Times New Roman" w:hAnsi="Times New Roman" w:cs="Times New Roman"/>
          <w:sz w:val="24"/>
          <w:szCs w:val="24"/>
          <w:lang w:val="es-PE"/>
        </w:rPr>
        <w:t xml:space="preserve"> </w:t>
      </w:r>
      <w:r w:rsidRPr="16F744CF" w:rsidR="67CB024A">
        <w:rPr>
          <w:rFonts w:ascii="Times New Roman" w:hAnsi="Times New Roman" w:cs="Times New Roman"/>
          <w:sz w:val="24"/>
          <w:szCs w:val="24"/>
          <w:lang w:val="es-PE"/>
        </w:rPr>
        <w:t>.................</w:t>
      </w:r>
      <w:r w:rsidRPr="16F744CF" w:rsidR="316C95C9">
        <w:rPr>
          <w:rFonts w:ascii="Times New Roman" w:hAnsi="Times New Roman" w:cs="Times New Roman"/>
          <w:sz w:val="24"/>
          <w:szCs w:val="24"/>
          <w:lang w:val="es-PE"/>
        </w:rPr>
        <w:t xml:space="preserve"> que declaró </w:t>
      </w:r>
      <w:r w:rsidRPr="16F744CF" w:rsidR="316C95C9">
        <w:rPr>
          <w:rFonts w:ascii="Times New Roman" w:hAnsi="Times New Roman" w:cs="Times New Roman"/>
          <w:b w:val="1"/>
          <w:bCs w:val="1"/>
          <w:sz w:val="24"/>
          <w:szCs w:val="24"/>
          <w:lang w:val="es-PE"/>
        </w:rPr>
        <w:t>FUNDADA</w:t>
      </w:r>
      <w:r w:rsidRPr="16F744CF" w:rsidR="316C95C9">
        <w:rPr>
          <w:rFonts w:ascii="Times New Roman" w:hAnsi="Times New Roman" w:cs="Times New Roman"/>
          <w:sz w:val="24"/>
          <w:szCs w:val="24"/>
          <w:lang w:val="es-PE"/>
        </w:rPr>
        <w:t xml:space="preserve"> la reclamación interpuesta.</w:t>
      </w:r>
    </w:p>
    <w:p w:rsidRPr="00D248C5" w:rsidR="00C173A8" w:rsidP="00092C2E" w:rsidRDefault="00C173A8" w14:paraId="21EFD7D3" w14:textId="07AD532C">
      <w:pPr>
        <w:suppressAutoHyphens/>
        <w:spacing w:after="0" w:line="240" w:lineRule="auto"/>
        <w:jc w:val="right"/>
        <w:outlineLvl w:val="0"/>
        <w:rPr>
          <w:rFonts w:ascii="Times New Roman" w:hAnsi="Times New Roman" w:eastAsia="Arial Unicode MS" w:cs="Times New Roman"/>
          <w:sz w:val="24"/>
          <w:szCs w:val="24"/>
          <w:lang w:val="es-PE" w:eastAsia="ar-SA"/>
        </w:rPr>
      </w:pPr>
      <w:r w:rsidRPr="00D248C5">
        <w:rPr>
          <w:rFonts w:ascii="Times New Roman" w:hAnsi="Times New Roman" w:eastAsia="Arial Unicode MS" w:cs="Times New Roman"/>
          <w:sz w:val="24"/>
          <w:szCs w:val="24"/>
          <w:lang w:val="es-PE" w:eastAsia="ar-SA"/>
        </w:rPr>
        <w:t xml:space="preserve">Lima, </w:t>
      </w:r>
      <w:r w:rsidR="00092C2E">
        <w:rPr>
          <w:rFonts w:ascii="Times New Roman" w:hAnsi="Times New Roman" w:eastAsia="Arial Unicode MS" w:cs="Times New Roman"/>
          <w:sz w:val="24"/>
          <w:szCs w:val="24"/>
          <w:lang w:val="es-PE" w:eastAsia="ar-SA"/>
        </w:rPr>
        <w:t>22</w:t>
      </w:r>
      <w:r w:rsidRPr="00D248C5">
        <w:rPr>
          <w:rFonts w:ascii="Times New Roman" w:hAnsi="Times New Roman" w:eastAsia="Arial Unicode MS" w:cs="Times New Roman"/>
          <w:sz w:val="24"/>
          <w:szCs w:val="24"/>
          <w:lang w:val="es-PE" w:eastAsia="ar-SA"/>
        </w:rPr>
        <w:t xml:space="preserve"> de </w:t>
      </w:r>
      <w:r w:rsidRPr="00D248C5" w:rsidR="006E5783">
        <w:rPr>
          <w:rFonts w:ascii="Times New Roman" w:hAnsi="Times New Roman" w:eastAsia="Arial Unicode MS" w:cs="Times New Roman"/>
          <w:sz w:val="24"/>
          <w:szCs w:val="24"/>
          <w:lang w:val="es-PE" w:eastAsia="ar-SA"/>
        </w:rPr>
        <w:t>junio</w:t>
      </w:r>
      <w:r w:rsidRPr="00D248C5">
        <w:rPr>
          <w:rFonts w:ascii="Times New Roman" w:hAnsi="Times New Roman" w:eastAsia="Arial Unicode MS" w:cs="Times New Roman"/>
          <w:sz w:val="24"/>
          <w:szCs w:val="24"/>
          <w:lang w:val="es-PE" w:eastAsia="ar-SA"/>
        </w:rPr>
        <w:t xml:space="preserve"> de 2022</w:t>
      </w:r>
      <w:r w:rsidRPr="00D248C5">
        <w:rPr>
          <w:rFonts w:ascii="Times New Roman" w:hAnsi="Times New Roman" w:eastAsia="Times New Roman" w:cs="Times New Roman"/>
          <w:sz w:val="24"/>
          <w:szCs w:val="24"/>
          <w:lang w:val="es-PE" w:eastAsia="ar-SA"/>
        </w:rPr>
        <w:t xml:space="preserve"> </w:t>
      </w:r>
    </w:p>
    <w:p w:rsidRPr="00D248C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248C5" w:rsidR="00C173A8" w:rsidP="16F744CF" w:rsidRDefault="00C173A8" w14:paraId="1F888041" w14:textId="5AEC7366">
      <w:pPr>
        <w:spacing w:after="0" w:line="240" w:lineRule="auto"/>
        <w:jc w:val="both"/>
        <w:rPr>
          <w:rFonts w:ascii="Times New Roman" w:hAnsi="Times New Roman" w:cs="Times New Roman"/>
          <w:b w:val="1"/>
          <w:bCs w:val="1"/>
          <w:i w:val="1"/>
          <w:iCs w:val="1"/>
          <w:sz w:val="24"/>
          <w:szCs w:val="24"/>
          <w:lang w:val="es-PE"/>
        </w:rPr>
      </w:pPr>
      <w:r w:rsidRPr="16F744CF" w:rsidR="4E214F03">
        <w:rPr>
          <w:rFonts w:ascii="Times New Roman" w:hAnsi="Times New Roman" w:cs="Times New Roman"/>
          <w:b w:val="1"/>
          <w:bCs w:val="1"/>
          <w:i w:val="1"/>
          <w:iCs w:val="1"/>
          <w:sz w:val="24"/>
          <w:szCs w:val="24"/>
          <w:lang w:val="es-PE"/>
        </w:rPr>
        <w:t>La Secretaría Técnica certifica que la presente resolución cuenta con el voto de los vocales cuyos nombres figuran en el presente documento.</w:t>
      </w:r>
    </w:p>
    <w:p w:rsidR="16F744CF" w:rsidP="16F744CF" w:rsidRDefault="16F744CF" w14:paraId="3E3C2950" w14:textId="1C282084">
      <w:pPr>
        <w:spacing w:after="0" w:line="240" w:lineRule="auto"/>
        <w:jc w:val="both"/>
        <w:rPr>
          <w:rFonts w:ascii="Times New Roman" w:hAnsi="Times New Roman" w:cs="Times New Roman"/>
          <w:b w:val="1"/>
          <w:bCs w:val="1"/>
          <w:i w:val="1"/>
          <w:iCs w:val="1"/>
          <w:sz w:val="24"/>
          <w:szCs w:val="24"/>
          <w:lang w:val="es-PE"/>
        </w:rPr>
      </w:pPr>
    </w:p>
    <w:p w:rsidRPr="00D248C5"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Marco Antonio Ortega Piana – </w:t>
      </w:r>
      <w:proofErr w:type="gramStart"/>
      <w:r w:rsidRPr="00D248C5">
        <w:rPr>
          <w:rFonts w:ascii="Times New Roman" w:hAnsi="Times New Roman" w:cs="Times New Roman"/>
          <w:b/>
          <w:bCs/>
          <w:sz w:val="24"/>
          <w:szCs w:val="24"/>
          <w:lang w:val="es-PE"/>
        </w:rPr>
        <w:t>Presidente</w:t>
      </w:r>
      <w:proofErr w:type="gramEnd"/>
    </w:p>
    <w:p w:rsidRPr="00D248C5"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María Eugenia Valdez Fernández Baca – </w:t>
      </w:r>
      <w:r w:rsidRPr="00D248C5" w:rsidR="001B1998">
        <w:rPr>
          <w:rFonts w:ascii="Times New Roman" w:hAnsi="Times New Roman" w:cs="Times New Roman"/>
          <w:b/>
          <w:bCs/>
          <w:sz w:val="24"/>
          <w:szCs w:val="24"/>
          <w:lang w:val="es-PE"/>
        </w:rPr>
        <w:t>Vocal</w:t>
      </w:r>
    </w:p>
    <w:p w:rsidR="4E214F03" w:rsidP="16F744CF" w:rsidRDefault="4E214F03" w14:paraId="1280C9E2" w14:textId="5AB611B1">
      <w:pPr>
        <w:spacing w:after="0" w:line="360" w:lineRule="auto"/>
        <w:jc w:val="center"/>
        <w:rPr>
          <w:rFonts w:ascii="Times New Roman" w:hAnsi="Times New Roman" w:cs="Times New Roman"/>
          <w:b w:val="1"/>
          <w:bCs w:val="1"/>
          <w:sz w:val="24"/>
          <w:szCs w:val="24"/>
          <w:lang w:val="es-PE"/>
        </w:rPr>
      </w:pPr>
      <w:r w:rsidRPr="16F744CF" w:rsidR="4E214F03">
        <w:rPr>
          <w:rFonts w:ascii="Times New Roman" w:hAnsi="Times New Roman" w:cs="Times New Roman"/>
          <w:b w:val="1"/>
          <w:bCs w:val="1"/>
          <w:sz w:val="24"/>
          <w:szCs w:val="24"/>
          <w:lang w:val="es-PE"/>
        </w:rPr>
        <w:t xml:space="preserve">Rolando Eyzaguirre </w:t>
      </w:r>
      <w:r w:rsidRPr="16F744CF" w:rsidR="4E214F03">
        <w:rPr>
          <w:rFonts w:ascii="Times New Roman" w:hAnsi="Times New Roman" w:cs="Times New Roman"/>
          <w:b w:val="1"/>
          <w:bCs w:val="1"/>
          <w:sz w:val="24"/>
          <w:szCs w:val="24"/>
          <w:lang w:val="es-PE"/>
        </w:rPr>
        <w:t>Maccan</w:t>
      </w:r>
      <w:r w:rsidRPr="16F744CF" w:rsidR="63DA297C">
        <w:rPr>
          <w:rFonts w:ascii="Times New Roman" w:hAnsi="Times New Roman" w:cs="Times New Roman"/>
          <w:b w:val="1"/>
          <w:bCs w:val="1"/>
          <w:sz w:val="24"/>
          <w:szCs w:val="24"/>
          <w:lang w:val="es-PE"/>
        </w:rPr>
        <w:t xml:space="preserve"> – </w:t>
      </w:r>
      <w:r w:rsidRPr="16F744CF" w:rsidR="4E214F03">
        <w:rPr>
          <w:rFonts w:ascii="Times New Roman" w:hAnsi="Times New Roman" w:cs="Times New Roman"/>
          <w:b w:val="1"/>
          <w:bCs w:val="1"/>
          <w:sz w:val="24"/>
          <w:szCs w:val="24"/>
          <w:lang w:val="es-PE"/>
        </w:rPr>
        <w:t>Vocal</w:t>
      </w:r>
    </w:p>
    <w:p w:rsidRPr="00D248C5"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248C5">
        <w:rPr>
          <w:rFonts w:ascii="Times New Roman" w:hAnsi="Times New Roman" w:cs="Times New Roman"/>
          <w:b/>
          <w:bCs/>
          <w:sz w:val="24"/>
          <w:szCs w:val="24"/>
          <w:lang w:val="es-PE"/>
        </w:rPr>
        <w:lastRenderedPageBreak/>
        <w:t>Gonzalo Abad del Busto – Vocal</w:t>
      </w:r>
    </w:p>
    <w:p w:rsidRPr="00913230" w:rsidR="00C671F5" w:rsidP="16F744CF" w:rsidRDefault="00C671F5" w14:paraId="2C3A0205" w14:textId="6CBE688F">
      <w:pPr>
        <w:pStyle w:val="Normal"/>
        <w:spacing w:after="0" w:line="360" w:lineRule="auto"/>
        <w:outlineLvl w:val="0"/>
        <w:rPr>
          <w:rFonts w:ascii="Times New Roman" w:hAnsi="Times New Roman" w:eastAsia="Arial Unicode MS" w:cs="Times New Roman"/>
          <w:sz w:val="24"/>
          <w:szCs w:val="24"/>
          <w:lang w:val="es-PE"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503C7" w:rsidP="00784355" w:rsidRDefault="00B503C7" w14:paraId="41518D84" w14:textId="77777777">
      <w:pPr>
        <w:spacing w:after="0" w:line="240" w:lineRule="auto"/>
      </w:pPr>
      <w:r>
        <w:separator/>
      </w:r>
    </w:p>
  </w:endnote>
  <w:endnote w:type="continuationSeparator" w:id="0">
    <w:p w:rsidR="00B503C7" w:rsidP="00784355" w:rsidRDefault="00B503C7" w14:paraId="7C940BD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503C7" w:rsidP="00784355" w:rsidRDefault="00B503C7" w14:paraId="1F724EB7" w14:textId="77777777">
      <w:pPr>
        <w:spacing w:after="0" w:line="240" w:lineRule="auto"/>
      </w:pPr>
      <w:r>
        <w:separator/>
      </w:r>
    </w:p>
  </w:footnote>
  <w:footnote w:type="continuationSeparator" w:id="0">
    <w:p w:rsidR="00B503C7" w:rsidP="00784355" w:rsidRDefault="00B503C7" w14:paraId="354677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2"/>
  </w:num>
  <w:num w:numId="3" w16cid:durableId="760956054">
    <w:abstractNumId w:val="8"/>
  </w:num>
  <w:num w:numId="4" w16cid:durableId="1079518208">
    <w:abstractNumId w:val="7"/>
  </w:num>
  <w:num w:numId="5" w16cid:durableId="1198003566">
    <w:abstractNumId w:val="10"/>
  </w:num>
  <w:num w:numId="6" w16cid:durableId="1607540339">
    <w:abstractNumId w:val="0"/>
  </w:num>
  <w:num w:numId="7" w16cid:durableId="1490902120">
    <w:abstractNumId w:val="14"/>
  </w:num>
  <w:num w:numId="8" w16cid:durableId="615214413">
    <w:abstractNumId w:val="15"/>
  </w:num>
  <w:num w:numId="9" w16cid:durableId="10181194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2C2E"/>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5B14"/>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07E44"/>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0AD"/>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03C7"/>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511D0D3"/>
    <w:rsid w:val="055BD86F"/>
    <w:rsid w:val="089B39E2"/>
    <w:rsid w:val="0B8091CA"/>
    <w:rsid w:val="16F744CF"/>
    <w:rsid w:val="1A5B5CA9"/>
    <w:rsid w:val="2571D90F"/>
    <w:rsid w:val="316C95C9"/>
    <w:rsid w:val="3F5C4996"/>
    <w:rsid w:val="4CC34E4D"/>
    <w:rsid w:val="4E214F03"/>
    <w:rsid w:val="50AC9AAF"/>
    <w:rsid w:val="5F11C927"/>
    <w:rsid w:val="61243C2A"/>
    <w:rsid w:val="63DA297C"/>
    <w:rsid w:val="67CB024A"/>
    <w:rsid w:val="68096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bc85bd999ee54712"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696E2AE-0C13-4DB9-B06E-CA2FBF0A9934}"/>
</file>

<file path=customXml/itemProps3.xml><?xml version="1.0" encoding="utf-8"?>
<ds:datastoreItem xmlns:ds="http://schemas.openxmlformats.org/officeDocument/2006/customXml" ds:itemID="{8846368D-BB21-41A7-BFB9-FF2D825D8D97}"/>
</file>

<file path=customXml/itemProps4.xml><?xml version="1.0" encoding="utf-8"?>
<ds:datastoreItem xmlns:ds="http://schemas.openxmlformats.org/officeDocument/2006/customXml" ds:itemID="{9B28B9AB-EBCE-4FDE-9465-9893365561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128</cp:revision>
  <cp:lastPrinted>2022-06-22T16:35:00Z</cp:lastPrinted>
  <dcterms:created xsi:type="dcterms:W3CDTF">2020-12-18T20:17:00Z</dcterms:created>
  <dcterms:modified xsi:type="dcterms:W3CDTF">2025-11-27T14:45:31Z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