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8C5" w:rsidR="00B10F71" w:rsidP="00041B86" w:rsidRDefault="00201C0D" w14:paraId="51974F0B" w14:textId="051142A2">
      <w:pPr>
        <w:spacing w:after="0" w:line="240" w:lineRule="auto"/>
        <w:jc w:val="center"/>
        <w:rPr>
          <w:rFonts w:ascii="Times New Roman" w:hAnsi="Times New Roman" w:cs="Times New Roman"/>
          <w:b/>
          <w:sz w:val="24"/>
          <w:szCs w:val="24"/>
          <w:lang w:val="es-PE" w:eastAsia="ar-SA"/>
        </w:rPr>
      </w:pPr>
      <w:r w:rsidRPr="00D248C5">
        <w:rPr>
          <w:rFonts w:ascii="Times New Roman" w:hAnsi="Times New Roman" w:cs="Times New Roman"/>
          <w:b/>
          <w:sz w:val="24"/>
          <w:szCs w:val="24"/>
          <w:lang w:val="es-PE" w:eastAsia="ar-SA"/>
        </w:rPr>
        <w:t xml:space="preserve">RESOLUCIÓN DE RECURSO IMPUGNATIVO </w:t>
      </w:r>
      <w:r w:rsidRPr="00D248C5" w:rsidR="00707C99">
        <w:rPr>
          <w:rFonts w:ascii="Times New Roman" w:hAnsi="Times New Roman" w:cs="Times New Roman"/>
          <w:b/>
          <w:sz w:val="24"/>
          <w:szCs w:val="24"/>
          <w:lang w:val="es-PE" w:eastAsia="ar-SA"/>
        </w:rPr>
        <w:t xml:space="preserve">N° </w:t>
      </w:r>
      <w:r w:rsidRPr="00D248C5" w:rsidR="00C671F5">
        <w:rPr>
          <w:rFonts w:ascii="Times New Roman" w:hAnsi="Times New Roman" w:cs="Times New Roman"/>
          <w:b/>
          <w:sz w:val="24"/>
          <w:szCs w:val="24"/>
          <w:lang w:val="es-PE" w:eastAsia="ar-SA"/>
        </w:rPr>
        <w:t>0</w:t>
      </w:r>
      <w:r w:rsidRPr="00D248C5" w:rsidR="009F3B93">
        <w:rPr>
          <w:rFonts w:ascii="Times New Roman" w:hAnsi="Times New Roman" w:cs="Times New Roman"/>
          <w:b/>
          <w:sz w:val="24"/>
          <w:szCs w:val="24"/>
          <w:lang w:val="es-PE" w:eastAsia="ar-SA"/>
        </w:rPr>
        <w:t>3</w:t>
      </w:r>
      <w:r w:rsidR="006277AC">
        <w:rPr>
          <w:rFonts w:ascii="Times New Roman" w:hAnsi="Times New Roman" w:cs="Times New Roman"/>
          <w:b/>
          <w:sz w:val="24"/>
          <w:szCs w:val="24"/>
          <w:lang w:val="es-PE" w:eastAsia="ar-SA"/>
        </w:rPr>
        <w:t>9</w:t>
      </w:r>
      <w:r w:rsidRPr="00D248C5" w:rsidR="00C671F5">
        <w:rPr>
          <w:rFonts w:ascii="Times New Roman" w:hAnsi="Times New Roman" w:cs="Times New Roman"/>
          <w:b/>
          <w:sz w:val="24"/>
          <w:szCs w:val="24"/>
          <w:lang w:val="es-PE" w:eastAsia="ar-SA"/>
        </w:rPr>
        <w:t>/2</w:t>
      </w:r>
      <w:r w:rsidRPr="00D248C5" w:rsidR="00B93C7A">
        <w:rPr>
          <w:rFonts w:ascii="Times New Roman" w:hAnsi="Times New Roman" w:cs="Times New Roman"/>
          <w:b/>
          <w:sz w:val="24"/>
          <w:szCs w:val="24"/>
          <w:lang w:val="es-PE" w:eastAsia="ar-SA"/>
        </w:rPr>
        <w:t>2</w:t>
      </w:r>
    </w:p>
    <w:p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00F6061C" w:rsidP="00F6061C" w:rsidRDefault="00F6061C" w14:paraId="62E018C6"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F6061C" w:rsidP="701B362E" w:rsidRDefault="00F6061C" w14:paraId="4A235333" w14:textId="2A702C95">
      <w:pPr>
        <w:jc w:val="both"/>
        <w:rPr>
          <w:rFonts w:ascii="Times New Roman" w:hAnsi="Times New Roman" w:cs="Times New Roman"/>
          <w:b w:val="1"/>
          <w:bCs w:val="1"/>
          <w:sz w:val="24"/>
          <w:szCs w:val="24"/>
          <w:lang w:val="es-MX"/>
        </w:rPr>
      </w:pPr>
      <w:r w:rsidRPr="701B362E" w:rsidR="00F6061C">
        <w:rPr>
          <w:rFonts w:ascii="Times New Roman" w:hAnsi="Times New Roman" w:cs="Times New Roman"/>
          <w:sz w:val="24"/>
          <w:szCs w:val="24"/>
          <w:lang w:val="es-PE"/>
        </w:rPr>
        <w:t xml:space="preserve">El recurso de impugnación presentado por </w:t>
      </w:r>
      <w:r w:rsidRPr="701B362E" w:rsidR="1DFD2B8A">
        <w:rPr>
          <w:rFonts w:ascii="Times New Roman" w:hAnsi="Times New Roman" w:cs="Times New Roman"/>
          <w:b w:val="1"/>
          <w:bCs w:val="1"/>
          <w:sz w:val="24"/>
          <w:szCs w:val="24"/>
          <w:lang w:val="es-PE"/>
        </w:rPr>
        <w:t>...........................................................................</w:t>
      </w:r>
      <w:r w:rsidRPr="701B362E" w:rsidR="00F6061C">
        <w:rPr>
          <w:rFonts w:ascii="Times New Roman" w:hAnsi="Times New Roman" w:cs="Times New Roman"/>
          <w:b w:val="1"/>
          <w:bCs w:val="1"/>
          <w:sz w:val="24"/>
          <w:szCs w:val="24"/>
          <w:lang w:val="es-PE"/>
        </w:rPr>
        <w:t xml:space="preserve"> </w:t>
      </w:r>
      <w:r w:rsidRPr="701B362E" w:rsidR="00F6061C">
        <w:rPr>
          <w:rFonts w:ascii="Times New Roman" w:hAnsi="Times New Roman" w:cs="Times New Roman"/>
          <w:sz w:val="24"/>
          <w:szCs w:val="24"/>
          <w:lang w:val="es-PE"/>
        </w:rPr>
        <w:t xml:space="preserve">respecto de la Resolución Nro. </w:t>
      </w:r>
      <w:r w:rsidRPr="701B362E" w:rsidR="09949A69">
        <w:rPr>
          <w:rFonts w:ascii="Times New Roman" w:hAnsi="Times New Roman" w:cs="Times New Roman"/>
          <w:sz w:val="24"/>
          <w:szCs w:val="24"/>
          <w:lang w:val="es-PE"/>
        </w:rPr>
        <w:t>...............</w:t>
      </w:r>
      <w:r w:rsidRPr="701B362E" w:rsidR="00F6061C">
        <w:rPr>
          <w:rFonts w:ascii="Times New Roman" w:hAnsi="Times New Roman" w:cs="Times New Roman"/>
          <w:sz w:val="24"/>
          <w:szCs w:val="24"/>
          <w:lang w:val="es-PE"/>
        </w:rPr>
        <w:t xml:space="preserve">, expedida por el Órgano Resolutivo Unipersonal de esta Defensoría del Asegurado (DEFASEG), conforme a la cual se declaró INFUNDADA la reclamación interpuesta contra </w:t>
      </w:r>
      <w:r w:rsidRPr="701B362E" w:rsidR="14D769A3">
        <w:rPr>
          <w:rFonts w:ascii="Times New Roman" w:hAnsi="Times New Roman" w:cs="Times New Roman"/>
          <w:b w:val="1"/>
          <w:bCs w:val="1"/>
          <w:sz w:val="24"/>
          <w:szCs w:val="24"/>
          <w:lang w:val="es-PE"/>
        </w:rPr>
        <w:t>.......................................................................</w:t>
      </w:r>
      <w:r w:rsidRPr="701B362E" w:rsidR="00F6061C">
        <w:rPr>
          <w:rFonts w:ascii="Times New Roman" w:hAnsi="Times New Roman" w:cs="Times New Roman"/>
          <w:b w:val="1"/>
          <w:bCs w:val="1"/>
          <w:sz w:val="24"/>
          <w:szCs w:val="24"/>
          <w:lang w:val="es-PE"/>
        </w:rPr>
        <w:t xml:space="preserve"> </w:t>
      </w:r>
      <w:r w:rsidRPr="701B362E" w:rsidR="00F6061C">
        <w:rPr>
          <w:rFonts w:ascii="Times New Roman" w:hAnsi="Times New Roman" w:cs="Times New Roman"/>
          <w:sz w:val="24"/>
          <w:szCs w:val="24"/>
          <w:lang w:val="es-PE"/>
        </w:rPr>
        <w:t>en relación con el</w:t>
      </w:r>
      <w:r w:rsidRPr="701B362E" w:rsidR="00F6061C">
        <w:rPr>
          <w:rFonts w:ascii="Times New Roman" w:hAnsi="Times New Roman" w:cs="Times New Roman"/>
          <w:b w:val="1"/>
          <w:bCs w:val="1"/>
          <w:sz w:val="24"/>
          <w:szCs w:val="24"/>
          <w:lang w:val="es-MX"/>
        </w:rPr>
        <w:t xml:space="preserve"> SEGURO DE PROTECCIÓN DE TARJETA DE DÉBITO </w:t>
      </w:r>
      <w:r w:rsidRPr="701B362E" w:rsidR="00F6061C">
        <w:rPr>
          <w:rFonts w:ascii="Times New Roman" w:hAnsi="Times New Roman" w:cs="Times New Roman"/>
          <w:b w:val="1"/>
          <w:bCs w:val="1"/>
          <w:sz w:val="24"/>
          <w:szCs w:val="24"/>
          <w:lang w:val="es-MX"/>
        </w:rPr>
        <w:t>N°</w:t>
      </w:r>
      <w:r w:rsidRPr="701B362E" w:rsidR="00F6061C">
        <w:rPr>
          <w:rFonts w:ascii="Times New Roman" w:hAnsi="Times New Roman" w:cs="Times New Roman"/>
          <w:b w:val="1"/>
          <w:bCs w:val="1"/>
          <w:sz w:val="24"/>
          <w:szCs w:val="24"/>
          <w:lang w:val="es-MX"/>
        </w:rPr>
        <w:t xml:space="preserve"> </w:t>
      </w:r>
      <w:r w:rsidRPr="701B362E" w:rsidR="7F851CBD">
        <w:rPr>
          <w:rFonts w:ascii="Times New Roman" w:hAnsi="Times New Roman" w:cs="Times New Roman"/>
          <w:b w:val="1"/>
          <w:bCs w:val="1"/>
          <w:sz w:val="24"/>
          <w:szCs w:val="24"/>
          <w:lang w:val="es-MX"/>
        </w:rPr>
        <w:t>...............</w:t>
      </w:r>
      <w:r w:rsidRPr="701B362E" w:rsidR="729F87CE">
        <w:rPr>
          <w:rFonts w:ascii="Times New Roman" w:hAnsi="Times New Roman" w:cs="Times New Roman"/>
          <w:b w:val="1"/>
          <w:bCs w:val="1"/>
          <w:sz w:val="24"/>
          <w:szCs w:val="24"/>
          <w:lang w:val="es-MX"/>
        </w:rPr>
        <w:t>......</w:t>
      </w:r>
    </w:p>
    <w:p w:rsidR="00F6061C" w:rsidP="0FA6279E" w:rsidRDefault="00F6061C" w14:paraId="483B9B40" w14:textId="7F04B238">
      <w:pPr>
        <w:pStyle w:val="Textoindependiente"/>
        <w:rPr>
          <w:b w:val="1"/>
          <w:bCs w:val="1"/>
        </w:rPr>
      </w:pPr>
      <w:r w:rsidR="00F6061C">
        <w:rPr/>
        <w:t xml:space="preserve">Que, el indicado recurso se sustenta resumidamente en lo siguiente: a) Por el exceso de tiempo de solución ante su problema. Su reclamó se inició al día siguiente del robo virtual el 16 de julio de 2021. En la agencia del </w:t>
      </w:r>
      <w:r w:rsidR="1526FBB3">
        <w:rPr/>
        <w:t>..................................</w:t>
      </w:r>
      <w:r w:rsidR="00F6061C">
        <w:rPr/>
        <w:t xml:space="preserve"> le obstruían la información del delincuente. En la aseguradora se inventan varios conceptos para evitar asumir su responsabilidad de pagar la tarjeta asegurada; b) el banco promociona aplicativos vía internet para facilitar la operación de movimientos que realiza el usuario y es desde ese aplicativo donde sucedió el robo de su tarjeta; c) la aseguradora tiene un convenio con el </w:t>
      </w:r>
      <w:r w:rsidR="1526FBB3">
        <w:rPr/>
        <w:t>..................................</w:t>
      </w:r>
      <w:r w:rsidR="00F6061C">
        <w:rPr/>
        <w:t xml:space="preserve"> de vender su producto de tarjeta asegurada y por tal el usuario paga, pero no comunican al usuario solo recibe la tarjeta sin saber que está asegurada y le descuentan por ello; d) en la sentencia reconocen que es un robo virtual, pero no coincide con ninguno de los ítems (phishing) sobre la tarjeta asegura, porque no dice correo. Totalmente falso ahora el internet tiene WhatsApp, Messenger y muchos aplicativos que utilizan los hackers superando a los correos. Así los robos aumentan y la aseguradora evade su responsabilidad manifestando que no es por correo; e) con todas las evidencias comenzando con los funcionarios del banco y de la aseguradora que envíe no observa en la sentencia de involucrarles </w:t>
      </w:r>
      <w:r w:rsidR="00F6061C">
        <w:rPr/>
        <w:t>ana</w:t>
      </w:r>
      <w:r w:rsidR="00F6061C">
        <w:rPr/>
        <w:t xml:space="preserve"> a estos malos funcionarios</w:t>
      </w:r>
      <w:r w:rsidR="47CD4EE5">
        <w:rPr/>
        <w:t>.</w:t>
      </w:r>
    </w:p>
    <w:p w:rsidR="00F6061C" w:rsidP="00F6061C" w:rsidRDefault="00F6061C" w14:paraId="31BFCA48" w14:textId="77777777">
      <w:pPr>
        <w:pStyle w:val="Textoindependiente"/>
      </w:pPr>
    </w:p>
    <w:p w:rsidR="00F6061C" w:rsidP="00F6061C" w:rsidRDefault="00F6061C" w14:paraId="25BFF271" w14:textId="5B87CDD4">
      <w:pPr>
        <w:pStyle w:val="Textoindependiente"/>
      </w:pPr>
      <w:r w:rsidR="00F6061C">
        <w:rPr/>
        <w:t xml:space="preserve">Que, </w:t>
      </w:r>
      <w:r w:rsidR="372950BD">
        <w:rPr/>
        <w:t>..................................</w:t>
      </w:r>
      <w:r w:rsidR="0EC42030">
        <w:rPr/>
        <w:t xml:space="preserve"> </w:t>
      </w:r>
      <w:r w:rsidR="00F6061C">
        <w:rPr/>
        <w:t>absolvió el traslado del recurso impugnatorio indicando, en síntesis, lo siguiente: a) De la revisión del recurso impugnatorio, no se advierte ningún medio de prueba idóneo y fehaciente que acredite lo alegado por el reclamante; ni mucho menos un medio de prueba documental que permita siquiera cambiar en sentido de lo resuelto por la Defensoría del Asegurado; por tanto, su recurso impugnatorio debe ser declarado INFUNDADO; b)  reiterar y manifestar nuestra posición de rechazo, toda vez que, conforme ya señalamos, la modalidad empleada por los delincuentes que se apoderaron de su dinero, no coincide con ninguna de las coberturas descritas en su póliza, motivo por el cual, no es posible atender su solicitud de indemnización, a razón que, el referido evento no se encuentra enmarcado en ninguna de las coberturas del seguro contratado; c) se le informó al reclamante que la circunstancia del presente evento no encuentra amparo bajo la cobertura de phishing, ello debido a que esta se extiende a cubrir únicamente si el agravio ocurre como consecuencia</w:t>
      </w:r>
      <w:r w:rsidR="66869CAE">
        <w:rPr/>
        <w:t>s</w:t>
      </w:r>
      <w:r w:rsidR="00F6061C">
        <w:rPr/>
        <w:t xml:space="preserve"> de la recepción de un correo electrónico fraudulento; d) en el </w:t>
      </w:r>
      <w:r w:rsidR="00F6061C">
        <w:rPr/>
        <w:t>voucher</w:t>
      </w:r>
      <w:r w:rsidR="00F6061C">
        <w:rPr/>
        <w:t xml:space="preserve"> de contratación de seguro - Póliza </w:t>
      </w:r>
      <w:r w:rsidR="00F6061C">
        <w:rPr/>
        <w:t>N°</w:t>
      </w:r>
      <w:r w:rsidR="00F6061C">
        <w:rPr/>
        <w:t xml:space="preserve"> </w:t>
      </w:r>
      <w:r w:rsidR="4F3F7676">
        <w:rPr/>
        <w:t>..........</w:t>
      </w:r>
      <w:r w:rsidR="7F851CBD">
        <w:rPr/>
        <w:t>.................</w:t>
      </w:r>
      <w:r w:rsidR="00F6061C">
        <w:rPr/>
        <w:t>, se detalla que el reclamante recibió conforme la Póliza contratada, firmando en señal de conformidad, demostrando que conocía las Condiciones Generales y Particulares de la Póliza; e) es oportuno señalar que el reclamante, no ha indicado en su escrito</w:t>
      </w:r>
      <w:r w:rsidR="1E6CBE3E">
        <w:rPr/>
        <w:t>.</w:t>
      </w:r>
    </w:p>
    <w:p w:rsidR="00F6061C" w:rsidP="00F6061C" w:rsidRDefault="00F6061C" w14:paraId="4FC49B10" w14:textId="77777777">
      <w:pPr>
        <w:pStyle w:val="Textoindependiente"/>
      </w:pPr>
      <w:r>
        <w:t>de reclamo el hecho de desconocer el contenido de las cláusulas contractuales, o que el Banco no le haya brindado copia de la Póliza contratada al momento de la autorización de la contratación del seguro; por tanto, no puede realizar afirmaciones sin fundamento; d) la Defensoría del Asegurado no cuenta con potestades para sancionar a nuestra Compañía, ni para modificar los ítems de nuestro seguro; ni mucho menos para ordenar pago de gastos o costos del proceso; por tanto, solicitamos a la Defensoría desestimar dichas alegaciones.</w:t>
      </w:r>
    </w:p>
    <w:p w:rsidR="00F6061C" w:rsidP="00F6061C" w:rsidRDefault="00F6061C" w14:paraId="447D8FA0" w14:textId="77777777">
      <w:pPr>
        <w:pStyle w:val="Textoindependiente"/>
      </w:pPr>
    </w:p>
    <w:p w:rsidR="00F6061C" w:rsidP="00F6061C" w:rsidRDefault="00F6061C" w14:paraId="1FFBCCA9" w14:textId="77777777">
      <w:pPr>
        <w:pStyle w:val="Textoindependiente"/>
        <w:tabs>
          <w:tab w:val="left" w:pos="930"/>
        </w:tabs>
      </w:pPr>
      <w:r>
        <w:t xml:space="preserve">Que, atendiendo a lo expuesto, esta Defensoría resuelve finalmente lo siguiente: </w:t>
      </w:r>
    </w:p>
    <w:p w:rsidR="00F6061C" w:rsidP="00F6061C" w:rsidRDefault="00F6061C" w14:paraId="19E73994" w14:textId="77777777">
      <w:pPr>
        <w:jc w:val="both"/>
        <w:rPr>
          <w:rFonts w:ascii="Times New Roman" w:hAnsi="Times New Roman" w:cs="Times New Roman"/>
          <w:b/>
          <w:sz w:val="24"/>
          <w:szCs w:val="24"/>
          <w:u w:val="single"/>
          <w:lang w:val="es-PE"/>
        </w:rPr>
      </w:pPr>
    </w:p>
    <w:p w:rsidR="00F6061C" w:rsidP="00F6061C" w:rsidRDefault="00F6061C" w14:paraId="56988F7F"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F6061C" w:rsidP="00F6061C" w:rsidRDefault="00F6061C" w14:paraId="35C5E5D6"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F6061C" w:rsidR="00F6061C" w:rsidP="00F6061C" w:rsidRDefault="00F6061C" w14:paraId="040F0F66" w14:textId="77777777">
      <w:pPr>
        <w:spacing w:line="240" w:lineRule="auto"/>
        <w:jc w:val="both"/>
        <w:rPr>
          <w:rStyle w:val="Textoennegrita"/>
          <w:b w:val="0"/>
          <w:bCs/>
          <w:lang w:val="es-PE"/>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w:t>
      </w:r>
      <w:r>
        <w:rPr>
          <w:rFonts w:ascii="Times New Roman" w:hAnsi="Times New Roman" w:cs="Times New Roman"/>
          <w:sz w:val="24"/>
          <w:szCs w:val="24"/>
          <w:lang w:val="es-PE"/>
        </w:rPr>
        <w:t>De acuerdo a</w:t>
      </w:r>
      <w:r>
        <w:rPr>
          <w:rFonts w:ascii="Times New Roman" w:hAnsi="Times New Roman" w:cs="Times New Roman"/>
          <w:b/>
          <w:bCs/>
          <w:sz w:val="24"/>
          <w:szCs w:val="24"/>
          <w:lang w:val="es-PE"/>
        </w:rPr>
        <w:t xml:space="preserve"> </w:t>
      </w:r>
      <w:r w:rsidRPr="00F6061C">
        <w:rPr>
          <w:rStyle w:val="Textoennegrita"/>
          <w:rFonts w:ascii="Times New Roman" w:hAnsi="Times New Roman" w:cs="Times New Roman"/>
          <w:b w:val="0"/>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6061C" w:rsidR="00F6061C" w:rsidP="00F6061C" w:rsidRDefault="00F6061C" w14:paraId="50CE6890" w14:textId="20E2E0D9">
      <w:pPr>
        <w:tabs>
          <w:tab w:val="left" w:pos="2160"/>
        </w:tabs>
        <w:spacing w:line="240" w:lineRule="auto"/>
        <w:jc w:val="both"/>
        <w:rPr>
          <w:lang w:val="es-PE"/>
        </w:rPr>
      </w:pPr>
      <w:r w:rsidRPr="0FA6279E" w:rsidR="00F6061C">
        <w:rPr>
          <w:rStyle w:val="Textoennegrita"/>
          <w:rFonts w:ascii="Times New Roman" w:hAnsi="Times New Roman" w:cs="Times New Roman"/>
          <w:sz w:val="24"/>
          <w:szCs w:val="24"/>
          <w:lang w:val="es-PE"/>
        </w:rPr>
        <w:t xml:space="preserve">Asimismo, </w:t>
      </w:r>
      <w:r w:rsidRPr="0FA6279E" w:rsidR="00F6061C">
        <w:rPr>
          <w:rFonts w:ascii="Times New Roman" w:hAnsi="Times New Roman" w:cs="Times New Roman"/>
          <w:sz w:val="24"/>
          <w:szCs w:val="24"/>
          <w:lang w:val="es-PE"/>
        </w:rPr>
        <w:t>se reitera que l</w:t>
      </w:r>
      <w:r w:rsidRPr="0FA6279E" w:rsidR="00F6061C">
        <w:rPr>
          <w:rFonts w:ascii="Times New Roman" w:hAnsi="Times New Roman" w:cs="Times New Roman"/>
          <w:sz w:val="24"/>
          <w:szCs w:val="24"/>
          <w:lang w:val="es-PE"/>
        </w:rPr>
        <w:t xml:space="preserve">as relaciones comerciales y jurídicas que mantenga el reclamante con la entidad bancaria emisora de tarjetas de débito es independiente de las que mantiene con </w:t>
      </w:r>
      <w:r w:rsidRPr="0FA6279E" w:rsidR="372950BD">
        <w:rPr>
          <w:rFonts w:ascii="Times New Roman" w:hAnsi="Times New Roman" w:cs="Times New Roman"/>
          <w:sz w:val="24"/>
          <w:szCs w:val="24"/>
          <w:lang w:val="es-PE"/>
        </w:rPr>
        <w:t>..................................</w:t>
      </w:r>
      <w:r w:rsidRPr="0FA6279E" w:rsidR="00F6061C">
        <w:rPr>
          <w:rFonts w:ascii="Times New Roman" w:hAnsi="Times New Roman" w:cs="Times New Roman"/>
          <w:sz w:val="24"/>
          <w:szCs w:val="24"/>
          <w:lang w:val="es-PE"/>
        </w:rPr>
        <w:t xml:space="preserve">, empresa esta última distinta al señalado banco.  Conforme a ello, cualquier disconformidad del reclamante respecto al servicio financiero recibido, son ajenas a la relación contractual que mantiene con </w:t>
      </w:r>
      <w:r w:rsidRPr="0FA6279E" w:rsidR="372950BD">
        <w:rPr>
          <w:rFonts w:ascii="Times New Roman" w:hAnsi="Times New Roman" w:cs="Times New Roman"/>
          <w:sz w:val="24"/>
          <w:szCs w:val="24"/>
          <w:lang w:val="es-PE"/>
        </w:rPr>
        <w:t>..................................</w:t>
      </w:r>
      <w:r w:rsidRPr="0FA6279E" w:rsidR="00F6061C">
        <w:rPr>
          <w:rFonts w:ascii="Times New Roman" w:hAnsi="Times New Roman" w:cs="Times New Roman"/>
          <w:sz w:val="24"/>
          <w:szCs w:val="24"/>
          <w:lang w:val="es-PE"/>
        </w:rPr>
        <w:t>, independientemente que la póliza se haya contratado a través de la señalada empresa financiera.</w:t>
      </w:r>
    </w:p>
    <w:p w:rsidRPr="00F6061C" w:rsidR="00F6061C" w:rsidP="00F6061C" w:rsidRDefault="00F6061C" w14:paraId="198E321C" w14:textId="77777777">
      <w:pPr>
        <w:spacing w:line="240" w:lineRule="auto"/>
        <w:jc w:val="both"/>
        <w:rPr>
          <w:rStyle w:val="Textoennegrita"/>
          <w:b w:val="0"/>
          <w:lang w:val="es-PE"/>
        </w:rPr>
      </w:pPr>
      <w:r w:rsidRPr="00F6061C">
        <w:rPr>
          <w:rStyle w:val="Textoennegrita"/>
          <w:rFonts w:ascii="Times New Roman" w:hAnsi="Times New Roman" w:cs="Times New Roman"/>
          <w:b w:val="0"/>
          <w:sz w:val="24"/>
          <w:szCs w:val="24"/>
          <w:lang w:val="es-PE"/>
        </w:rPr>
        <w:t>En tal sentido, no corresponde que nos pronunciemos respecto a los siguientes puntos (i) sanción para los malos funcionarios del banco, por alargar los tiempos y el maltrato al usuario que tiene este robo virtual, (ii) que modifique los ítems de la tarjeta asegurada y que incluyan los aplicativos que en la actualidad utilizan para los robos cibernéticos, (iii) que antes que hagan firmar para entregar una tarjeta que den una copia de los item en la que la tarjeta este asegurada, en la medida que la DEFASEG no tiene competencia para analizar ello.</w:t>
      </w:r>
    </w:p>
    <w:p w:rsidRPr="00F6061C" w:rsidR="00F6061C" w:rsidP="701B362E" w:rsidRDefault="00F6061C" w14:paraId="7F250ED2" w14:textId="24540121">
      <w:pPr>
        <w:spacing w:line="240" w:lineRule="auto"/>
        <w:jc w:val="both"/>
        <w:rPr>
          <w:sz w:val="24"/>
          <w:szCs w:val="24"/>
          <w:lang w:val="es-MX"/>
        </w:rPr>
      </w:pPr>
      <w:r w:rsidRPr="701B362E" w:rsidR="00F6061C">
        <w:rPr>
          <w:rFonts w:ascii="Times New Roman" w:hAnsi="Times New Roman" w:cs="Times New Roman"/>
          <w:b w:val="1"/>
          <w:bCs w:val="1"/>
          <w:sz w:val="24"/>
          <w:szCs w:val="24"/>
          <w:u w:val="single"/>
          <w:lang w:val="es-PE"/>
        </w:rPr>
        <w:t>TERCERO</w:t>
      </w:r>
      <w:r w:rsidRPr="701B362E" w:rsidR="00F6061C">
        <w:rPr>
          <w:rFonts w:ascii="Times New Roman" w:hAnsi="Times New Roman" w:cs="Times New Roman"/>
          <w:sz w:val="24"/>
          <w:szCs w:val="24"/>
          <w:u w:val="single"/>
          <w:lang w:val="es-PE"/>
        </w:rPr>
        <w:t>:</w:t>
      </w:r>
      <w:r w:rsidRPr="701B362E" w:rsidR="00F6061C">
        <w:rPr>
          <w:rFonts w:ascii="Times New Roman" w:hAnsi="Times New Roman" w:cs="Times New Roman"/>
          <w:sz w:val="24"/>
          <w:szCs w:val="24"/>
          <w:lang w:val="es-PE"/>
        </w:rPr>
        <w:t xml:space="preserve"> Conforme al noveno considerando de la resolución impugnada, la reclamación fue desestimada por cuanto, </w:t>
      </w:r>
      <w:r w:rsidRPr="701B362E" w:rsidR="00F6061C">
        <w:rPr>
          <w:rFonts w:ascii="Times New Roman" w:hAnsi="Times New Roman" w:cs="Times New Roman"/>
          <w:sz w:val="24"/>
          <w:szCs w:val="24"/>
          <w:lang w:val="es-PE"/>
        </w:rPr>
        <w:t xml:space="preserve">en el presente caso, no </w:t>
      </w:r>
      <w:r w:rsidRPr="701B362E" w:rsidR="00F6061C">
        <w:rPr>
          <w:rFonts w:ascii="Times New Roman" w:hAnsi="Times New Roman" w:cs="Times New Roman"/>
          <w:sz w:val="24"/>
          <w:szCs w:val="24"/>
          <w:lang w:val="es-MX"/>
        </w:rPr>
        <w:t>se acreditó que el reclamante hubiera sufrido un supuesto de phishing (fraude electrónico), bajo los términos contractuales que definen la cobertura contratada, sino la realización de operaciones con la utilización de información del reclamante a la que habrían accedido tras abrir un link en el Messenger, lo que permitió la materialización del uso indebido de la tarjeta de débito para realizar la operación (giro a terceros) sin autorización ni conocimiento del asegurado, supuesto que no está cubierto por el seguro contratado.</w:t>
      </w:r>
    </w:p>
    <w:p w:rsidR="00F6061C" w:rsidP="0FA6279E" w:rsidRDefault="00F6061C" w14:paraId="4BB68666" w14:textId="388D9842">
      <w:pPr>
        <w:jc w:val="both"/>
        <w:rPr>
          <w:rFonts w:ascii="Times New Roman" w:hAnsi="Times New Roman" w:cs="Times New Roman"/>
          <w:sz w:val="24"/>
          <w:szCs w:val="24"/>
          <w:lang w:val="es-PE"/>
        </w:rPr>
      </w:pPr>
      <w:r w:rsidRPr="0FA6279E" w:rsidR="00F6061C">
        <w:rPr>
          <w:rFonts w:ascii="Times New Roman" w:hAnsi="Times New Roman" w:cs="Times New Roman"/>
          <w:sz w:val="24"/>
          <w:szCs w:val="24"/>
          <w:lang w:val="es-PE"/>
        </w:rPr>
        <w:t xml:space="preserve">Atendiendo a los fundamentos de la impugnación interpuesta, se advierte que aparte de que el señor </w:t>
      </w:r>
      <w:r w:rsidRPr="0FA6279E" w:rsidR="1EE4D775">
        <w:rPr>
          <w:rFonts w:ascii="Times New Roman" w:hAnsi="Times New Roman" w:cs="Times New Roman"/>
          <w:sz w:val="24"/>
          <w:szCs w:val="24"/>
          <w:lang w:val="es-PE"/>
        </w:rPr>
        <w:t>.........................</w:t>
      </w:r>
      <w:r w:rsidRPr="0FA6279E" w:rsidR="00F6061C">
        <w:rPr>
          <w:rFonts w:ascii="Times New Roman" w:hAnsi="Times New Roman" w:cs="Times New Roman"/>
          <w:sz w:val="24"/>
          <w:szCs w:val="24"/>
          <w:lang w:val="es-PE"/>
        </w:rPr>
        <w:t>sostenga que el internet tiene WhatsApp, Messenger y muchos aplicativos que utilizan los hackers superando a los correos, no se</w:t>
      </w:r>
      <w:r w:rsidRPr="0FA6279E" w:rsidR="00F6061C">
        <w:rPr>
          <w:rFonts w:ascii="Times New Roman" w:hAnsi="Times New Roman" w:cs="Times New Roman"/>
          <w:sz w:val="24"/>
          <w:szCs w:val="24"/>
          <w:lang w:val="es-PE"/>
        </w:rPr>
        <w:t xml:space="preserve"> ha presentado prueba documental adicional alguna que desautorice lo resuelto.</w:t>
      </w:r>
    </w:p>
    <w:p w:rsidR="00F6061C" w:rsidP="00F6061C" w:rsidRDefault="00F6061C" w14:paraId="344ED77D" w14:textId="6CD3DE37">
      <w:pPr>
        <w:jc w:val="both"/>
        <w:rPr>
          <w:rFonts w:ascii="Times New Roman" w:hAnsi="Times New Roman" w:cs="Times New Roman"/>
          <w:sz w:val="24"/>
          <w:szCs w:val="24"/>
          <w:lang w:val="es-PE"/>
        </w:rPr>
      </w:pPr>
      <w:r w:rsidRPr="701B362E" w:rsidR="00F6061C">
        <w:rPr>
          <w:rFonts w:ascii="Times New Roman" w:hAnsi="Times New Roman" w:cs="Times New Roman"/>
          <w:sz w:val="24"/>
          <w:szCs w:val="24"/>
          <w:lang w:val="es-PE"/>
        </w:rPr>
        <w:t xml:space="preserve">El phishing que la póliza </w:t>
      </w:r>
      <w:r w:rsidRPr="701B362E" w:rsidR="00F6061C">
        <w:rPr>
          <w:rFonts w:ascii="Times New Roman" w:hAnsi="Times New Roman" w:cs="Times New Roman"/>
          <w:sz w:val="24"/>
          <w:szCs w:val="24"/>
          <w:lang w:val="es-PE"/>
        </w:rPr>
        <w:t>cubre,</w:t>
      </w:r>
      <w:r w:rsidRPr="701B362E" w:rsidR="00F6061C">
        <w:rPr>
          <w:rFonts w:ascii="Times New Roman" w:hAnsi="Times New Roman" w:cs="Times New Roman"/>
          <w:sz w:val="24"/>
          <w:szCs w:val="24"/>
          <w:lang w:val="es-PE"/>
        </w:rPr>
        <w:t xml:space="preserve"> no es cualquier fraude electrónico, solo aquel fraude electrónico que se materializa a través de un correo electrónico al cual el asegurado accede víctima del engaño, y que permite a los delincuentes obtener información confidencial con la que luego realizan el fraude</w:t>
      </w:r>
      <w:r w:rsidRPr="701B362E" w:rsidR="648590BD">
        <w:rPr>
          <w:rFonts w:ascii="Times New Roman" w:hAnsi="Times New Roman" w:cs="Times New Roman"/>
          <w:sz w:val="24"/>
          <w:szCs w:val="24"/>
          <w:lang w:val="es-PE"/>
        </w:rPr>
        <w:t>.</w:t>
      </w:r>
    </w:p>
    <w:p w:rsidR="00F6061C" w:rsidP="00F6061C" w:rsidRDefault="00F6061C" w14:paraId="4FADA77B"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lo señalado la séptima regla interpretativa contenida en el artículo IV de la Ley Nro. 29946 – Ley del Contrato de Seguro: “</w:t>
      </w:r>
      <w:r>
        <w:rPr>
          <w:rFonts w:ascii="Times New Roman" w:hAnsi="Times New Roman" w:cs="Times New Roman"/>
          <w:b/>
          <w:bCs/>
          <w:i/>
          <w:iCs/>
          <w:sz w:val="24"/>
          <w:szCs w:val="24"/>
          <w:u w:val="single"/>
          <w:lang w:val="es-PE"/>
        </w:rPr>
        <w:t>La cobertura</w:t>
      </w:r>
      <w:r>
        <w:rPr>
          <w:rFonts w:ascii="Times New Roman" w:hAnsi="Times New Roman" w:cs="Times New Roman"/>
          <w:i/>
          <w:iCs/>
          <w:sz w:val="24"/>
          <w:szCs w:val="24"/>
          <w:lang w:val="es-PE"/>
        </w:rPr>
        <w:t xml:space="preserve">, exclusiones y, en general, la extensión del riesgo, así como los derechos de los beneficiarios, previstos en el contrato de seguro, </w:t>
      </w:r>
      <w:r>
        <w:rPr>
          <w:rFonts w:ascii="Times New Roman" w:hAnsi="Times New Roman" w:cs="Times New Roman"/>
          <w:b/>
          <w:bCs/>
          <w:i/>
          <w:iCs/>
          <w:sz w:val="24"/>
          <w:szCs w:val="24"/>
          <w:u w:val="single"/>
          <w:lang w:val="es-PE"/>
        </w:rPr>
        <w:t>deben interpretarse literalmente</w:t>
      </w:r>
      <w:r>
        <w:rPr>
          <w:rFonts w:ascii="Times New Roman" w:hAnsi="Times New Roman" w:cs="Times New Roman"/>
          <w:i/>
          <w:iCs/>
          <w:sz w:val="24"/>
          <w:szCs w:val="24"/>
          <w:lang w:val="es-PE"/>
        </w:rPr>
        <w:t>”</w:t>
      </w:r>
      <w:r>
        <w:rPr>
          <w:rFonts w:ascii="Times New Roman" w:hAnsi="Times New Roman" w:cs="Times New Roman"/>
          <w:sz w:val="24"/>
          <w:szCs w:val="24"/>
          <w:lang w:val="es-PE"/>
        </w:rPr>
        <w:t xml:space="preserve"> (lo destacado es nuestro); y, en este sentido, en la medida </w:t>
      </w:r>
      <w:r>
        <w:rPr>
          <w:rFonts w:ascii="Times New Roman" w:hAnsi="Times New Roman" w:cs="Times New Roman"/>
          <w:bCs/>
          <w:sz w:val="24"/>
          <w:szCs w:val="24"/>
          <w:lang w:val="es-PE"/>
        </w:rPr>
        <w:t>que fue a través de un link en el Messenger</w:t>
      </w:r>
      <w:r>
        <w:rPr>
          <w:rFonts w:ascii="Times New Roman" w:hAnsi="Times New Roman" w:cs="Times New Roman"/>
          <w:sz w:val="24"/>
          <w:szCs w:val="24"/>
          <w:lang w:val="es-PE"/>
        </w:rPr>
        <w:t xml:space="preserve"> </w:t>
      </w:r>
      <w:r>
        <w:rPr>
          <w:rFonts w:ascii="Times New Roman" w:hAnsi="Times New Roman" w:cs="Times New Roman"/>
          <w:bCs/>
          <w:sz w:val="24"/>
          <w:szCs w:val="24"/>
          <w:lang w:val="es-PE"/>
        </w:rPr>
        <w:t xml:space="preserve">se accedió a la información del reclamante, no corresponde que la aseguradora  </w:t>
      </w:r>
      <w:r>
        <w:rPr>
          <w:rFonts w:ascii="Times New Roman" w:hAnsi="Times New Roman" w:cs="Times New Roman"/>
          <w:sz w:val="24"/>
          <w:szCs w:val="24"/>
          <w:lang w:val="es-PE"/>
        </w:rPr>
        <w:t>deba otorgar la cobertura.</w:t>
      </w:r>
    </w:p>
    <w:p w:rsidR="00F6061C" w:rsidP="00F6061C" w:rsidRDefault="00F6061C" w14:paraId="53FF080D" w14:textId="77777777">
      <w:pPr>
        <w:jc w:val="both"/>
        <w:rPr>
          <w:rFonts w:ascii="Times New Roman" w:hAnsi="Times New Roman" w:cs="Times New Roman"/>
          <w:sz w:val="24"/>
          <w:szCs w:val="24"/>
          <w:lang w:val="es-PE"/>
        </w:rPr>
      </w:pPr>
      <w:r>
        <w:rPr>
          <w:rFonts w:ascii="Times New Roman" w:hAnsi="Times New Roman" w:cs="Times New Roman"/>
          <w:bCs/>
          <w:sz w:val="24"/>
          <w:szCs w:val="24"/>
          <w:lang w:val="es-PE"/>
        </w:rPr>
        <w:t xml:space="preserve">El </w:t>
      </w:r>
      <w:r>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 la reclamante, que esta Defensoría respeta, pero no comparte,</w:t>
      </w:r>
      <w:r>
        <w:rPr>
          <w:rFonts w:ascii="Times New Roman" w:hAnsi="Times New Roman" w:cs="Times New Roman"/>
          <w:sz w:val="24"/>
          <w:szCs w:val="24"/>
          <w:lang w:val="es-PE"/>
        </w:rPr>
        <w:t xml:space="preserve"> pero sin aportar argumento o medio probatorio alguno que permita objetivamente a este colegiado apreciar que habría incurrido efectivamente en un error o vicio al momento de resolver.</w:t>
      </w:r>
    </w:p>
    <w:p w:rsidR="00F6061C" w:rsidP="00F6061C" w:rsidRDefault="00F6061C" w14:paraId="79E4C9EA" w14:textId="77777777">
      <w:pPr>
        <w:jc w:val="both"/>
        <w:rPr>
          <w:rFonts w:ascii="Times New Roman" w:hAnsi="Times New Roman" w:cs="Times New Roman"/>
          <w:bCs/>
          <w:sz w:val="24"/>
          <w:szCs w:val="24"/>
          <w:lang w:val="es-ES"/>
        </w:rPr>
      </w:pPr>
      <w:r>
        <w:rPr>
          <w:rFonts w:ascii="Times New Roman" w:hAnsi="Times New Roman" w:cs="Times New Roman"/>
          <w:bCs/>
          <w:sz w:val="24"/>
          <w:szCs w:val="24"/>
          <w:lang w:val="es-PE"/>
        </w:rPr>
        <w:t>En ese sentido, el colegiado reitera su convicción que, de los antecedentes fácticos del caso, se verifican pruebas en el sentido que existen razones fundadas para estimar que el rechazo de cobertura es legítimo.</w:t>
      </w:r>
    </w:p>
    <w:p w:rsidR="00F6061C" w:rsidP="00F6061C" w:rsidRDefault="00F6061C" w14:paraId="59230520"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CUARTO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F6061C" w:rsidP="00F6061C" w:rsidRDefault="00F6061C" w14:paraId="2F8884DA"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F6061C" w:rsidP="701B362E" w:rsidRDefault="00F6061C" w14:paraId="49D339F9" w14:textId="212DE84C">
      <w:pPr>
        <w:pStyle w:val="Default"/>
        <w:jc w:val="both"/>
        <w:rPr>
          <w:rFonts w:ascii="Times New Roman" w:hAnsi="Times New Roman" w:cs="Times New Roman"/>
          <w:b w:val="1"/>
          <w:bCs w:val="1"/>
        </w:rPr>
      </w:pPr>
      <w:r w:rsidRPr="701B362E" w:rsidR="00F6061C">
        <w:rPr>
          <w:rFonts w:ascii="Times New Roman" w:hAnsi="Times New Roman" w:cs="Times New Roman"/>
          <w:b w:val="1"/>
          <w:bCs w:val="1"/>
        </w:rPr>
        <w:t xml:space="preserve">DECLARAR INFUNDADO </w:t>
      </w:r>
      <w:r w:rsidRPr="701B362E" w:rsidR="00F6061C">
        <w:rPr>
          <w:rFonts w:ascii="Times New Roman" w:hAnsi="Times New Roman" w:cs="Times New Roman"/>
        </w:rPr>
        <w:t>el recurso de impugnación interpuesto por</w:t>
      </w:r>
      <w:r w:rsidRPr="701B362E" w:rsidR="00F6061C">
        <w:rPr>
          <w:rFonts w:ascii="Times New Roman" w:hAnsi="Times New Roman" w:cs="Times New Roman"/>
          <w:b w:val="1"/>
          <w:bCs w:val="1"/>
        </w:rPr>
        <w:t xml:space="preserve"> </w:t>
      </w:r>
      <w:r w:rsidRPr="701B362E" w:rsidR="1DFD2B8A">
        <w:rPr>
          <w:rFonts w:ascii="Times New Roman" w:hAnsi="Times New Roman" w:cs="Times New Roman"/>
          <w:b w:val="1"/>
          <w:bCs w:val="1"/>
        </w:rPr>
        <w:t>...........................................................................</w:t>
      </w:r>
      <w:r w:rsidRPr="701B362E" w:rsidR="00F6061C">
        <w:rPr>
          <w:rFonts w:ascii="Times New Roman" w:hAnsi="Times New Roman" w:cs="Times New Roman"/>
          <w:b w:val="1"/>
          <w:bCs w:val="1"/>
        </w:rPr>
        <w:t xml:space="preserve"> </w:t>
      </w:r>
      <w:r w:rsidRPr="701B362E" w:rsidR="00F6061C">
        <w:rPr>
          <w:rFonts w:ascii="Times New Roman" w:hAnsi="Times New Roman" w:cs="Times New Roman"/>
        </w:rPr>
        <w:t>y, por consiguiente,</w:t>
      </w:r>
      <w:r w:rsidRPr="701B362E" w:rsidR="00F6061C">
        <w:rPr>
          <w:rFonts w:ascii="Times New Roman" w:hAnsi="Times New Roman" w:cs="Times New Roman"/>
          <w:b w:val="1"/>
          <w:bCs w:val="1"/>
        </w:rPr>
        <w:t xml:space="preserve"> CONFIRMAR la Resolución </w:t>
      </w:r>
      <w:r w:rsidRPr="701B362E" w:rsidR="00F6061C">
        <w:rPr>
          <w:rFonts w:ascii="Times New Roman" w:hAnsi="Times New Roman" w:cs="Times New Roman"/>
          <w:b w:val="1"/>
          <w:bCs w:val="1"/>
        </w:rPr>
        <w:t>N°</w:t>
      </w:r>
      <w:r w:rsidRPr="701B362E" w:rsidR="00F6061C">
        <w:rPr>
          <w:rFonts w:ascii="Times New Roman" w:hAnsi="Times New Roman" w:cs="Times New Roman"/>
          <w:b w:val="1"/>
          <w:bCs w:val="1"/>
        </w:rPr>
        <w:t xml:space="preserve"> </w:t>
      </w:r>
      <w:r w:rsidRPr="701B362E" w:rsidR="09949A69">
        <w:rPr>
          <w:rFonts w:ascii="Times New Roman" w:hAnsi="Times New Roman" w:cs="Times New Roman"/>
          <w:b w:val="1"/>
          <w:bCs w:val="1"/>
        </w:rPr>
        <w:t>...............</w:t>
      </w:r>
      <w:r w:rsidRPr="701B362E" w:rsidR="00F6061C">
        <w:rPr>
          <w:rFonts w:ascii="Times New Roman" w:hAnsi="Times New Roman" w:cs="Times New Roman"/>
          <w:b w:val="1"/>
          <w:bCs w:val="1"/>
          <w:lang w:val="es-MX"/>
        </w:rPr>
        <w:t>.</w:t>
      </w:r>
    </w:p>
    <w:p w:rsidRPr="00D248C5"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PE" w:eastAsia="ar-SA"/>
        </w:rPr>
      </w:pPr>
    </w:p>
    <w:p w:rsidRPr="00D248C5" w:rsidR="00C173A8" w:rsidP="00092C2E" w:rsidRDefault="00C173A8" w14:paraId="21EFD7D3" w14:textId="7F0BD9D2">
      <w:pPr>
        <w:suppressAutoHyphens/>
        <w:spacing w:after="0" w:line="240" w:lineRule="auto"/>
        <w:jc w:val="right"/>
        <w:outlineLvl w:val="0"/>
        <w:rPr>
          <w:rFonts w:ascii="Times New Roman" w:hAnsi="Times New Roman" w:eastAsia="Arial Unicode MS" w:cs="Times New Roman"/>
          <w:sz w:val="24"/>
          <w:szCs w:val="24"/>
          <w:lang w:val="es-PE" w:eastAsia="ar-SA"/>
        </w:rPr>
      </w:pPr>
      <w:r w:rsidRPr="00D248C5">
        <w:rPr>
          <w:rFonts w:ascii="Times New Roman" w:hAnsi="Times New Roman" w:eastAsia="Arial Unicode MS" w:cs="Times New Roman"/>
          <w:sz w:val="24"/>
          <w:szCs w:val="24"/>
          <w:lang w:val="es-PE" w:eastAsia="ar-SA"/>
        </w:rPr>
        <w:t xml:space="preserve">Lima, </w:t>
      </w:r>
      <w:r w:rsidR="00092C2E">
        <w:rPr>
          <w:rFonts w:ascii="Times New Roman" w:hAnsi="Times New Roman" w:eastAsia="Arial Unicode MS" w:cs="Times New Roman"/>
          <w:sz w:val="24"/>
          <w:szCs w:val="24"/>
          <w:lang w:val="es-PE" w:eastAsia="ar-SA"/>
        </w:rPr>
        <w:t>2</w:t>
      </w:r>
      <w:r w:rsidR="00F6061C">
        <w:rPr>
          <w:rFonts w:ascii="Times New Roman" w:hAnsi="Times New Roman" w:eastAsia="Arial Unicode MS" w:cs="Times New Roman"/>
          <w:sz w:val="24"/>
          <w:szCs w:val="24"/>
          <w:lang w:val="es-PE" w:eastAsia="ar-SA"/>
        </w:rPr>
        <w:t>3</w:t>
      </w:r>
      <w:r w:rsidRPr="00D248C5">
        <w:rPr>
          <w:rFonts w:ascii="Times New Roman" w:hAnsi="Times New Roman" w:eastAsia="Arial Unicode MS" w:cs="Times New Roman"/>
          <w:sz w:val="24"/>
          <w:szCs w:val="24"/>
          <w:lang w:val="es-PE" w:eastAsia="ar-SA"/>
        </w:rPr>
        <w:t xml:space="preserve"> de </w:t>
      </w:r>
      <w:r w:rsidRPr="00D248C5" w:rsidR="006E5783">
        <w:rPr>
          <w:rFonts w:ascii="Times New Roman" w:hAnsi="Times New Roman" w:eastAsia="Arial Unicode MS" w:cs="Times New Roman"/>
          <w:sz w:val="24"/>
          <w:szCs w:val="24"/>
          <w:lang w:val="es-PE" w:eastAsia="ar-SA"/>
        </w:rPr>
        <w:t>junio</w:t>
      </w:r>
      <w:r w:rsidRPr="00D248C5">
        <w:rPr>
          <w:rFonts w:ascii="Times New Roman" w:hAnsi="Times New Roman" w:eastAsia="Arial Unicode MS" w:cs="Times New Roman"/>
          <w:sz w:val="24"/>
          <w:szCs w:val="24"/>
          <w:lang w:val="es-PE" w:eastAsia="ar-SA"/>
        </w:rPr>
        <w:t xml:space="preserve"> de 2022</w:t>
      </w:r>
      <w:r w:rsidRPr="00D248C5">
        <w:rPr>
          <w:rFonts w:ascii="Times New Roman" w:hAnsi="Times New Roman" w:eastAsia="Times New Roman" w:cs="Times New Roman"/>
          <w:sz w:val="24"/>
          <w:szCs w:val="24"/>
          <w:lang w:val="es-PE" w:eastAsia="ar-SA"/>
        </w:rPr>
        <w:t xml:space="preserve"> </w:t>
      </w:r>
    </w:p>
    <w:p w:rsidRPr="00D248C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248C5"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D248C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248C5"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D248C5"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Marco Antonio Ortega Piana – Presidente</w:t>
      </w:r>
    </w:p>
    <w:p w:rsidRPr="00D248C5"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María Eugenia Valdez Fernández Baca – </w:t>
      </w:r>
      <w:r w:rsidRPr="00D248C5" w:rsidR="001B1998">
        <w:rPr>
          <w:rFonts w:ascii="Times New Roman" w:hAnsi="Times New Roman" w:cs="Times New Roman"/>
          <w:b/>
          <w:bCs/>
          <w:sz w:val="24"/>
          <w:szCs w:val="24"/>
          <w:lang w:val="es-PE"/>
        </w:rPr>
        <w:t>Vocal</w:t>
      </w:r>
    </w:p>
    <w:p w:rsidRPr="00D248C5"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Rolando Eyzaguirre Maccan - Vocal</w:t>
      </w:r>
    </w:p>
    <w:p w:rsidRPr="00D248C5"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D248C5">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11EB" w:rsidP="00784355" w:rsidRDefault="001211EB" w14:paraId="7E3DAB29" w14:textId="77777777">
      <w:pPr>
        <w:spacing w:after="0" w:line="240" w:lineRule="auto"/>
      </w:pPr>
      <w:r>
        <w:separator/>
      </w:r>
    </w:p>
  </w:endnote>
  <w:endnote w:type="continuationSeparator" w:id="0">
    <w:p w:rsidR="001211EB" w:rsidP="00784355" w:rsidRDefault="001211EB" w14:paraId="03B17E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11EB" w:rsidP="00784355" w:rsidRDefault="001211EB" w14:paraId="262ADBBA" w14:textId="77777777">
      <w:pPr>
        <w:spacing w:after="0" w:line="240" w:lineRule="auto"/>
      </w:pPr>
      <w:r>
        <w:separator/>
      </w:r>
    </w:p>
  </w:footnote>
  <w:footnote w:type="continuationSeparator" w:id="0">
    <w:p w:rsidR="001211EB" w:rsidP="00784355" w:rsidRDefault="001211EB" w14:paraId="01E6F60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22EF3BC"/>
    <w:rsid w:val="09949A69"/>
    <w:rsid w:val="0EC42030"/>
    <w:rsid w:val="0FA6279E"/>
    <w:rsid w:val="14D769A3"/>
    <w:rsid w:val="1526FBB3"/>
    <w:rsid w:val="1DFD2B8A"/>
    <w:rsid w:val="1E6CBE3E"/>
    <w:rsid w:val="1EE4D775"/>
    <w:rsid w:val="2B19039D"/>
    <w:rsid w:val="32D08527"/>
    <w:rsid w:val="35D10579"/>
    <w:rsid w:val="372950BD"/>
    <w:rsid w:val="3BEDE626"/>
    <w:rsid w:val="4015F697"/>
    <w:rsid w:val="47CD4EE5"/>
    <w:rsid w:val="4B6227D3"/>
    <w:rsid w:val="4F3F7676"/>
    <w:rsid w:val="50391DFA"/>
    <w:rsid w:val="648590BD"/>
    <w:rsid w:val="66869CAE"/>
    <w:rsid w:val="67A8AD75"/>
    <w:rsid w:val="6F8078BF"/>
    <w:rsid w:val="701B362E"/>
    <w:rsid w:val="729F87CE"/>
    <w:rsid w:val="76C0EA5E"/>
    <w:rsid w:val="76C57AF3"/>
    <w:rsid w:val="7ECAEF10"/>
    <w:rsid w:val="7F851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E98B2DA-40CF-4C56-A813-8529D66BD9FB}"/>
</file>

<file path=customXml/itemProps3.xml><?xml version="1.0" encoding="utf-8"?>
<ds:datastoreItem xmlns:ds="http://schemas.openxmlformats.org/officeDocument/2006/customXml" ds:itemID="{BEE23554-B7D9-4792-A34B-D4AE8E42D683}"/>
</file>

<file path=customXml/itemProps4.xml><?xml version="1.0" encoding="utf-8"?>
<ds:datastoreItem xmlns:ds="http://schemas.openxmlformats.org/officeDocument/2006/customXml" ds:itemID="{6B7436DD-65D3-4AC3-BF14-511CC8656B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132</cp:revision>
  <cp:lastPrinted>2022-06-24T10:19:00Z</cp:lastPrinted>
  <dcterms:created xsi:type="dcterms:W3CDTF">2020-12-18T20:17:00Z</dcterms:created>
  <dcterms:modified xsi:type="dcterms:W3CDTF">2025-11-27T19:59:01Z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