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22EBE" w:rsidR="00B10F71" w:rsidP="00041B86" w:rsidRDefault="00201C0D" w14:paraId="51974F0B" w14:textId="25CAA6D0">
      <w:pPr>
        <w:spacing w:after="0" w:line="240" w:lineRule="auto"/>
        <w:jc w:val="center"/>
        <w:rPr>
          <w:rFonts w:ascii="Times New Roman" w:hAnsi="Times New Roman" w:cs="Times New Roman"/>
          <w:b/>
          <w:sz w:val="24"/>
          <w:szCs w:val="24"/>
          <w:lang w:val="es-PE" w:eastAsia="ar-SA"/>
        </w:rPr>
      </w:pPr>
      <w:r w:rsidRPr="00E22EBE">
        <w:rPr>
          <w:rFonts w:ascii="Times New Roman" w:hAnsi="Times New Roman" w:cs="Times New Roman"/>
          <w:b/>
          <w:sz w:val="24"/>
          <w:szCs w:val="24"/>
          <w:lang w:val="es-PE" w:eastAsia="ar-SA"/>
        </w:rPr>
        <w:t xml:space="preserve">RESOLUCIÓN DE RECURSO IMPUGNATIVO </w:t>
      </w:r>
      <w:proofErr w:type="spellStart"/>
      <w:r w:rsidRPr="00E22EBE" w:rsidR="00707C99">
        <w:rPr>
          <w:rFonts w:ascii="Times New Roman" w:hAnsi="Times New Roman" w:cs="Times New Roman"/>
          <w:b/>
          <w:sz w:val="24"/>
          <w:szCs w:val="24"/>
          <w:lang w:val="es-PE" w:eastAsia="ar-SA"/>
        </w:rPr>
        <w:t>N°</w:t>
      </w:r>
      <w:proofErr w:type="spellEnd"/>
      <w:r w:rsidRPr="00E22EBE" w:rsidR="00707C99">
        <w:rPr>
          <w:rFonts w:ascii="Times New Roman" w:hAnsi="Times New Roman" w:cs="Times New Roman"/>
          <w:b/>
          <w:sz w:val="24"/>
          <w:szCs w:val="24"/>
          <w:lang w:val="es-PE" w:eastAsia="ar-SA"/>
        </w:rPr>
        <w:t xml:space="preserve"> </w:t>
      </w:r>
      <w:r w:rsidRPr="00E22EBE" w:rsidR="00C671F5">
        <w:rPr>
          <w:rFonts w:ascii="Times New Roman" w:hAnsi="Times New Roman" w:cs="Times New Roman"/>
          <w:b/>
          <w:sz w:val="24"/>
          <w:szCs w:val="24"/>
          <w:lang w:val="es-PE" w:eastAsia="ar-SA"/>
        </w:rPr>
        <w:t>0</w:t>
      </w:r>
      <w:r w:rsidRPr="00E22EBE" w:rsidR="00B93683">
        <w:rPr>
          <w:rFonts w:ascii="Times New Roman" w:hAnsi="Times New Roman" w:cs="Times New Roman"/>
          <w:b/>
          <w:sz w:val="24"/>
          <w:szCs w:val="24"/>
          <w:lang w:val="es-PE" w:eastAsia="ar-SA"/>
        </w:rPr>
        <w:t>4</w:t>
      </w:r>
      <w:r w:rsidR="00743305">
        <w:rPr>
          <w:rFonts w:ascii="Times New Roman" w:hAnsi="Times New Roman" w:cs="Times New Roman"/>
          <w:b/>
          <w:sz w:val="24"/>
          <w:szCs w:val="24"/>
          <w:lang w:val="es-PE" w:eastAsia="ar-SA"/>
        </w:rPr>
        <w:t>1</w:t>
      </w:r>
      <w:r w:rsidRPr="00E22EBE" w:rsidR="00C671F5">
        <w:rPr>
          <w:rFonts w:ascii="Times New Roman" w:hAnsi="Times New Roman" w:cs="Times New Roman"/>
          <w:b/>
          <w:sz w:val="24"/>
          <w:szCs w:val="24"/>
          <w:lang w:val="es-PE" w:eastAsia="ar-SA"/>
        </w:rPr>
        <w:t>/2</w:t>
      </w:r>
      <w:r w:rsidRPr="00E22EBE" w:rsidR="00B93C7A">
        <w:rPr>
          <w:rFonts w:ascii="Times New Roman" w:hAnsi="Times New Roman" w:cs="Times New Roman"/>
          <w:b/>
          <w:sz w:val="24"/>
          <w:szCs w:val="24"/>
          <w:lang w:val="es-PE" w:eastAsia="ar-SA"/>
        </w:rPr>
        <w:t>2</w:t>
      </w:r>
    </w:p>
    <w:p w:rsidRPr="00E22EBE"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002D2DFA" w:rsidP="002D2DFA" w:rsidRDefault="002D2DFA" w14:paraId="2E157972"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2D2DFA" w:rsidP="002D2DFA" w:rsidRDefault="002D2DFA" w14:paraId="08E0DC9D" w14:textId="0AC95DBD">
      <w:pPr>
        <w:jc w:val="both"/>
        <w:outlineLvl w:val="0"/>
        <w:rPr>
          <w:rFonts w:ascii="Times New Roman" w:hAnsi="Times New Roman" w:cs="Times New Roman"/>
          <w:b w:val="1"/>
          <w:bCs w:val="1"/>
          <w:sz w:val="24"/>
          <w:szCs w:val="24"/>
          <w:lang w:val="es-MX"/>
        </w:rPr>
      </w:pPr>
      <w:r w:rsidRPr="217ACE8E" w:rsidR="002D2DFA">
        <w:rPr>
          <w:rFonts w:ascii="Times New Roman" w:hAnsi="Times New Roman" w:cs="Times New Roman"/>
          <w:sz w:val="24"/>
          <w:szCs w:val="24"/>
          <w:lang w:val="es-PE"/>
        </w:rPr>
        <w:t xml:space="preserve">El recurso de impugnación presentado por </w:t>
      </w:r>
      <w:r w:rsidRPr="217ACE8E" w:rsidR="0A08822F">
        <w:rPr>
          <w:rFonts w:ascii="Times New Roman" w:hAnsi="Times New Roman" w:cs="Times New Roman"/>
          <w:sz w:val="24"/>
          <w:szCs w:val="24"/>
          <w:lang w:val="es-PE"/>
        </w:rPr>
        <w:t>............................................................</w:t>
      </w:r>
      <w:r w:rsidRPr="217ACE8E" w:rsidR="002D2DFA">
        <w:rPr>
          <w:rFonts w:ascii="Times New Roman" w:hAnsi="Times New Roman" w:cs="Times New Roman"/>
          <w:sz w:val="24"/>
          <w:szCs w:val="24"/>
          <w:lang w:val="es-PE"/>
        </w:rPr>
        <w:t xml:space="preserve"> respecto de la Resolución Nro. 104/22, expedida por el Órgano Resolutivo Unipersonal de esta Defensoría del Asegurado (DEFASEG), conforme a la cual se declaró FUNDADA la reclamación interpuesta por </w:t>
      </w:r>
      <w:r w:rsidRPr="217ACE8E" w:rsidR="09E940FD">
        <w:rPr>
          <w:rFonts w:ascii="Times New Roman" w:hAnsi="Times New Roman" w:cs="Times New Roman"/>
          <w:b w:val="1"/>
          <w:bCs w:val="1"/>
          <w:sz w:val="24"/>
          <w:szCs w:val="24"/>
          <w:lang w:val="es-PE"/>
        </w:rPr>
        <w:t>............................................................</w:t>
      </w:r>
      <w:r w:rsidRPr="217ACE8E" w:rsidR="002D2DFA">
        <w:rPr>
          <w:rFonts w:ascii="Times New Roman" w:hAnsi="Times New Roman" w:cs="Times New Roman"/>
          <w:b w:val="1"/>
          <w:bCs w:val="1"/>
          <w:sz w:val="24"/>
          <w:szCs w:val="24"/>
          <w:lang w:val="es-PE"/>
        </w:rPr>
        <w:t xml:space="preserve"> </w:t>
      </w:r>
      <w:r w:rsidRPr="217ACE8E" w:rsidR="002D2DFA">
        <w:rPr>
          <w:rFonts w:ascii="Times New Roman" w:hAnsi="Times New Roman" w:cs="Times New Roman"/>
          <w:sz w:val="24"/>
          <w:szCs w:val="24"/>
          <w:lang w:val="es-PE"/>
        </w:rPr>
        <w:t xml:space="preserve">respecto al </w:t>
      </w:r>
      <w:r w:rsidRPr="217ACE8E" w:rsidR="002D2DFA">
        <w:rPr>
          <w:rFonts w:ascii="Times New Roman" w:hAnsi="Times New Roman" w:cs="Times New Roman"/>
          <w:b w:val="1"/>
          <w:bCs w:val="1"/>
          <w:sz w:val="24"/>
          <w:szCs w:val="24"/>
          <w:lang w:val="es-MX"/>
        </w:rPr>
        <w:t xml:space="preserve">SEGURO DE PROTECCIÓN DE TARJETA CON PÓLIZA </w:t>
      </w:r>
      <w:r w:rsidRPr="217ACE8E" w:rsidR="002D2DFA">
        <w:rPr>
          <w:rFonts w:ascii="Times New Roman" w:hAnsi="Times New Roman" w:cs="Times New Roman"/>
          <w:b w:val="1"/>
          <w:bCs w:val="1"/>
          <w:sz w:val="24"/>
          <w:szCs w:val="24"/>
          <w:lang w:val="es-MX"/>
        </w:rPr>
        <w:t>N°</w:t>
      </w:r>
      <w:r w:rsidRPr="217ACE8E" w:rsidR="002D2DFA">
        <w:rPr>
          <w:rFonts w:ascii="Times New Roman" w:hAnsi="Times New Roman" w:cs="Times New Roman"/>
          <w:b w:val="1"/>
          <w:bCs w:val="1"/>
          <w:sz w:val="24"/>
          <w:szCs w:val="24"/>
          <w:lang w:val="es-MX"/>
        </w:rPr>
        <w:t xml:space="preserve"> </w:t>
      </w:r>
      <w:r w:rsidRPr="217ACE8E" w:rsidR="4E425D7C">
        <w:rPr>
          <w:rFonts w:ascii="Times New Roman" w:hAnsi="Times New Roman" w:cs="Times New Roman"/>
          <w:b w:val="1"/>
          <w:bCs w:val="1"/>
          <w:sz w:val="24"/>
          <w:szCs w:val="24"/>
          <w:lang w:val="es-PE"/>
        </w:rPr>
        <w:t>............................</w:t>
      </w:r>
      <w:r w:rsidRPr="217ACE8E" w:rsidR="0018775F">
        <w:rPr>
          <w:rFonts w:ascii="Times New Roman" w:hAnsi="Times New Roman" w:cs="Times New Roman"/>
          <w:b w:val="1"/>
          <w:bCs w:val="1"/>
          <w:sz w:val="24"/>
          <w:szCs w:val="24"/>
          <w:lang w:val="es-PE"/>
        </w:rPr>
        <w:t>;</w:t>
      </w:r>
    </w:p>
    <w:p w:rsidR="002D2DFA" w:rsidP="002D2DFA" w:rsidRDefault="002D2DFA" w14:paraId="357C307A" w14:textId="29C029F5">
      <w:pPr>
        <w:pStyle w:val="Textoindependiente"/>
      </w:pPr>
      <w:r w:rsidR="002D2DFA">
        <w:rPr/>
        <w:t xml:space="preserve">Que, el indicado recurso se sustenta resumidamente en lo siguiente: a) Que no es cierto que la cobertura de uso indebido de tarjeta aplique en casos de retiro en efectivo en cajeros automáticos, dado que únicamente aplica cuando terceras personas realizan compras en establecimientos comerciales, bajo la modalidad de Robo y/o Hurto; b) del Certificado de Seguro Protección de Tarjeta </w:t>
      </w:r>
      <w:r w:rsidR="002D2DFA">
        <w:rPr/>
        <w:t>N°</w:t>
      </w:r>
      <w:r w:rsidR="002D2DFA">
        <w:rPr/>
        <w:t xml:space="preserve"> </w:t>
      </w:r>
      <w:r w:rsidR="4E425D7C">
        <w:rPr/>
        <w:t>............................</w:t>
      </w:r>
      <w:r w:rsidR="002D2DFA">
        <w:rPr/>
        <w:t xml:space="preserve"> se aprecia que el uso indebido de las tarjetas como consecuencia de robo y/o hurto solo tendrá cobertura si efectúa compras en centros comerciales, mas no para retiro de dinero en efectivo en el cajero automático producto del hurto, el cual es materia de reclamo a través de la presente denuncia; c) según manifiesta el reclamante, la tarjeta afectada (siniestrada) fue utilizada indebidamente para retiro de dinero en efectivo en el cajero automático producto del hurto de la billetera de la asegurada que contenía sus tarjeta; d) la Compañía rechazó legítimamente la cobertura por robo solicitada por el reclamante, puesto que no se cumplió con el supuesto cubierto, esto es, que el uso indebido de tarjeta se hubiese dado si es que terceras personas hayan realizado compras en establecimientos comerciales, bajo la modalidad de robo y/o hurto, lo que no ha ocurrido en el presente caso; e) el reclamante conocía perfectamente que la cobertura de uso indebido de tarjeta aplica únicamente cuando terceras personas realizan compras en establecimientos comerciales, bajo la modalidad de robo y/o Hurto; f)  al estar frente </w:t>
      </w:r>
      <w:r w:rsidR="002D2DFA">
        <w:rPr/>
        <w:t>aun</w:t>
      </w:r>
      <w:r w:rsidR="002D2DFA">
        <w:rPr/>
        <w:t xml:space="preserve"> caso de robo o hurto, en el cual terceras personas han retirado dinero en efectivo del cajero automático, lamentablemente no se configura el hecho descrito en la póliza contratada.</w:t>
      </w:r>
    </w:p>
    <w:p w:rsidR="002D2DFA" w:rsidP="002D2DFA" w:rsidRDefault="002D2DFA" w14:paraId="785C900F" w14:textId="77777777">
      <w:pPr>
        <w:pStyle w:val="Textoindependiente"/>
      </w:pPr>
      <w:r>
        <w:t xml:space="preserve"> </w:t>
      </w:r>
    </w:p>
    <w:p w:rsidR="002D2DFA" w:rsidP="217ACE8E" w:rsidRDefault="002D2DFA" w14:paraId="120F8431" w14:textId="40D8A1D9">
      <w:pPr>
        <w:suppressAutoHyphens/>
        <w:spacing w:after="0" w:line="240" w:lineRule="auto"/>
        <w:jc w:val="both"/>
        <w:rPr>
          <w:rFonts w:ascii="Times New Roman" w:hAnsi="Times New Roman" w:eastAsia="Times New Roman" w:cs="Times New Roman"/>
          <w:sz w:val="24"/>
          <w:szCs w:val="24"/>
          <w:lang w:val="es-MX" w:eastAsia="ar-SA"/>
        </w:rPr>
      </w:pPr>
      <w:r w:rsidRPr="217ACE8E" w:rsidR="002D2DFA">
        <w:rPr>
          <w:rFonts w:ascii="Times New Roman" w:hAnsi="Times New Roman" w:eastAsia="Times New Roman" w:cs="Times New Roman"/>
          <w:sz w:val="24"/>
          <w:szCs w:val="24"/>
          <w:lang w:val="es-MX" w:eastAsia="ar-SA"/>
        </w:rPr>
        <w:t xml:space="preserve">Que, habiéndosele corrido traslado de la señalada impugnación, el señor </w:t>
      </w:r>
      <w:r w:rsidRPr="217ACE8E" w:rsidR="1E5B8DAC">
        <w:rPr>
          <w:rFonts w:ascii="Times New Roman" w:hAnsi="Times New Roman" w:eastAsia="Times New Roman" w:cs="Times New Roman"/>
          <w:sz w:val="24"/>
          <w:szCs w:val="24"/>
          <w:lang w:val="es-MX" w:eastAsia="ar-SA"/>
        </w:rPr>
        <w:t>.....................</w:t>
      </w:r>
      <w:r w:rsidRPr="217ACE8E" w:rsidR="002D2DFA">
        <w:rPr>
          <w:rFonts w:ascii="Times New Roman" w:hAnsi="Times New Roman" w:eastAsia="Times New Roman" w:cs="Times New Roman"/>
          <w:sz w:val="24"/>
          <w:szCs w:val="24"/>
          <w:lang w:val="es-MX" w:eastAsia="ar-SA"/>
        </w:rPr>
        <w:t xml:space="preserve"> no ha absuelto el trámite correspondiente;</w:t>
      </w:r>
    </w:p>
    <w:p w:rsidR="002D2DFA" w:rsidP="002D2DFA" w:rsidRDefault="002D2DFA" w14:paraId="784EFF46" w14:textId="77777777">
      <w:pPr>
        <w:pStyle w:val="Textoindependiente"/>
        <w:rPr>
          <w:bCs w:val="0"/>
          <w:color w:val="000000"/>
          <w:lang w:val="es-PE" w:eastAsia="es-PE"/>
        </w:rPr>
      </w:pPr>
    </w:p>
    <w:p w:rsidR="002D2DFA" w:rsidP="002D2DFA" w:rsidRDefault="002D2DFA" w14:paraId="09A41878"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2D2DFA" w:rsidP="002D2DFA" w:rsidRDefault="002D2DFA" w14:paraId="774B66C4" w14:textId="77777777">
      <w:pPr>
        <w:jc w:val="both"/>
        <w:rPr>
          <w:rFonts w:ascii="Times New Roman" w:hAnsi="Times New Roman" w:cs="Times New Roman"/>
          <w:b/>
          <w:sz w:val="24"/>
          <w:szCs w:val="24"/>
          <w:u w:val="single"/>
          <w:lang w:val="es-ES"/>
        </w:rPr>
      </w:pPr>
    </w:p>
    <w:p w:rsidR="002D2DFA" w:rsidP="002D2DFA" w:rsidRDefault="002D2DFA" w14:paraId="22B26FBB"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2D2DFA" w:rsidP="002D2DFA" w:rsidRDefault="002D2DFA" w14:paraId="32751C98"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2D2DFA" w:rsidP="002D2DFA" w:rsidRDefault="002D2DFA" w14:paraId="51D6CDE2" w14:textId="0B6B3145">
      <w:pPr>
        <w:jc w:val="both"/>
        <w:rPr>
          <w:rFonts w:ascii="Times New Roman" w:hAnsi="Times New Roman" w:cs="Times New Roman"/>
          <w:sz w:val="24"/>
          <w:szCs w:val="24"/>
          <w:lang w:val="es-PE"/>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Que el recurso de impugnación presentado por la aseguradora se sustenta en señalar que </w:t>
      </w:r>
      <w:r>
        <w:rPr>
          <w:rFonts w:ascii="Times New Roman" w:hAnsi="Times New Roman" w:cs="Times New Roman"/>
          <w:sz w:val="24"/>
          <w:szCs w:val="24"/>
          <w:lang w:val="es-PE"/>
        </w:rPr>
        <w:t xml:space="preserve">el uso indebido es solo como consecuencia del robo y/o hurto de la tarjeta si se </w:t>
      </w:r>
      <w:r>
        <w:rPr>
          <w:rFonts w:ascii="Times New Roman" w:hAnsi="Times New Roman" w:cs="Times New Roman"/>
          <w:sz w:val="24"/>
          <w:szCs w:val="24"/>
          <w:lang w:val="es-PE"/>
        </w:rPr>
        <w:lastRenderedPageBreak/>
        <w:t>efectúan compras en centros comerciales, mas no para retiro de dinero en efectivo en el cajero automático producto del hurto.</w:t>
      </w:r>
    </w:p>
    <w:p w:rsidR="002D2DFA" w:rsidP="002D2DFA" w:rsidRDefault="002D2DFA" w14:paraId="38A528B3" w14:textId="78A40C15">
      <w:pPr>
        <w:jc w:val="both"/>
        <w:rPr>
          <w:rFonts w:ascii="Times New Roman" w:hAnsi="Times New Roman" w:cs="Times New Roman"/>
          <w:sz w:val="24"/>
          <w:szCs w:val="24"/>
          <w:lang w:val="es-PE"/>
        </w:rPr>
      </w:pPr>
      <w:r w:rsidRPr="217ACE8E" w:rsidR="002D2DFA">
        <w:rPr>
          <w:rFonts w:ascii="Times New Roman" w:hAnsi="Times New Roman" w:cs="Times New Roman"/>
          <w:sz w:val="24"/>
          <w:szCs w:val="24"/>
          <w:lang w:val="es-PE"/>
        </w:rPr>
        <w:t xml:space="preserve">Sobre el particular, este Colegiado advierte que, la Resolución Nro. 104/22, expedida por el Órgano Resolutivo Unipersonal de esta Defensoría del Asegurado (DEFASEG), se fundamenta en que el riesgo cubierto es el uso indebido de una tarjeta de crédito y/ débito en cajeros automáticos o casas comerciales, causado por un robo, secuestro, extravío o hurto, que derive en defraudación, estafa o malversación. En tal sentido, en la medida que el evento reportado es el retiro de dinero en cajero automático tras el robo y/o hurto de la tarjeta débito del Banco </w:t>
      </w:r>
      <w:r w:rsidRPr="217ACE8E" w:rsidR="19BA07B2">
        <w:rPr>
          <w:rFonts w:ascii="Times New Roman" w:hAnsi="Times New Roman" w:cs="Times New Roman"/>
          <w:sz w:val="24"/>
          <w:szCs w:val="24"/>
          <w:lang w:val="es-PE"/>
        </w:rPr>
        <w:t>.............</w:t>
      </w:r>
      <w:r w:rsidRPr="217ACE8E" w:rsidR="002D2DFA">
        <w:rPr>
          <w:rFonts w:ascii="Times New Roman" w:hAnsi="Times New Roman" w:cs="Times New Roman"/>
          <w:sz w:val="24"/>
          <w:szCs w:val="24"/>
          <w:lang w:val="es-PE"/>
        </w:rPr>
        <w:t xml:space="preserve"> del asegurado, el rechazo emitido por </w:t>
      </w:r>
      <w:r w:rsidRPr="217ACE8E" w:rsidR="4F0A9072">
        <w:rPr>
          <w:rFonts w:ascii="Times New Roman" w:hAnsi="Times New Roman" w:cs="Times New Roman"/>
          <w:sz w:val="24"/>
          <w:szCs w:val="24"/>
          <w:lang w:val="es-PE"/>
        </w:rPr>
        <w:t>...............................</w:t>
      </w:r>
      <w:r w:rsidRPr="217ACE8E" w:rsidR="002D2DFA">
        <w:rPr>
          <w:rFonts w:ascii="Times New Roman" w:hAnsi="Times New Roman" w:cs="Times New Roman"/>
          <w:sz w:val="24"/>
          <w:szCs w:val="24"/>
          <w:lang w:val="es-PE"/>
        </w:rPr>
        <w:t xml:space="preserve"> no es legítimo.</w:t>
      </w:r>
    </w:p>
    <w:p w:rsidR="002D2DFA" w:rsidP="002D2DFA" w:rsidRDefault="002D2DFA" w14:paraId="33172D73" w14:textId="77777777">
      <w:pPr>
        <w:pStyle w:val="Default"/>
        <w:jc w:val="both"/>
        <w:rPr>
          <w:rFonts w:ascii="Times New Roman" w:hAnsi="Times New Roman" w:cs="Times New Roman"/>
        </w:rPr>
      </w:pPr>
      <w:r>
        <w:rPr>
          <w:rFonts w:ascii="Times New Roman" w:hAnsi="Times New Roman" w:cs="Times New Roman"/>
        </w:rPr>
        <w:t xml:space="preserve">A este efecto, el Órgano Resolutorio Unipersonal verificó de las pruebas que obraban en autos, </w:t>
      </w:r>
    </w:p>
    <w:p w:rsidR="002D2DFA" w:rsidP="002D2DFA" w:rsidRDefault="002D2DFA" w14:paraId="1B376720" w14:textId="03AD1A12">
      <w:pPr>
        <w:pStyle w:val="Default"/>
        <w:jc w:val="both"/>
        <w:rPr>
          <w:rFonts w:ascii="Times New Roman" w:hAnsi="Times New Roman" w:cs="Times New Roman"/>
        </w:rPr>
      </w:pPr>
      <w:r w:rsidRPr="217ACE8E" w:rsidR="002D2DFA">
        <w:rPr>
          <w:rFonts w:ascii="Times New Roman" w:hAnsi="Times New Roman" w:cs="Times New Roman"/>
          <w:noProof/>
        </w:rPr>
        <w:t xml:space="preserve">que la cláusula de rechazo mediante la cual </w:t>
      </w:r>
      <w:r w:rsidRPr="217ACE8E" w:rsidR="4F0A9072">
        <w:rPr>
          <w:rFonts w:ascii="Times New Roman" w:hAnsi="Times New Roman" w:cs="Times New Roman"/>
          <w:noProof/>
        </w:rPr>
        <w:t>...............................</w:t>
      </w:r>
      <w:r w:rsidRPr="217ACE8E" w:rsidR="002D2DFA">
        <w:rPr>
          <w:rFonts w:ascii="Times New Roman" w:hAnsi="Times New Roman" w:cs="Times New Roman"/>
          <w:noProof/>
        </w:rPr>
        <w:t xml:space="preserve"> sustenta su posición, indicando que </w:t>
      </w:r>
      <w:r w:rsidRPr="217ACE8E" w:rsidR="002D2DFA">
        <w:rPr>
          <w:rFonts w:ascii="Times New Roman" w:hAnsi="Times New Roman" w:cs="Times New Roman"/>
          <w:i w:val="1"/>
          <w:iCs w:val="1"/>
          <w:noProof/>
        </w:rPr>
        <w:t xml:space="preserve">“Uso Indebido: Si es que por el robo, hurto de la tarjeta asegurada, sea de crédito y/o débito, personas terceras hacen uso indebido de lamisma únicamente en establecimientos comerciales”, </w:t>
      </w:r>
      <w:r w:rsidRPr="217ACE8E" w:rsidR="002D2DFA">
        <w:rPr>
          <w:rFonts w:ascii="Times New Roman" w:hAnsi="Times New Roman" w:cs="Times New Roman"/>
          <w:noProof/>
        </w:rPr>
        <w:t>no se encuentra plasmada en el contrato suscrito por el reclamante (versión noviembre 2018).</w:t>
      </w:r>
    </w:p>
    <w:p w:rsidR="002D2DFA" w:rsidP="002D2DFA" w:rsidRDefault="002D2DFA" w14:paraId="377C0201" w14:textId="77777777">
      <w:pPr>
        <w:pStyle w:val="Default"/>
        <w:jc w:val="both"/>
        <w:rPr>
          <w:rFonts w:ascii="Times New Roman" w:hAnsi="Times New Roman" w:cs="Times New Roman"/>
        </w:rPr>
      </w:pPr>
    </w:p>
    <w:p w:rsidR="002D2DFA" w:rsidP="002D2DFA" w:rsidRDefault="002D2DFA" w14:paraId="2B65AFDD" w14:textId="284EEFE1">
      <w:pPr>
        <w:pStyle w:val="Default"/>
        <w:jc w:val="both"/>
        <w:rPr>
          <w:rFonts w:ascii="Times New Roman" w:hAnsi="Times New Roman" w:cs="Times New Roman"/>
        </w:rPr>
      </w:pPr>
      <w:r w:rsidRPr="217ACE8E" w:rsidR="002D2DFA">
        <w:rPr>
          <w:rFonts w:ascii="Times New Roman" w:hAnsi="Times New Roman" w:cs="Times New Roman"/>
        </w:rPr>
        <w:t xml:space="preserve">Asimismo, </w:t>
      </w:r>
      <w:r w:rsidRPr="217ACE8E" w:rsidR="4F0A9072">
        <w:rPr>
          <w:rFonts w:ascii="Times New Roman" w:hAnsi="Times New Roman" w:cs="Times New Roman"/>
        </w:rPr>
        <w:t>...............................</w:t>
      </w:r>
      <w:r w:rsidRPr="217ACE8E" w:rsidR="002D2DFA">
        <w:rPr>
          <w:rFonts w:ascii="Times New Roman" w:hAnsi="Times New Roman" w:cs="Times New Roman"/>
        </w:rPr>
        <w:t xml:space="preserve"> ha vuelvo a presentar el certificado de seguros </w:t>
      </w:r>
      <w:r w:rsidRPr="217ACE8E" w:rsidR="002D2DFA">
        <w:rPr>
          <w:rFonts w:ascii="Times New Roman" w:hAnsi="Times New Roman" w:cs="Times New Roman"/>
          <w:noProof/>
        </w:rPr>
        <w:t xml:space="preserve">(versión noviembre 2018), en el cual no se plasma </w:t>
      </w:r>
      <w:r w:rsidRPr="217ACE8E" w:rsidR="002D2DFA">
        <w:rPr>
          <w:rFonts w:ascii="Times New Roman" w:hAnsi="Times New Roman" w:cs="Times New Roman"/>
        </w:rPr>
        <w:t>la delimitación de cobertura señalada en la carta de rechazo.</w:t>
      </w:r>
    </w:p>
    <w:p w:rsidR="002D2DFA" w:rsidP="002D2DFA" w:rsidRDefault="002D2DFA" w14:paraId="77188068" w14:textId="77777777">
      <w:pPr>
        <w:pStyle w:val="Default"/>
        <w:jc w:val="both"/>
        <w:rPr>
          <w:rFonts w:ascii="Times New Roman" w:hAnsi="Times New Roman" w:cs="Times New Roman"/>
        </w:rPr>
      </w:pPr>
    </w:p>
    <w:p w:rsidR="002D2DFA" w:rsidP="002D2DFA" w:rsidRDefault="002D2DFA" w14:paraId="02030ECB"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2D2DFA" w:rsidP="002D2DFA" w:rsidRDefault="002D2DFA" w14:paraId="4A5B42B5"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2D2DFA" w:rsidP="217ACE8E" w:rsidRDefault="002D2DFA" w14:paraId="2A1B061B" w14:textId="53490F6E">
      <w:pPr>
        <w:pStyle w:val="Default"/>
        <w:jc w:val="both"/>
        <w:rPr>
          <w:rFonts w:ascii="Times New Roman" w:hAnsi="Times New Roman" w:cs="Times New Roman"/>
          <w:b w:val="1"/>
          <w:bCs w:val="1"/>
        </w:rPr>
      </w:pPr>
      <w:r w:rsidRPr="217ACE8E" w:rsidR="002D2DFA">
        <w:rPr>
          <w:rFonts w:ascii="Times New Roman" w:hAnsi="Times New Roman" w:cs="Times New Roman"/>
          <w:b w:val="1"/>
          <w:bCs w:val="1"/>
        </w:rPr>
        <w:t xml:space="preserve">DECLARAR INFUNDADO </w:t>
      </w:r>
      <w:r w:rsidRPr="217ACE8E" w:rsidR="002D2DFA">
        <w:rPr>
          <w:rFonts w:ascii="Times New Roman" w:hAnsi="Times New Roman" w:cs="Times New Roman"/>
        </w:rPr>
        <w:t>el recurso de impugnación interpuesto por</w:t>
      </w:r>
      <w:r w:rsidRPr="217ACE8E" w:rsidR="002D2DFA">
        <w:rPr>
          <w:rFonts w:ascii="Times New Roman" w:hAnsi="Times New Roman" w:cs="Times New Roman"/>
          <w:b w:val="1"/>
          <w:bCs w:val="1"/>
        </w:rPr>
        <w:t xml:space="preserve"> </w:t>
      </w:r>
      <w:r w:rsidRPr="217ACE8E" w:rsidR="0A08822F">
        <w:rPr>
          <w:rFonts w:ascii="Times New Roman" w:hAnsi="Times New Roman" w:cs="Times New Roman"/>
          <w:b w:val="1"/>
          <w:bCs w:val="1"/>
        </w:rPr>
        <w:t>............................................................</w:t>
      </w:r>
      <w:r w:rsidRPr="217ACE8E" w:rsidR="002D2DFA">
        <w:rPr>
          <w:rFonts w:ascii="Times New Roman" w:hAnsi="Times New Roman" w:cs="Times New Roman"/>
          <w:b w:val="1"/>
          <w:bCs w:val="1"/>
        </w:rPr>
        <w:t xml:space="preserve"> </w:t>
      </w:r>
      <w:r w:rsidRPr="217ACE8E" w:rsidR="002D2DFA">
        <w:rPr>
          <w:rFonts w:ascii="Times New Roman" w:hAnsi="Times New Roman" w:cs="Times New Roman"/>
        </w:rPr>
        <w:t>y, por consiguiente,</w:t>
      </w:r>
      <w:r w:rsidRPr="217ACE8E" w:rsidR="002D2DFA">
        <w:rPr>
          <w:rFonts w:ascii="Times New Roman" w:hAnsi="Times New Roman" w:cs="Times New Roman"/>
          <w:b w:val="1"/>
          <w:bCs w:val="1"/>
        </w:rPr>
        <w:t xml:space="preserve"> CONFIRMAR la Resolución </w:t>
      </w:r>
      <w:r w:rsidRPr="217ACE8E" w:rsidR="002D2DFA">
        <w:rPr>
          <w:rFonts w:ascii="Times New Roman" w:hAnsi="Times New Roman" w:cs="Times New Roman"/>
          <w:b w:val="1"/>
          <w:bCs w:val="1"/>
        </w:rPr>
        <w:t>N°</w:t>
      </w:r>
      <w:r w:rsidRPr="217ACE8E" w:rsidR="002D2DFA">
        <w:rPr>
          <w:rFonts w:ascii="Times New Roman" w:hAnsi="Times New Roman" w:cs="Times New Roman"/>
          <w:b w:val="1"/>
          <w:bCs w:val="1"/>
        </w:rPr>
        <w:t xml:space="preserve"> 104/22</w:t>
      </w:r>
      <w:r w:rsidRPr="217ACE8E" w:rsidR="002D2DFA">
        <w:rPr>
          <w:rFonts w:ascii="Times New Roman" w:hAnsi="Times New Roman" w:cs="Times New Roman"/>
          <w:b w:val="1"/>
          <w:bCs w:val="1"/>
          <w:lang w:val="es-MX"/>
        </w:rPr>
        <w:t>.</w:t>
      </w:r>
    </w:p>
    <w:p w:rsidRPr="002D2DFA"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PE" w:eastAsia="ar-SA"/>
        </w:rPr>
      </w:pPr>
    </w:p>
    <w:p w:rsidRPr="00E22EBE" w:rsidR="00C173A8" w:rsidP="00092C2E" w:rsidRDefault="00C173A8" w14:paraId="21EFD7D3" w14:textId="656CD2B1">
      <w:pPr>
        <w:suppressAutoHyphens/>
        <w:spacing w:after="0" w:line="240" w:lineRule="auto"/>
        <w:jc w:val="right"/>
        <w:outlineLvl w:val="0"/>
        <w:rPr>
          <w:rFonts w:ascii="Times New Roman" w:hAnsi="Times New Roman" w:eastAsia="Arial Unicode MS" w:cs="Times New Roman"/>
          <w:sz w:val="24"/>
          <w:szCs w:val="24"/>
          <w:lang w:val="es-PE" w:eastAsia="ar-SA"/>
        </w:rPr>
      </w:pPr>
      <w:r w:rsidRPr="00E22EBE">
        <w:rPr>
          <w:rFonts w:ascii="Times New Roman" w:hAnsi="Times New Roman" w:eastAsia="Arial Unicode MS" w:cs="Times New Roman"/>
          <w:sz w:val="24"/>
          <w:szCs w:val="24"/>
          <w:lang w:val="es-PE" w:eastAsia="ar-SA"/>
        </w:rPr>
        <w:t xml:space="preserve">Lima, </w:t>
      </w:r>
      <w:r w:rsidRPr="00E22EBE" w:rsidR="00B93683">
        <w:rPr>
          <w:rFonts w:ascii="Times New Roman" w:hAnsi="Times New Roman" w:eastAsia="Arial Unicode MS" w:cs="Times New Roman"/>
          <w:sz w:val="24"/>
          <w:szCs w:val="24"/>
          <w:lang w:val="es-PE" w:eastAsia="ar-SA"/>
        </w:rPr>
        <w:t>30</w:t>
      </w:r>
      <w:r w:rsidRPr="00E22EBE">
        <w:rPr>
          <w:rFonts w:ascii="Times New Roman" w:hAnsi="Times New Roman" w:eastAsia="Arial Unicode MS" w:cs="Times New Roman"/>
          <w:sz w:val="24"/>
          <w:szCs w:val="24"/>
          <w:lang w:val="es-PE" w:eastAsia="ar-SA"/>
        </w:rPr>
        <w:t xml:space="preserve"> de </w:t>
      </w:r>
      <w:r w:rsidRPr="00E22EBE" w:rsidR="006E5783">
        <w:rPr>
          <w:rFonts w:ascii="Times New Roman" w:hAnsi="Times New Roman" w:eastAsia="Arial Unicode MS" w:cs="Times New Roman"/>
          <w:sz w:val="24"/>
          <w:szCs w:val="24"/>
          <w:lang w:val="es-PE" w:eastAsia="ar-SA"/>
        </w:rPr>
        <w:t>junio</w:t>
      </w:r>
      <w:r w:rsidRPr="00E22EBE">
        <w:rPr>
          <w:rFonts w:ascii="Times New Roman" w:hAnsi="Times New Roman" w:eastAsia="Arial Unicode MS" w:cs="Times New Roman"/>
          <w:sz w:val="24"/>
          <w:szCs w:val="24"/>
          <w:lang w:val="es-PE" w:eastAsia="ar-SA"/>
        </w:rPr>
        <w:t xml:space="preserve"> de 2022</w:t>
      </w:r>
      <w:r w:rsidRPr="00E22EBE">
        <w:rPr>
          <w:rFonts w:ascii="Times New Roman" w:hAnsi="Times New Roman" w:eastAsia="Times New Roman" w:cs="Times New Roman"/>
          <w:sz w:val="24"/>
          <w:szCs w:val="24"/>
          <w:lang w:val="es-PE" w:eastAsia="ar-SA"/>
        </w:rPr>
        <w:t xml:space="preserve"> </w:t>
      </w:r>
    </w:p>
    <w:p w:rsidRPr="00E22EBE"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22EBE"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E22EB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22EBE"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E22EBE"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Marco Antonio Ortega Piana – </w:t>
      </w:r>
      <w:proofErr w:type="gramStart"/>
      <w:r w:rsidRPr="00E22EBE">
        <w:rPr>
          <w:rFonts w:ascii="Times New Roman" w:hAnsi="Times New Roman" w:cs="Times New Roman"/>
          <w:b/>
          <w:bCs/>
          <w:sz w:val="24"/>
          <w:szCs w:val="24"/>
          <w:lang w:val="es-PE"/>
        </w:rPr>
        <w:t>Presidente</w:t>
      </w:r>
      <w:proofErr w:type="gramEnd"/>
    </w:p>
    <w:p w:rsidRPr="00E22EBE"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María Eugenia Valdez Fernández Baca – </w:t>
      </w:r>
      <w:r w:rsidRPr="00E22EBE" w:rsidR="001B1998">
        <w:rPr>
          <w:rFonts w:ascii="Times New Roman" w:hAnsi="Times New Roman" w:cs="Times New Roman"/>
          <w:b/>
          <w:bCs/>
          <w:sz w:val="24"/>
          <w:szCs w:val="24"/>
          <w:lang w:val="es-PE"/>
        </w:rPr>
        <w:t>Vocal</w:t>
      </w:r>
    </w:p>
    <w:p w:rsidRPr="00E22EBE"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Rolando Eyzaguirre </w:t>
      </w:r>
      <w:proofErr w:type="spellStart"/>
      <w:r w:rsidRPr="00E22EBE">
        <w:rPr>
          <w:rFonts w:ascii="Times New Roman" w:hAnsi="Times New Roman" w:cs="Times New Roman"/>
          <w:b/>
          <w:bCs/>
          <w:sz w:val="24"/>
          <w:szCs w:val="24"/>
          <w:lang w:val="es-PE"/>
        </w:rPr>
        <w:t>Maccan</w:t>
      </w:r>
      <w:proofErr w:type="spellEnd"/>
      <w:r w:rsidRPr="00E22EBE">
        <w:rPr>
          <w:rFonts w:ascii="Times New Roman" w:hAnsi="Times New Roman" w:cs="Times New Roman"/>
          <w:b/>
          <w:bCs/>
          <w:sz w:val="24"/>
          <w:szCs w:val="24"/>
          <w:lang w:val="es-PE"/>
        </w:rPr>
        <w:t xml:space="preserve"> - Vocal</w:t>
      </w:r>
    </w:p>
    <w:p w:rsidRPr="00E22EBE"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E22EBE">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626C" w:rsidP="00784355" w:rsidRDefault="0098626C" w14:paraId="12E4E560" w14:textId="77777777">
      <w:pPr>
        <w:spacing w:after="0" w:line="240" w:lineRule="auto"/>
      </w:pPr>
      <w:r>
        <w:separator/>
      </w:r>
    </w:p>
  </w:endnote>
  <w:endnote w:type="continuationSeparator" w:id="0">
    <w:p w:rsidR="0098626C" w:rsidP="00784355" w:rsidRDefault="0098626C" w14:paraId="2A5F52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626C" w:rsidP="00784355" w:rsidRDefault="0098626C" w14:paraId="195368FE" w14:textId="77777777">
      <w:pPr>
        <w:spacing w:after="0" w:line="240" w:lineRule="auto"/>
      </w:pPr>
      <w:r>
        <w:separator/>
      </w:r>
    </w:p>
  </w:footnote>
  <w:footnote w:type="continuationSeparator" w:id="0">
    <w:p w:rsidR="0098626C" w:rsidP="00784355" w:rsidRDefault="0098626C" w14:paraId="1588E2A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75F"/>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9E940FD"/>
    <w:rsid w:val="0A08822F"/>
    <w:rsid w:val="19BA07B2"/>
    <w:rsid w:val="1E5B8DAC"/>
    <w:rsid w:val="217ACE8E"/>
    <w:rsid w:val="4E425D7C"/>
    <w:rsid w:val="4F0A9072"/>
    <w:rsid w:val="5381C1BC"/>
    <w:rsid w:val="77DBA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A1E6B1E-E1E7-45C1-ACAA-B25041DE294D}"/>
</file>

<file path=customXml/itemProps3.xml><?xml version="1.0" encoding="utf-8"?>
<ds:datastoreItem xmlns:ds="http://schemas.openxmlformats.org/officeDocument/2006/customXml" ds:itemID="{93262AE1-09DA-4BB9-BF94-DC9DF89843A0}"/>
</file>

<file path=customXml/itemProps4.xml><?xml version="1.0" encoding="utf-8"?>
<ds:datastoreItem xmlns:ds="http://schemas.openxmlformats.org/officeDocument/2006/customXml" ds:itemID="{FAEA2FA0-2669-4806-A132-2C0341353E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140</cp:revision>
  <cp:lastPrinted>2022-06-30T14:56:00Z</cp:lastPrinted>
  <dcterms:created xsi:type="dcterms:W3CDTF">2020-12-18T20:17:00Z</dcterms:created>
  <dcterms:modified xsi:type="dcterms:W3CDTF">2025-11-27T19:34:18Z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