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22EBE" w:rsidR="00B10F71" w:rsidP="00041B86" w:rsidRDefault="00201C0D" w14:paraId="51974F0B" w14:textId="13CD6B85">
      <w:pPr>
        <w:spacing w:after="0" w:line="240" w:lineRule="auto"/>
        <w:jc w:val="center"/>
        <w:rPr>
          <w:rFonts w:ascii="Times New Roman" w:hAnsi="Times New Roman" w:cs="Times New Roman"/>
          <w:b/>
          <w:sz w:val="24"/>
          <w:szCs w:val="24"/>
          <w:lang w:val="es-PE" w:eastAsia="ar-SA"/>
        </w:rPr>
      </w:pPr>
      <w:r w:rsidRPr="00E22EBE">
        <w:rPr>
          <w:rFonts w:ascii="Times New Roman" w:hAnsi="Times New Roman" w:cs="Times New Roman"/>
          <w:b/>
          <w:sz w:val="24"/>
          <w:szCs w:val="24"/>
          <w:lang w:val="es-PE" w:eastAsia="ar-SA"/>
        </w:rPr>
        <w:t xml:space="preserve">RESOLUCIÓN DE RECURSO IMPUGNATIVO </w:t>
      </w:r>
      <w:proofErr w:type="spellStart"/>
      <w:r w:rsidRPr="00E22EBE" w:rsidR="00707C99">
        <w:rPr>
          <w:rFonts w:ascii="Times New Roman" w:hAnsi="Times New Roman" w:cs="Times New Roman"/>
          <w:b/>
          <w:sz w:val="24"/>
          <w:szCs w:val="24"/>
          <w:lang w:val="es-PE" w:eastAsia="ar-SA"/>
        </w:rPr>
        <w:t>N°</w:t>
      </w:r>
      <w:proofErr w:type="spellEnd"/>
      <w:r w:rsidRPr="00E22EBE" w:rsidR="00707C99">
        <w:rPr>
          <w:rFonts w:ascii="Times New Roman" w:hAnsi="Times New Roman" w:cs="Times New Roman"/>
          <w:b/>
          <w:sz w:val="24"/>
          <w:szCs w:val="24"/>
          <w:lang w:val="es-PE" w:eastAsia="ar-SA"/>
        </w:rPr>
        <w:t xml:space="preserve"> </w:t>
      </w:r>
      <w:r w:rsidRPr="00E22EBE" w:rsidR="00C671F5">
        <w:rPr>
          <w:rFonts w:ascii="Times New Roman" w:hAnsi="Times New Roman" w:cs="Times New Roman"/>
          <w:b/>
          <w:sz w:val="24"/>
          <w:szCs w:val="24"/>
          <w:lang w:val="es-PE" w:eastAsia="ar-SA"/>
        </w:rPr>
        <w:t>0</w:t>
      </w:r>
      <w:r w:rsidRPr="00E22EBE" w:rsidR="00B93683">
        <w:rPr>
          <w:rFonts w:ascii="Times New Roman" w:hAnsi="Times New Roman" w:cs="Times New Roman"/>
          <w:b/>
          <w:sz w:val="24"/>
          <w:szCs w:val="24"/>
          <w:lang w:val="es-PE" w:eastAsia="ar-SA"/>
        </w:rPr>
        <w:t>4</w:t>
      </w:r>
      <w:r w:rsidR="006F31C7">
        <w:rPr>
          <w:rFonts w:ascii="Times New Roman" w:hAnsi="Times New Roman" w:cs="Times New Roman"/>
          <w:b/>
          <w:sz w:val="24"/>
          <w:szCs w:val="24"/>
          <w:lang w:val="es-PE" w:eastAsia="ar-SA"/>
        </w:rPr>
        <w:t>2</w:t>
      </w:r>
      <w:r w:rsidRPr="00E22EBE" w:rsidR="00C671F5">
        <w:rPr>
          <w:rFonts w:ascii="Times New Roman" w:hAnsi="Times New Roman" w:cs="Times New Roman"/>
          <w:b/>
          <w:sz w:val="24"/>
          <w:szCs w:val="24"/>
          <w:lang w:val="es-PE" w:eastAsia="ar-SA"/>
        </w:rPr>
        <w:t>/2</w:t>
      </w:r>
      <w:r w:rsidRPr="00E22EBE" w:rsidR="00B93C7A">
        <w:rPr>
          <w:rFonts w:ascii="Times New Roman" w:hAnsi="Times New Roman" w:cs="Times New Roman"/>
          <w:b/>
          <w:sz w:val="24"/>
          <w:szCs w:val="24"/>
          <w:lang w:val="es-PE" w:eastAsia="ar-SA"/>
        </w:rPr>
        <w:t>2</w:t>
      </w:r>
    </w:p>
    <w:p w:rsidRPr="00E22EBE" w:rsidR="00C173A8" w:rsidP="00C173A8" w:rsidRDefault="00C173A8" w14:paraId="301E1FA3" w14:textId="617C5C7A">
      <w:pPr>
        <w:spacing w:after="0" w:line="240" w:lineRule="auto"/>
        <w:jc w:val="both"/>
        <w:rPr>
          <w:rFonts w:ascii="Times New Roman" w:hAnsi="Times New Roman" w:cs="Times New Roman"/>
          <w:b/>
          <w:sz w:val="24"/>
          <w:szCs w:val="24"/>
          <w:lang w:val="es-PE"/>
        </w:rPr>
      </w:pPr>
    </w:p>
    <w:p w:rsidR="000349E7" w:rsidP="000349E7" w:rsidRDefault="000349E7" w14:paraId="74EB9131" w14:textId="77777777">
      <w:pPr>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0349E7" w:rsidP="000349E7" w:rsidRDefault="000349E7" w14:paraId="0C2DEA68" w14:textId="28D3DCB0">
      <w:pPr>
        <w:jc w:val="both"/>
        <w:outlineLvl w:val="0"/>
        <w:rPr>
          <w:rFonts w:ascii="Times New Roman" w:hAnsi="Times New Roman" w:cs="Times New Roman"/>
          <w:b w:val="1"/>
          <w:bCs w:val="1"/>
          <w:sz w:val="24"/>
          <w:szCs w:val="24"/>
          <w:lang w:val="es-MX"/>
        </w:rPr>
      </w:pPr>
      <w:r w:rsidRPr="1FE6D010" w:rsidR="000349E7">
        <w:rPr>
          <w:rFonts w:ascii="Times New Roman" w:hAnsi="Times New Roman" w:cs="Times New Roman"/>
          <w:sz w:val="24"/>
          <w:szCs w:val="24"/>
          <w:lang w:val="es-PE"/>
        </w:rPr>
        <w:t xml:space="preserve">El recurso de impugnación presentado por </w:t>
      </w:r>
      <w:r w:rsidRPr="1FE6D010" w:rsidR="5EE0ECCF">
        <w:rPr>
          <w:rFonts w:ascii="Times New Roman" w:hAnsi="Times New Roman" w:cs="Times New Roman"/>
          <w:sz w:val="24"/>
          <w:szCs w:val="24"/>
          <w:lang w:val="es-PE"/>
        </w:rPr>
        <w:t>........................................................</w:t>
      </w:r>
      <w:r w:rsidRPr="1FE6D010" w:rsidR="000349E7">
        <w:rPr>
          <w:rFonts w:ascii="Times New Roman" w:hAnsi="Times New Roman" w:cs="Times New Roman"/>
          <w:sz w:val="24"/>
          <w:szCs w:val="24"/>
          <w:lang w:val="es-PE"/>
        </w:rPr>
        <w:t xml:space="preserve"> respecto de la Resolución Nro. 087/22, expedida por el Órgano Resolutivo Unipersonal de esta Defensoría del Asegurado (DEFASEG), conforme a la cual se declaró FUNDADA la reclamación interpuesta por </w:t>
      </w:r>
      <w:r w:rsidRPr="1FE6D010" w:rsidR="056BA4EA">
        <w:rPr>
          <w:rFonts w:ascii="Times New Roman" w:hAnsi="Times New Roman" w:cs="Times New Roman"/>
          <w:b w:val="1"/>
          <w:bCs w:val="1"/>
          <w:sz w:val="24"/>
          <w:szCs w:val="24"/>
          <w:lang w:val="es-PE"/>
        </w:rPr>
        <w:t>........................................................</w:t>
      </w:r>
      <w:r w:rsidRPr="1FE6D010" w:rsidR="000349E7">
        <w:rPr>
          <w:rFonts w:ascii="Times New Roman" w:hAnsi="Times New Roman" w:cs="Times New Roman"/>
          <w:b w:val="1"/>
          <w:bCs w:val="1"/>
          <w:sz w:val="24"/>
          <w:szCs w:val="24"/>
          <w:lang w:val="es-PE"/>
        </w:rPr>
        <w:t xml:space="preserve"> </w:t>
      </w:r>
      <w:r w:rsidRPr="1FE6D010" w:rsidR="000349E7">
        <w:rPr>
          <w:rFonts w:ascii="Times New Roman" w:hAnsi="Times New Roman" w:cs="Times New Roman"/>
          <w:sz w:val="24"/>
          <w:szCs w:val="24"/>
          <w:lang w:val="es-PE"/>
        </w:rPr>
        <w:t xml:space="preserve">respecto al </w:t>
      </w:r>
      <w:r w:rsidRPr="1FE6D010" w:rsidR="000349E7">
        <w:rPr>
          <w:rFonts w:ascii="Times New Roman" w:hAnsi="Times New Roman" w:cs="Times New Roman"/>
          <w:b w:val="1"/>
          <w:bCs w:val="1"/>
          <w:sz w:val="24"/>
          <w:szCs w:val="24"/>
          <w:lang w:val="es-MX"/>
        </w:rPr>
        <w:t xml:space="preserve">SEGURO DE PROTECCIÓN DE TARJETA CON PÓLIZA </w:t>
      </w:r>
      <w:r w:rsidRPr="1FE6D010" w:rsidR="000349E7">
        <w:rPr>
          <w:rFonts w:ascii="Times New Roman" w:hAnsi="Times New Roman" w:cs="Times New Roman"/>
          <w:b w:val="1"/>
          <w:bCs w:val="1"/>
          <w:sz w:val="24"/>
          <w:szCs w:val="24"/>
          <w:lang w:val="es-MX"/>
        </w:rPr>
        <w:t>N°</w:t>
      </w:r>
      <w:r w:rsidRPr="1FE6D010" w:rsidR="000349E7">
        <w:rPr>
          <w:rFonts w:ascii="Times New Roman" w:hAnsi="Times New Roman" w:cs="Times New Roman"/>
          <w:b w:val="1"/>
          <w:bCs w:val="1"/>
          <w:sz w:val="24"/>
          <w:szCs w:val="24"/>
          <w:lang w:val="es-MX"/>
        </w:rPr>
        <w:t xml:space="preserve"> </w:t>
      </w:r>
      <w:r w:rsidRPr="1FE6D010" w:rsidR="3AFFB753">
        <w:rPr>
          <w:rFonts w:ascii="Times New Roman" w:hAnsi="Times New Roman" w:cs="Times New Roman"/>
          <w:b w:val="1"/>
          <w:bCs w:val="1"/>
          <w:sz w:val="24"/>
          <w:szCs w:val="24"/>
          <w:lang w:val="es-PE"/>
        </w:rPr>
        <w:t>...........................</w:t>
      </w:r>
      <w:r w:rsidRPr="1FE6D010" w:rsidR="005E43DC">
        <w:rPr>
          <w:rFonts w:ascii="Times New Roman" w:hAnsi="Times New Roman" w:cs="Times New Roman"/>
          <w:b w:val="1"/>
          <w:bCs w:val="1"/>
          <w:sz w:val="24"/>
          <w:szCs w:val="24"/>
          <w:lang w:val="es-PE"/>
        </w:rPr>
        <w:t>;</w:t>
      </w:r>
    </w:p>
    <w:p w:rsidR="000349E7" w:rsidP="000349E7" w:rsidRDefault="000349E7" w14:paraId="588656F2" w14:textId="02828B0F">
      <w:pPr>
        <w:pStyle w:val="Textoindependiente"/>
      </w:pPr>
      <w:r w:rsidR="000349E7">
        <w:rPr/>
        <w:t xml:space="preserve">Que, el indicado recurso se sustenta resumidamente en lo siguiente: a) La Defensoría del Asegurado nunca niega que la posición de nuestra Compañía sea cierta. El motivo por el cual declara fundada la denuncia es en atención a que nuestra Compañía no ha cumplido con presentar la póliza y/o certificado de seguro de protección de tarjeta </w:t>
      </w:r>
      <w:r w:rsidR="52826769">
        <w:rPr/>
        <w:t>...........................</w:t>
      </w:r>
      <w:r w:rsidR="000349E7">
        <w:rPr/>
        <w:t xml:space="preserve">; b) mediante el presente recurso de revisión se cumple con presentar la póliza y/o certificado de seguro de protección de tarjeta </w:t>
      </w:r>
      <w:r w:rsidR="52826769">
        <w:rPr/>
        <w:t>...........................</w:t>
      </w:r>
      <w:r w:rsidR="000349E7">
        <w:rPr/>
        <w:t xml:space="preserve"> contratada por el reclamante, a fin de analizar y verificar las coberturas contratadas; confirmar que el presente siniestro no tiene cobertura; c) el reclamante manifiesta haber sido víctima de fraude informático toda vez que le retiraron el monto ascendiente a S/ 3,000 soles de su cuenta del Banco </w:t>
      </w:r>
      <w:r w:rsidR="52826769">
        <w:rPr/>
        <w:t>...........................</w:t>
      </w:r>
      <w:r w:rsidR="000349E7">
        <w:rPr/>
        <w:t xml:space="preserve">. La Compañía no se vio en la posibilidad de amparar el reclamo en mención toda vez que, del análisis y evaluación de la documentación remitida, se advirtió que el reclamante siempre mantuvo en su posesión la tarjeta presuntamente siniestrada; d) el Seguro de Protección de Tarjetas brinda la seguridad de proteger las tarjetas del consumidor ante el uso indebido de ellas, falsificación de identidad, uso forzado, hurto de retiros en cajeros automáticos y compras fraudulentas por internet, siempre y cuando se cumpla con las obligaciones estipuladas para activar su cobertura, las mismas que se encuentran detalladas en la Póliza de Seguros contratada por cada cliente; e)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f) de una lectura sistemática de lo señalado en la póliza contratada, para que el contenido de la cláusula 4 sobre cobertura de  compras fraudulentas pueda ser activada se requiere que dicha compra no reconocida </w:t>
      </w:r>
      <w:r w:rsidR="000349E7">
        <w:rPr/>
        <w:t>se de</w:t>
      </w:r>
      <w:r w:rsidR="000349E7">
        <w:rPr/>
        <w:t xml:space="preserve"> mediante el hurto o robo de la tarjeta asegurada.</w:t>
      </w:r>
    </w:p>
    <w:p w:rsidR="000349E7" w:rsidP="000349E7" w:rsidRDefault="000349E7" w14:paraId="34C26079" w14:textId="77777777">
      <w:pPr>
        <w:pStyle w:val="Textoindependiente"/>
      </w:pPr>
    </w:p>
    <w:p w:rsidR="000349E7" w:rsidP="1FE6D010" w:rsidRDefault="000349E7" w14:paraId="1FFBE4A4" w14:textId="57E315BF">
      <w:pPr>
        <w:suppressAutoHyphens/>
        <w:spacing w:after="0" w:line="240" w:lineRule="auto"/>
        <w:jc w:val="both"/>
        <w:rPr>
          <w:rFonts w:ascii="Times New Roman" w:hAnsi="Times New Roman" w:eastAsia="Times New Roman" w:cs="Times New Roman"/>
          <w:sz w:val="24"/>
          <w:szCs w:val="24"/>
          <w:lang w:val="es-MX" w:eastAsia="ar-SA"/>
        </w:rPr>
      </w:pPr>
      <w:r w:rsidRPr="1FE6D010" w:rsidR="000349E7">
        <w:rPr>
          <w:rFonts w:ascii="Times New Roman" w:hAnsi="Times New Roman" w:eastAsia="Times New Roman" w:cs="Times New Roman"/>
          <w:sz w:val="24"/>
          <w:szCs w:val="24"/>
          <w:lang w:val="es-MX" w:eastAsia="ar-SA"/>
        </w:rPr>
        <w:t xml:space="preserve">Que, habiéndosele corrido traslado de la señalada impugnación, el señor </w:t>
      </w:r>
      <w:r w:rsidRPr="1FE6D010" w:rsidR="34A6DC3F">
        <w:rPr>
          <w:rFonts w:ascii="Times New Roman" w:hAnsi="Times New Roman" w:eastAsia="Times New Roman" w:cs="Times New Roman"/>
          <w:sz w:val="24"/>
          <w:szCs w:val="24"/>
          <w:lang w:val="es-MX" w:eastAsia="ar-SA"/>
        </w:rPr>
        <w:t>.................</w:t>
      </w:r>
      <w:r w:rsidRPr="1FE6D010" w:rsidR="000349E7">
        <w:rPr>
          <w:rFonts w:ascii="Times New Roman" w:hAnsi="Times New Roman" w:eastAsia="Times New Roman" w:cs="Times New Roman"/>
          <w:sz w:val="24"/>
          <w:szCs w:val="24"/>
          <w:lang w:val="es-MX" w:eastAsia="ar-SA"/>
        </w:rPr>
        <w:t xml:space="preserve"> no ha absuelto el trámite correspondiente;</w:t>
      </w:r>
    </w:p>
    <w:p w:rsidR="000349E7" w:rsidP="000349E7" w:rsidRDefault="000349E7" w14:paraId="1D7F2386" w14:textId="77777777">
      <w:pPr>
        <w:pStyle w:val="Textoindependiente"/>
        <w:rPr>
          <w:bCs w:val="0"/>
          <w:color w:val="000000"/>
          <w:lang w:val="es-PE" w:eastAsia="es-PE"/>
        </w:rPr>
      </w:pPr>
    </w:p>
    <w:p w:rsidR="000349E7" w:rsidP="000349E7" w:rsidRDefault="000349E7" w14:paraId="31828B25" w14:textId="77777777">
      <w:pPr>
        <w:suppressAutoHyphens/>
        <w:spacing w:after="0" w:line="240" w:lineRule="auto"/>
        <w:jc w:val="both"/>
        <w:rPr>
          <w:rFonts w:ascii="Times New Roman" w:hAnsi="Times New Roman" w:cs="Times New Roman"/>
          <w:bCs/>
          <w:sz w:val="24"/>
          <w:szCs w:val="24"/>
          <w:lang w:val="es-ES"/>
        </w:rPr>
      </w:pPr>
      <w:r>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008D67A4" w:rsidP="000349E7" w:rsidRDefault="008D67A4" w14:paraId="5572F9D5" w14:textId="77777777">
      <w:pPr>
        <w:jc w:val="both"/>
        <w:rPr>
          <w:rFonts w:ascii="Times New Roman" w:hAnsi="Times New Roman" w:cs="Times New Roman"/>
          <w:b/>
          <w:sz w:val="24"/>
          <w:szCs w:val="24"/>
          <w:u w:val="single"/>
          <w:lang w:val="es-ES"/>
        </w:rPr>
      </w:pPr>
    </w:p>
    <w:p w:rsidR="000349E7" w:rsidP="000349E7" w:rsidRDefault="000349E7" w14:paraId="200519CA" w14:textId="4499A59B">
      <w:pPr>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PRIMERO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El artículo 10 (Procedimiento) del Reglamento de la DEFASEG </w:t>
      </w:r>
      <w:r>
        <w:rPr>
          <w:rFonts w:ascii="Times New Roman" w:hAnsi="Times New Roman" w:eastAsia="Arial Unicode MS" w:cs="Times New Roman"/>
          <w:sz w:val="24"/>
          <w:szCs w:val="24"/>
          <w:lang w:val="es-PE"/>
        </w:rPr>
        <w:t>(http://www.defaseg.com.pe/reglamento)</w:t>
      </w:r>
      <w:r>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000349E7" w:rsidP="000349E7" w:rsidRDefault="000349E7" w14:paraId="7EBB17E5"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lastRenderedPageBreak/>
        <w:t>Conforme a ello, en el caso concreto, al interponer el recurso de impugnación la aseguradora ha ejercido formalmente su derecho a contradecir lo resuelto por la Defensoría.</w:t>
      </w:r>
    </w:p>
    <w:p w:rsidR="000349E7" w:rsidP="000349E7" w:rsidRDefault="000349E7" w14:paraId="6A90B143" w14:textId="77777777">
      <w:pPr>
        <w:jc w:val="both"/>
        <w:rPr>
          <w:rFonts w:ascii="Times New Roman" w:hAnsi="Times New Roman" w:cs="Times New Roman"/>
          <w:b/>
          <w:bCs/>
          <w:sz w:val="24"/>
          <w:szCs w:val="24"/>
          <w:lang w:val="es-PE"/>
        </w:rPr>
      </w:pPr>
      <w:r>
        <w:rPr>
          <w:rFonts w:ascii="Times New Roman" w:hAnsi="Times New Roman" w:cs="Times New Roman"/>
          <w:b/>
          <w:bCs/>
          <w:sz w:val="24"/>
          <w:szCs w:val="24"/>
          <w:u w:val="single"/>
          <w:lang w:val="es-PE"/>
        </w:rPr>
        <w:t>SEGUNDO</w:t>
      </w:r>
      <w:r>
        <w:rPr>
          <w:rFonts w:ascii="Times New Roman" w:hAnsi="Times New Roman" w:cs="Times New Roman"/>
          <w:b/>
          <w:bCs/>
          <w:sz w:val="24"/>
          <w:szCs w:val="24"/>
          <w:lang w:val="es-PE"/>
        </w:rPr>
        <w:t xml:space="preserve">: </w:t>
      </w:r>
      <w:r>
        <w:rPr>
          <w:rFonts w:ascii="Times New Roman" w:hAnsi="Times New Roman" w:cs="Times New Roman"/>
          <w:bCs/>
          <w:sz w:val="24"/>
          <w:szCs w:val="24"/>
          <w:lang w:val="es-PE"/>
        </w:rPr>
        <w:t xml:space="preserve">Que, el recurso de impugnación presentado por la aseguradora se sustenta en nueva prueba, en virtud de la cual se podrá analizar </w:t>
      </w:r>
      <w:r>
        <w:rPr>
          <w:rFonts w:ascii="Times New Roman" w:hAnsi="Times New Roman" w:cs="Times New Roman"/>
          <w:sz w:val="24"/>
          <w:szCs w:val="24"/>
          <w:lang w:val="es-PE"/>
        </w:rPr>
        <w:t>si en el presente caso el siniestro corresponde o no a un riesgo bajo cobertura del seguro contratado</w:t>
      </w:r>
      <w:r>
        <w:rPr>
          <w:lang w:val="es-PE"/>
        </w:rPr>
        <w:t>.</w:t>
      </w:r>
    </w:p>
    <w:p w:rsidR="000349E7" w:rsidP="1FE6D010" w:rsidRDefault="000349E7" w14:paraId="68EE5C11" w14:textId="3B9C655C">
      <w:pPr>
        <w:jc w:val="both"/>
        <w:rPr>
          <w:rFonts w:ascii="Times New Roman" w:hAnsi="Times New Roman" w:cs="Times New Roman"/>
          <w:sz w:val="24"/>
          <w:szCs w:val="24"/>
          <w:lang w:val="es-PE"/>
        </w:rPr>
      </w:pPr>
      <w:r w:rsidRPr="1FE6D010" w:rsidR="000349E7">
        <w:rPr>
          <w:rFonts w:ascii="Times New Roman" w:hAnsi="Times New Roman" w:cs="Times New Roman"/>
          <w:sz w:val="24"/>
          <w:szCs w:val="24"/>
          <w:lang w:val="es-PE"/>
        </w:rPr>
        <w:t xml:space="preserve"> Así, la aseguradora </w:t>
      </w:r>
      <w:r w:rsidRPr="1FE6D010" w:rsidR="000349E7">
        <w:rPr>
          <w:rFonts w:ascii="Times New Roman" w:hAnsi="Times New Roman" w:cs="Times New Roman"/>
          <w:sz w:val="24"/>
          <w:szCs w:val="24"/>
          <w:lang w:val="es-PE"/>
        </w:rPr>
        <w:t xml:space="preserve">ha adjuntado una copia de la solicitud - certificado del Seguro de Protección de Tarjeta </w:t>
      </w:r>
      <w:r w:rsidRPr="1FE6D010" w:rsidR="52826769">
        <w:rPr>
          <w:rFonts w:ascii="Times New Roman" w:hAnsi="Times New Roman" w:cs="Times New Roman"/>
          <w:sz w:val="24"/>
          <w:szCs w:val="24"/>
          <w:lang w:val="es-PE"/>
        </w:rPr>
        <w:t>...........................</w:t>
      </w:r>
      <w:r w:rsidRPr="1FE6D010" w:rsidR="000349E7">
        <w:rPr>
          <w:rFonts w:ascii="Times New Roman" w:hAnsi="Times New Roman" w:cs="Times New Roman"/>
          <w:sz w:val="24"/>
          <w:szCs w:val="24"/>
          <w:lang w:val="es-PE"/>
        </w:rPr>
        <w:t>, versión junio 2020, documento que aparece firmado por el reclamante, en el cual se detallan las coberturas contratadas, así como las condiciones y/o deducibles, como las Suma Asegurada, conforme se advierte de lo siguiente:</w:t>
      </w:r>
    </w:p>
    <w:p w:rsidR="09C8F90A" w:rsidP="1FE6D010" w:rsidRDefault="09C8F90A" w14:paraId="43143924" w14:textId="64EB0F8C">
      <w:pPr>
        <w:jc w:val="both"/>
        <w:rPr>
          <w:rFonts w:ascii="Times New Roman" w:hAnsi="Times New Roman" w:cs="Times New Roman"/>
          <w:sz w:val="24"/>
          <w:szCs w:val="24"/>
          <w:lang w:val="es-PE"/>
        </w:rPr>
      </w:pPr>
      <w:r w:rsidRPr="1FE6D010" w:rsidR="09C8F90A">
        <w:rPr>
          <w:rFonts w:ascii="Times New Roman" w:hAnsi="Times New Roman" w:cs="Times New Roman"/>
          <w:sz w:val="24"/>
          <w:szCs w:val="24"/>
          <w:lang w:val="es-PE"/>
        </w:rPr>
        <w:t>.............................................................................................................................................</w:t>
      </w:r>
    </w:p>
    <w:p w:rsidR="000349E7" w:rsidP="000349E7" w:rsidRDefault="000349E7" w14:paraId="1B4EDEC1" w14:textId="77777777">
      <w:pPr>
        <w:jc w:val="both"/>
        <w:rPr>
          <w:rFonts w:ascii="Times New Roman" w:hAnsi="Times New Roman" w:cs="Times New Roman"/>
          <w:sz w:val="24"/>
          <w:szCs w:val="24"/>
        </w:rPr>
      </w:pPr>
    </w:p>
    <w:p w:rsidR="000349E7" w:rsidP="000349E7" w:rsidRDefault="000349E7" w14:paraId="3BC45F24" w14:textId="77777777">
      <w:pPr>
        <w:tabs>
          <w:tab w:val="left" w:pos="2160"/>
        </w:tabs>
        <w:jc w:val="both"/>
        <w:rPr>
          <w:rFonts w:ascii="Times New Roman" w:hAnsi="Times New Roman" w:cs="Times New Roman"/>
          <w:sz w:val="24"/>
          <w:szCs w:val="24"/>
          <w:lang w:val="es-PE"/>
        </w:rPr>
      </w:pPr>
      <w:r>
        <w:rPr>
          <w:rFonts w:ascii="Times New Roman" w:hAnsi="Times New Roman" w:cs="Times New Roman"/>
          <w:sz w:val="24"/>
          <w:szCs w:val="24"/>
          <w:lang w:val="es-PE"/>
        </w:rPr>
        <w:t>Resulta evidente que la suscripción del indicado cargo de recepción del certificado de seguro acredita que el reclamante recibió un certificado de seguro correspondiente a la versión V6 de junio de 2020, el cual contenía 14 páginas.</w:t>
      </w:r>
    </w:p>
    <w:p w:rsidR="000349E7" w:rsidP="000349E7" w:rsidRDefault="000349E7" w14:paraId="7782B76D" w14:textId="77777777">
      <w:pPr>
        <w:tabs>
          <w:tab w:val="left" w:pos="2160"/>
        </w:tabs>
        <w:jc w:val="both"/>
        <w:rPr>
          <w:rFonts w:ascii="Times New Roman" w:hAnsi="Times New Roman" w:cs="Times New Roman"/>
          <w:sz w:val="24"/>
          <w:szCs w:val="24"/>
          <w:lang w:val="es-PE"/>
        </w:rPr>
      </w:pPr>
      <w:r>
        <w:rPr>
          <w:rFonts w:ascii="Times New Roman" w:hAnsi="Times New Roman" w:cs="Times New Roman"/>
          <w:sz w:val="24"/>
          <w:szCs w:val="24"/>
          <w:lang w:val="es-PE"/>
        </w:rPr>
        <w:t>Por su parte la aseguradora ha presentado el certificado de seguro completo correspondiente a dicha versión, en el cual se detallan las siguientes coberturas contratadas:</w:t>
      </w:r>
    </w:p>
    <w:p w:rsidR="000349E7" w:rsidP="000349E7" w:rsidRDefault="000349E7" w14:paraId="6CC3B825" w14:textId="77777777">
      <w:pPr>
        <w:tabs>
          <w:tab w:val="left" w:pos="2160"/>
        </w:tabs>
        <w:jc w:val="both"/>
        <w:rPr>
          <w:rFonts w:ascii="Times New Roman" w:hAnsi="Times New Roman" w:cs="Times New Roman"/>
          <w:sz w:val="24"/>
          <w:szCs w:val="24"/>
          <w:lang w:val="es-PE"/>
        </w:rPr>
      </w:pPr>
      <w:r>
        <w:rPr>
          <w:rFonts w:ascii="Times New Roman" w:hAnsi="Times New Roman" w:cs="Times New Roman"/>
          <w:sz w:val="24"/>
          <w:szCs w:val="24"/>
        </w:rPr>
        <w:object w:dxaOrig="8790" w:dyaOrig="6150" w14:anchorId="39672C8C">
          <v:shape id="_x0000_i1026" style="width:439.5pt;height:307.5pt" o:ole="" type="#_x0000_t75">
            <v:imagedata o:title="" r:id="rId10"/>
          </v:shape>
          <o:OLEObject Type="Embed" ProgID="Paint.Picture" ShapeID="_x0000_i1026" DrawAspect="Content" ObjectID="_1718087323" r:id="rId11"/>
        </w:object>
      </w:r>
    </w:p>
    <w:p w:rsidR="000349E7" w:rsidP="000349E7" w:rsidRDefault="000349E7" w14:paraId="2B7C64D8" w14:textId="77777777">
      <w:pPr>
        <w:jc w:val="both"/>
        <w:rPr>
          <w:rFonts w:ascii="Times New Roman" w:hAnsi="Times New Roman" w:cs="Times New Roman"/>
          <w:sz w:val="24"/>
          <w:szCs w:val="24"/>
        </w:rPr>
      </w:pPr>
      <w:r>
        <w:rPr>
          <w:rFonts w:ascii="Times New Roman" w:hAnsi="Times New Roman" w:cs="Times New Roman"/>
          <w:sz w:val="24"/>
          <w:szCs w:val="24"/>
        </w:rPr>
        <w:object w:dxaOrig="8730" w:dyaOrig="4485" w14:anchorId="4624CF5A">
          <v:shape id="_x0000_i1027" style="width:436.5pt;height:224.25pt" o:ole="" type="#_x0000_t75">
            <v:imagedata o:title="" r:id="rId12"/>
          </v:shape>
          <o:OLEObject Type="Embed" ProgID="Paint.Picture" ShapeID="_x0000_i1027" DrawAspect="Content" ObjectID="_1718087324" r:id="rId13"/>
        </w:object>
      </w:r>
    </w:p>
    <w:p w:rsidR="000349E7" w:rsidP="000349E7" w:rsidRDefault="000349E7" w14:paraId="5E35809E" w14:textId="77777777">
      <w:pPr>
        <w:jc w:val="both"/>
        <w:rPr>
          <w:rFonts w:ascii="Times New Roman" w:hAnsi="Times New Roman" w:cs="Times New Roman"/>
          <w:sz w:val="24"/>
          <w:szCs w:val="24"/>
          <w:lang w:val="es-PE"/>
        </w:rPr>
      </w:pPr>
      <w:r>
        <w:rPr>
          <w:rFonts w:ascii="Times New Roman" w:hAnsi="Times New Roman" w:cs="Times New Roman"/>
          <w:sz w:val="24"/>
          <w:szCs w:val="24"/>
        </w:rPr>
        <w:object w:dxaOrig="8790" w:dyaOrig="4410" w14:anchorId="0D337708">
          <v:shape id="_x0000_i1028" style="width:439.5pt;height:220.5pt" o:ole="" type="#_x0000_t75">
            <v:imagedata o:title="" r:id="rId14"/>
          </v:shape>
          <o:OLEObject Type="Embed" ProgID="Paint.Picture" ShapeID="_x0000_i1028" DrawAspect="Content" ObjectID="_1718087325" r:id="rId15"/>
        </w:object>
      </w:r>
    </w:p>
    <w:p w:rsidR="000349E7" w:rsidP="000349E7" w:rsidRDefault="000349E7" w14:paraId="4594188C" w14:textId="77777777">
      <w:pPr>
        <w:jc w:val="both"/>
        <w:rPr>
          <w:rFonts w:ascii="Times New Roman" w:hAnsi="Times New Roman" w:cs="Times New Roman"/>
          <w:noProof/>
          <w:sz w:val="24"/>
          <w:szCs w:val="24"/>
          <w:lang w:val="es-PE"/>
        </w:rPr>
      </w:pPr>
      <w:r>
        <w:rPr>
          <w:rFonts w:ascii="Times New Roman" w:hAnsi="Times New Roman" w:cs="Times New Roman"/>
          <w:noProof/>
          <w:sz w:val="24"/>
          <w:szCs w:val="24"/>
          <w:lang w:val="es-PE"/>
        </w:rPr>
        <w:t>En este caso, conforme a lo sustentando por la reclamante, con fecha 17 de septiembre de 2021 había sufrido un fraude informático:</w:t>
      </w:r>
    </w:p>
    <w:p w:rsidR="000349E7" w:rsidP="000349E7" w:rsidRDefault="000349E7" w14:paraId="5D7E82F5" w14:textId="0E2B7CF9">
      <w:pPr>
        <w:jc w:val="both"/>
      </w:pPr>
      <w:r w:rsidR="58704375">
        <w:rPr/>
        <w:t>................................................................................................................................................................</w:t>
      </w:r>
    </w:p>
    <w:p w:rsidR="000349E7" w:rsidP="000349E7" w:rsidRDefault="000349E7" w14:paraId="5972D183" w14:textId="77777777">
      <w:pPr>
        <w:jc w:val="both"/>
        <w:rPr>
          <w:rFonts w:ascii="Times New Roman" w:hAnsi="Times New Roman" w:cs="Times New Roman"/>
          <w:noProof/>
          <w:sz w:val="24"/>
          <w:szCs w:val="24"/>
          <w:lang w:val="es-PE"/>
        </w:rPr>
      </w:pPr>
      <w:r>
        <w:rPr>
          <w:rFonts w:ascii="Times New Roman" w:hAnsi="Times New Roman" w:cs="Times New Roman"/>
          <w:noProof/>
          <w:sz w:val="24"/>
          <w:szCs w:val="24"/>
          <w:lang w:val="es-PE"/>
        </w:rPr>
        <w:t>Como consecuencia de ello, se realizaron tres operaciones no reconocidas (un retiro cajero automático y dos retiros en efectivo) por la suma de S/. 4,000.00:</w:t>
      </w:r>
    </w:p>
    <w:p w:rsidR="000349E7" w:rsidP="000349E7" w:rsidRDefault="000349E7" w14:paraId="24DC66A2" w14:textId="77777777">
      <w:pPr>
        <w:jc w:val="center"/>
        <w:rPr>
          <w:rFonts w:ascii="Times New Roman" w:hAnsi="Times New Roman" w:cs="Times New Roman"/>
          <w:noProof/>
          <w:sz w:val="24"/>
          <w:szCs w:val="24"/>
        </w:rPr>
      </w:pPr>
      <w:r>
        <w:rPr>
          <w:rFonts w:ascii="Times New Roman" w:hAnsi="Times New Roman" w:cs="Times New Roman"/>
          <w:sz w:val="24"/>
          <w:szCs w:val="24"/>
        </w:rPr>
        <w:object w:dxaOrig="8115" w:dyaOrig="1245" w14:anchorId="241C8373">
          <v:shape id="_x0000_i1030" style="width:405.75pt;height:62.25pt" o:ole="" type="#_x0000_t75">
            <v:imagedata o:title="" r:id="rId18"/>
          </v:shape>
          <o:OLEObject Type="Embed" ProgID="Paint.Picture" ShapeID="_x0000_i1030" DrawAspect="Content" ObjectID="_1718087327" r:id="rId19"/>
        </w:object>
      </w:r>
    </w:p>
    <w:p w:rsidR="000349E7" w:rsidP="000349E7" w:rsidRDefault="000349E7" w14:paraId="365A18BD" w14:textId="77777777">
      <w:pPr>
        <w:jc w:val="both"/>
        <w:rPr>
          <w:rFonts w:ascii="Times New Roman" w:hAnsi="Times New Roman" w:cs="Times New Roman"/>
          <w:noProof/>
          <w:sz w:val="24"/>
          <w:szCs w:val="24"/>
          <w:lang w:val="es-PE"/>
        </w:rPr>
      </w:pPr>
      <w:r>
        <w:rPr>
          <w:rFonts w:ascii="Times New Roman" w:hAnsi="Times New Roman" w:cs="Times New Roman"/>
          <w:noProof/>
          <w:sz w:val="24"/>
          <w:szCs w:val="24"/>
          <w:lang w:val="es-PE"/>
        </w:rPr>
        <w:t>En este caso no existió robo y/o hurto de la tarjeta asegurada ni se hizo uso indebido de la misma en establecimientos comerciales (supuesto 1), tampoco se produjo un uso forzado de la tarjeta (supuesto 2) , ni se sustrajo dinero tras retirarlo del cajero (supuesto 3); así como tampoco estamos ante compras fraudulentas vía internet (supuesto 4), en tanto las operaciones no reconocidas  son retiros de dinero.</w:t>
      </w:r>
    </w:p>
    <w:p w:rsidR="000349E7" w:rsidP="000349E7" w:rsidRDefault="000349E7" w14:paraId="3973D3DE" w14:textId="77777777">
      <w:pPr>
        <w:jc w:val="both"/>
        <w:rPr>
          <w:rFonts w:ascii="Times New Roman" w:hAnsi="Times New Roman" w:cs="Times New Roman"/>
          <w:sz w:val="24"/>
          <w:szCs w:val="24"/>
          <w:lang w:val="es-PE"/>
        </w:rPr>
      </w:pPr>
    </w:p>
    <w:p w:rsidR="000349E7" w:rsidP="000349E7" w:rsidRDefault="000349E7" w14:paraId="2B93B0E2" w14:textId="77777777">
      <w:pPr>
        <w:jc w:val="both"/>
        <w:rPr>
          <w:rFonts w:ascii="Times New Roman" w:hAnsi="Times New Roman" w:cs="Times New Roman"/>
          <w:noProof/>
          <w:sz w:val="24"/>
          <w:szCs w:val="24"/>
          <w:lang w:val="es-PE"/>
        </w:rPr>
      </w:pPr>
      <w:r>
        <w:rPr>
          <w:rFonts w:ascii="Times New Roman" w:hAnsi="Times New Roman" w:cs="Times New Roman"/>
          <w:noProof/>
          <w:sz w:val="24"/>
          <w:szCs w:val="24"/>
          <w:lang w:val="es-PE"/>
        </w:rPr>
        <w:lastRenderedPageBreak/>
        <w:t xml:space="preserve">No se ha producido la clonación y/o adulteración de la tarjeta (supuesto 5), ni los supuestos 6, 7, 8 y 9 que contempla la póliza. </w:t>
      </w:r>
    </w:p>
    <w:p w:rsidR="000349E7" w:rsidP="000349E7" w:rsidRDefault="000349E7" w14:paraId="5BF5A1A5"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Pr>
          <w:rFonts w:ascii="Times New Roman" w:hAnsi="Times New Roman" w:cs="Times New Roman"/>
          <w:sz w:val="24"/>
          <w:szCs w:val="24"/>
          <w:lang w:val="es-PE"/>
        </w:rPr>
        <w:t>en razón del</w:t>
      </w:r>
      <w:proofErr w:type="gramEnd"/>
      <w:r>
        <w:rPr>
          <w:rFonts w:ascii="Times New Roman" w:hAnsi="Times New Roman" w:cs="Times New Roman"/>
          <w:sz w:val="24"/>
          <w:szCs w:val="24"/>
          <w:lang w:val="es-PE"/>
        </w:rPr>
        <w:t xml:space="preserve"> cual se estructuró el equilibrio contractual. </w:t>
      </w:r>
    </w:p>
    <w:p w:rsidR="000349E7" w:rsidP="000349E7" w:rsidRDefault="000349E7" w14:paraId="79472515" w14:textId="77777777">
      <w:pPr>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Al respecto, es aplicable lo sancionado en la sétima regla interpretativa contenida en el artículo IV de la Ley Nro. 29946 – Ley del Contrato de Seguro: </w:t>
      </w:r>
      <w:r>
        <w:rPr>
          <w:rFonts w:ascii="Times New Roman" w:hAnsi="Times New Roman" w:cs="Times New Roman"/>
          <w:b/>
          <w:bCs/>
          <w:i/>
          <w:iCs/>
          <w:sz w:val="24"/>
          <w:szCs w:val="24"/>
          <w:lang w:val="es-PE"/>
        </w:rPr>
        <w:t>“La cobertura,</w:t>
      </w:r>
      <w:r>
        <w:rPr>
          <w:rFonts w:ascii="Times New Roman" w:hAnsi="Times New Roman" w:cs="Times New Roman"/>
          <w:i/>
          <w:iCs/>
          <w:sz w:val="24"/>
          <w:szCs w:val="24"/>
          <w:lang w:val="es-PE"/>
        </w:rPr>
        <w:t xml:space="preserve"> exclusiones </w:t>
      </w:r>
      <w:r>
        <w:rPr>
          <w:rFonts w:ascii="Times New Roman" w:hAnsi="Times New Roman" w:cs="Times New Roman"/>
          <w:b/>
          <w:bCs/>
          <w:i/>
          <w:iCs/>
          <w:sz w:val="24"/>
          <w:szCs w:val="24"/>
          <w:lang w:val="es-PE"/>
        </w:rPr>
        <w:t xml:space="preserve">y, en general, la extensión del riesgo, </w:t>
      </w:r>
      <w:r>
        <w:rPr>
          <w:rFonts w:ascii="Times New Roman" w:hAnsi="Times New Roman" w:cs="Times New Roman"/>
          <w:i/>
          <w:iCs/>
          <w:sz w:val="24"/>
          <w:szCs w:val="24"/>
          <w:lang w:val="es-PE"/>
        </w:rPr>
        <w:t xml:space="preserve">así como los derechos de los beneficiarios, previstos en el contrato de seguro, </w:t>
      </w:r>
      <w:r>
        <w:rPr>
          <w:rFonts w:ascii="Times New Roman" w:hAnsi="Times New Roman" w:cs="Times New Roman"/>
          <w:b/>
          <w:bCs/>
          <w:i/>
          <w:iCs/>
          <w:sz w:val="24"/>
          <w:szCs w:val="24"/>
          <w:lang w:val="es-PE"/>
        </w:rPr>
        <w:t xml:space="preserve">deben interpretarse literalmente” </w:t>
      </w:r>
      <w:r>
        <w:rPr>
          <w:rFonts w:ascii="Times New Roman" w:hAnsi="Times New Roman" w:cs="Times New Roman"/>
          <w:sz w:val="24"/>
          <w:szCs w:val="24"/>
          <w:lang w:val="es-PE"/>
        </w:rPr>
        <w:t>(lo destacado es nuestro); y, en este sentido, carece de sustento pretender que la aseguradora deba otorgar cobertura a riesgos que no han sido aceptados.</w:t>
      </w:r>
    </w:p>
    <w:p w:rsidRPr="000349E7" w:rsidR="000349E7" w:rsidP="000349E7" w:rsidRDefault="000349E7" w14:paraId="39669748" w14:textId="77777777">
      <w:pPr>
        <w:jc w:val="both"/>
        <w:rPr>
          <w:rStyle w:val="Textoennegrita"/>
          <w:b w:val="0"/>
          <w:noProof/>
          <w:lang w:val="es-PE"/>
        </w:rPr>
      </w:pPr>
      <w:r>
        <w:rPr>
          <w:rFonts w:ascii="Times New Roman" w:hAnsi="Times New Roman" w:cs="Times New Roman"/>
          <w:noProof/>
          <w:sz w:val="24"/>
          <w:szCs w:val="24"/>
          <w:lang w:val="es-PE"/>
        </w:rPr>
        <w:t>Al respecto, no</w:t>
      </w:r>
      <w:r>
        <w:rPr>
          <w:rFonts w:ascii="Times New Roman" w:hAnsi="Times New Roman" w:cs="Times New Roman"/>
          <w:b/>
          <w:bCs/>
          <w:noProof/>
          <w:sz w:val="24"/>
          <w:szCs w:val="24"/>
          <w:lang w:val="es-PE"/>
        </w:rPr>
        <w:t xml:space="preserve"> </w:t>
      </w:r>
      <w:r w:rsidRPr="000349E7">
        <w:rPr>
          <w:rStyle w:val="Textoennegrita"/>
          <w:rFonts w:ascii="Times New Roman" w:hAnsi="Times New Roman" w:cs="Times New Roman"/>
          <w:b w:val="0"/>
          <w:sz w:val="24"/>
          <w:szCs w:val="24"/>
          <w:lang w:val="es-PE"/>
        </w:rPr>
        <w:t xml:space="preserve">se desconoce que se hayan realizado operaciones no autorizadas, lo que sucede es que dicho supuesto no se encuentra como un riesgo </w:t>
      </w:r>
      <w:proofErr w:type="spellStart"/>
      <w:r w:rsidRPr="000349E7">
        <w:rPr>
          <w:rStyle w:val="Textoennegrita"/>
          <w:rFonts w:ascii="Times New Roman" w:hAnsi="Times New Roman" w:cs="Times New Roman"/>
          <w:b w:val="0"/>
          <w:sz w:val="24"/>
          <w:szCs w:val="24"/>
          <w:lang w:val="es-PE"/>
        </w:rPr>
        <w:t>coberturado</w:t>
      </w:r>
      <w:proofErr w:type="spellEnd"/>
      <w:r w:rsidRPr="000349E7">
        <w:rPr>
          <w:rStyle w:val="Textoennegrita"/>
          <w:rFonts w:ascii="Times New Roman" w:hAnsi="Times New Roman" w:cs="Times New Roman"/>
          <w:b w:val="0"/>
          <w:sz w:val="24"/>
          <w:szCs w:val="24"/>
          <w:lang w:val="es-PE"/>
        </w:rPr>
        <w:t xml:space="preserve"> en la póliza contrada.</w:t>
      </w:r>
    </w:p>
    <w:p w:rsidRPr="000349E7" w:rsidR="000349E7" w:rsidP="000349E7" w:rsidRDefault="000349E7" w14:paraId="2FC67A5A" w14:textId="77777777">
      <w:pPr>
        <w:tabs>
          <w:tab w:val="left" w:pos="2160"/>
        </w:tabs>
        <w:jc w:val="both"/>
        <w:rPr>
          <w:rStyle w:val="Textoennegrita"/>
          <w:rFonts w:ascii="Times New Roman" w:hAnsi="Times New Roman" w:cs="Times New Roman"/>
          <w:b w:val="0"/>
          <w:sz w:val="24"/>
          <w:szCs w:val="24"/>
          <w:lang w:val="es-PE"/>
        </w:rPr>
      </w:pPr>
      <w:r w:rsidRPr="000349E7">
        <w:rPr>
          <w:rStyle w:val="Textoennegrita"/>
          <w:rFonts w:ascii="Times New Roman" w:hAnsi="Times New Roman" w:cs="Times New Roman"/>
          <w:b w:val="0"/>
          <w:sz w:val="24"/>
          <w:szCs w:val="24"/>
          <w:lang w:val="es-PE"/>
        </w:rPr>
        <w:t>Consecuentemente, en el presente caso no se ha probado ninguno de los supuestos de hecho que materializarían la cobertura</w:t>
      </w:r>
      <w:r w:rsidRPr="000349E7">
        <w:rPr>
          <w:rFonts w:ascii="Times New Roman" w:hAnsi="Times New Roman" w:cs="Times New Roman"/>
          <w:b/>
          <w:sz w:val="24"/>
          <w:szCs w:val="24"/>
          <w:lang w:val="es-MX"/>
        </w:rPr>
        <w:t xml:space="preserve"> </w:t>
      </w:r>
      <w:r w:rsidRPr="000349E7">
        <w:rPr>
          <w:rFonts w:ascii="Times New Roman" w:hAnsi="Times New Roman" w:cs="Times New Roman"/>
          <w:bCs/>
          <w:sz w:val="24"/>
          <w:szCs w:val="24"/>
          <w:lang w:val="es-MX"/>
        </w:rPr>
        <w:t>del Seguro Contratado</w:t>
      </w:r>
      <w:r w:rsidRPr="000349E7">
        <w:rPr>
          <w:rStyle w:val="Textoennegrita"/>
          <w:rFonts w:ascii="Times New Roman" w:hAnsi="Times New Roman" w:cs="Times New Roman"/>
          <w:b w:val="0"/>
          <w:sz w:val="24"/>
          <w:szCs w:val="24"/>
          <w:lang w:val="es-PE"/>
        </w:rPr>
        <w:t>, esto es, no se ha demostrado la existencia de un siniestro que deba ser indemnizado bajo el Seguro contratado.</w:t>
      </w:r>
    </w:p>
    <w:p w:rsidRPr="000349E7" w:rsidR="000349E7" w:rsidP="000349E7" w:rsidRDefault="000349E7" w14:paraId="6C509653" w14:textId="09AB6CBE">
      <w:pPr>
        <w:jc w:val="both"/>
        <w:rPr>
          <w:lang w:val="es-PE"/>
        </w:rPr>
      </w:pPr>
      <w:r w:rsidRPr="1FE6D010" w:rsidR="000349E7">
        <w:rPr>
          <w:rFonts w:ascii="Times New Roman" w:hAnsi="Times New Roman" w:cs="Times New Roman"/>
          <w:b w:val="1"/>
          <w:bCs w:val="1"/>
          <w:sz w:val="24"/>
          <w:szCs w:val="24"/>
          <w:u w:val="single"/>
          <w:lang w:val="es-PE"/>
        </w:rPr>
        <w:t>TERCERO</w:t>
      </w:r>
      <w:r w:rsidRPr="1FE6D010" w:rsidR="000349E7">
        <w:rPr>
          <w:rFonts w:ascii="Times New Roman" w:hAnsi="Times New Roman" w:cs="Times New Roman"/>
          <w:b w:val="1"/>
          <w:bCs w:val="1"/>
          <w:sz w:val="24"/>
          <w:szCs w:val="24"/>
          <w:lang w:val="es-PE"/>
        </w:rPr>
        <w:t>:</w:t>
      </w:r>
      <w:r w:rsidRPr="1FE6D010" w:rsidR="000349E7">
        <w:rPr>
          <w:rFonts w:ascii="Times New Roman" w:hAnsi="Times New Roman" w:cs="Times New Roman"/>
          <w:sz w:val="24"/>
          <w:szCs w:val="24"/>
          <w:lang w:val="es-PE"/>
        </w:rPr>
        <w:t xml:space="preserve">  En atención a las consideraciones precedentes, este colegiado aprecia finalmente que en base a los nuevos medios probatorios presentados por </w:t>
      </w:r>
      <w:r w:rsidRPr="1FE6D010" w:rsidR="3B95804E">
        <w:rPr>
          <w:rFonts w:ascii="Times New Roman" w:hAnsi="Times New Roman" w:cs="Times New Roman"/>
          <w:sz w:val="24"/>
          <w:szCs w:val="24"/>
          <w:lang w:val="es-PE"/>
        </w:rPr>
        <w:t>...............................</w:t>
      </w:r>
      <w:r w:rsidRPr="1FE6D010" w:rsidR="000349E7">
        <w:rPr>
          <w:rFonts w:ascii="Times New Roman" w:hAnsi="Times New Roman" w:cs="Times New Roman"/>
          <w:sz w:val="24"/>
          <w:szCs w:val="24"/>
          <w:lang w:val="es-PE"/>
        </w:rPr>
        <w:t>, existe mérito suficiente y razón objetiva para revocarla.</w:t>
      </w:r>
    </w:p>
    <w:p w:rsidR="000349E7" w:rsidP="000349E7" w:rsidRDefault="000349E7" w14:paraId="6AA3E0DE" w14:textId="77777777">
      <w:pPr>
        <w:jc w:val="both"/>
        <w:rPr>
          <w:rFonts w:ascii="Times New Roman" w:hAnsi="Times New Roman" w:cs="Times New Roman"/>
          <w:b/>
          <w:sz w:val="24"/>
          <w:szCs w:val="24"/>
          <w:lang w:val="es-PE"/>
        </w:rPr>
      </w:pPr>
      <w:r>
        <w:rPr>
          <w:rFonts w:ascii="Times New Roman" w:hAnsi="Times New Roman" w:cs="Times New Roman"/>
          <w:b/>
          <w:sz w:val="24"/>
          <w:szCs w:val="24"/>
          <w:lang w:val="es-PE"/>
        </w:rPr>
        <w:t>ATENDIENDO A LO EXPRESADO, CONFORME A SU REGLAMENTO, ESTE COLEGIADO RESUELVE:</w:t>
      </w:r>
    </w:p>
    <w:p w:rsidR="000349E7" w:rsidP="1FE6D010" w:rsidRDefault="000349E7" w14:paraId="2BF68216" w14:textId="470747C6">
      <w:pPr>
        <w:pStyle w:val="Default"/>
        <w:jc w:val="both"/>
        <w:rPr>
          <w:rFonts w:ascii="Times New Roman" w:hAnsi="Times New Roman" w:cs="Times New Roman"/>
          <w:b w:val="1"/>
          <w:bCs w:val="1"/>
        </w:rPr>
      </w:pPr>
      <w:r w:rsidRPr="1FE6D010" w:rsidR="000349E7">
        <w:rPr>
          <w:rFonts w:ascii="Times New Roman" w:hAnsi="Times New Roman" w:cs="Times New Roman"/>
          <w:b w:val="1"/>
          <w:bCs w:val="1"/>
        </w:rPr>
        <w:t xml:space="preserve">DECLARAR FUNDADO </w:t>
      </w:r>
      <w:r w:rsidRPr="1FE6D010" w:rsidR="000349E7">
        <w:rPr>
          <w:rFonts w:ascii="Times New Roman" w:hAnsi="Times New Roman" w:cs="Times New Roman"/>
        </w:rPr>
        <w:t>el recurso de impugnación interpuesto por</w:t>
      </w:r>
      <w:r w:rsidRPr="1FE6D010" w:rsidR="000349E7">
        <w:rPr>
          <w:rFonts w:ascii="Times New Roman" w:hAnsi="Times New Roman" w:cs="Times New Roman"/>
          <w:b w:val="1"/>
          <w:bCs w:val="1"/>
        </w:rPr>
        <w:t xml:space="preserve"> </w:t>
      </w:r>
      <w:r w:rsidRPr="1FE6D010" w:rsidR="5EE0ECCF">
        <w:rPr>
          <w:rFonts w:ascii="Times New Roman" w:hAnsi="Times New Roman" w:cs="Times New Roman"/>
          <w:b w:val="1"/>
          <w:bCs w:val="1"/>
        </w:rPr>
        <w:t>........................................................</w:t>
      </w:r>
      <w:r w:rsidRPr="1FE6D010" w:rsidR="000349E7">
        <w:rPr>
          <w:rFonts w:ascii="Times New Roman" w:hAnsi="Times New Roman" w:cs="Times New Roman"/>
          <w:b w:val="1"/>
          <w:bCs w:val="1"/>
        </w:rPr>
        <w:t xml:space="preserve"> </w:t>
      </w:r>
      <w:r w:rsidRPr="1FE6D010" w:rsidR="000349E7">
        <w:rPr>
          <w:rFonts w:ascii="Times New Roman" w:hAnsi="Times New Roman" w:cs="Times New Roman"/>
        </w:rPr>
        <w:t>y, por consiguiente,</w:t>
      </w:r>
      <w:r w:rsidRPr="1FE6D010" w:rsidR="000349E7">
        <w:rPr>
          <w:rFonts w:ascii="Times New Roman" w:hAnsi="Times New Roman" w:cs="Times New Roman"/>
          <w:b w:val="1"/>
          <w:bCs w:val="1"/>
        </w:rPr>
        <w:t xml:space="preserve"> REVOCAR la Resolución </w:t>
      </w:r>
      <w:r w:rsidRPr="1FE6D010" w:rsidR="000349E7">
        <w:rPr>
          <w:rFonts w:ascii="Times New Roman" w:hAnsi="Times New Roman" w:cs="Times New Roman"/>
          <w:b w:val="1"/>
          <w:bCs w:val="1"/>
        </w:rPr>
        <w:t>N°</w:t>
      </w:r>
      <w:r w:rsidRPr="1FE6D010" w:rsidR="000349E7">
        <w:rPr>
          <w:rFonts w:ascii="Times New Roman" w:hAnsi="Times New Roman" w:cs="Times New Roman"/>
          <w:b w:val="1"/>
          <w:bCs w:val="1"/>
        </w:rPr>
        <w:t xml:space="preserve"> 087/22</w:t>
      </w:r>
      <w:r w:rsidRPr="1FE6D010" w:rsidR="000349E7">
        <w:rPr>
          <w:rFonts w:ascii="Times New Roman" w:hAnsi="Times New Roman" w:cs="Times New Roman"/>
          <w:b w:val="1"/>
          <w:bCs w:val="1"/>
          <w:lang w:val="es-MX"/>
        </w:rPr>
        <w:t>.</w:t>
      </w:r>
    </w:p>
    <w:p w:rsidRPr="002D2DFA" w:rsidR="00F6061C" w:rsidP="00C173A8" w:rsidRDefault="00F6061C" w14:paraId="7AF49280" w14:textId="77777777">
      <w:pPr>
        <w:spacing w:after="0" w:line="240" w:lineRule="auto"/>
        <w:jc w:val="both"/>
        <w:rPr>
          <w:rFonts w:ascii="Times New Roman" w:hAnsi="Times New Roman" w:eastAsia="Times New Roman" w:cs="Times New Roman"/>
          <w:sz w:val="24"/>
          <w:szCs w:val="24"/>
          <w:lang w:val="es-PE" w:eastAsia="ar-SA"/>
        </w:rPr>
      </w:pPr>
    </w:p>
    <w:p w:rsidRPr="00E22EBE" w:rsidR="00C173A8" w:rsidP="00092C2E" w:rsidRDefault="00C173A8" w14:paraId="21EFD7D3" w14:textId="656CD2B1">
      <w:pPr>
        <w:suppressAutoHyphens/>
        <w:spacing w:after="0" w:line="240" w:lineRule="auto"/>
        <w:jc w:val="right"/>
        <w:outlineLvl w:val="0"/>
        <w:rPr>
          <w:rFonts w:ascii="Times New Roman" w:hAnsi="Times New Roman" w:eastAsia="Arial Unicode MS" w:cs="Times New Roman"/>
          <w:sz w:val="24"/>
          <w:szCs w:val="24"/>
          <w:lang w:val="es-PE" w:eastAsia="ar-SA"/>
        </w:rPr>
      </w:pPr>
      <w:r w:rsidRPr="00E22EBE">
        <w:rPr>
          <w:rFonts w:ascii="Times New Roman" w:hAnsi="Times New Roman" w:eastAsia="Arial Unicode MS" w:cs="Times New Roman"/>
          <w:sz w:val="24"/>
          <w:szCs w:val="24"/>
          <w:lang w:val="es-PE" w:eastAsia="ar-SA"/>
        </w:rPr>
        <w:t xml:space="preserve">Lima, </w:t>
      </w:r>
      <w:r w:rsidRPr="00E22EBE" w:rsidR="00B93683">
        <w:rPr>
          <w:rFonts w:ascii="Times New Roman" w:hAnsi="Times New Roman" w:eastAsia="Arial Unicode MS" w:cs="Times New Roman"/>
          <w:sz w:val="24"/>
          <w:szCs w:val="24"/>
          <w:lang w:val="es-PE" w:eastAsia="ar-SA"/>
        </w:rPr>
        <w:t>30</w:t>
      </w:r>
      <w:r w:rsidRPr="00E22EBE">
        <w:rPr>
          <w:rFonts w:ascii="Times New Roman" w:hAnsi="Times New Roman" w:eastAsia="Arial Unicode MS" w:cs="Times New Roman"/>
          <w:sz w:val="24"/>
          <w:szCs w:val="24"/>
          <w:lang w:val="es-PE" w:eastAsia="ar-SA"/>
        </w:rPr>
        <w:t xml:space="preserve"> de </w:t>
      </w:r>
      <w:r w:rsidRPr="00E22EBE" w:rsidR="006E5783">
        <w:rPr>
          <w:rFonts w:ascii="Times New Roman" w:hAnsi="Times New Roman" w:eastAsia="Arial Unicode MS" w:cs="Times New Roman"/>
          <w:sz w:val="24"/>
          <w:szCs w:val="24"/>
          <w:lang w:val="es-PE" w:eastAsia="ar-SA"/>
        </w:rPr>
        <w:t>junio</w:t>
      </w:r>
      <w:r w:rsidRPr="00E22EBE">
        <w:rPr>
          <w:rFonts w:ascii="Times New Roman" w:hAnsi="Times New Roman" w:eastAsia="Arial Unicode MS" w:cs="Times New Roman"/>
          <w:sz w:val="24"/>
          <w:szCs w:val="24"/>
          <w:lang w:val="es-PE" w:eastAsia="ar-SA"/>
        </w:rPr>
        <w:t xml:space="preserve"> de 2022</w:t>
      </w:r>
      <w:r w:rsidRPr="00E22EBE">
        <w:rPr>
          <w:rFonts w:ascii="Times New Roman" w:hAnsi="Times New Roman" w:eastAsia="Times New Roman" w:cs="Times New Roman"/>
          <w:sz w:val="24"/>
          <w:szCs w:val="24"/>
          <w:lang w:val="es-PE" w:eastAsia="ar-SA"/>
        </w:rPr>
        <w:t xml:space="preserve"> </w:t>
      </w:r>
    </w:p>
    <w:p w:rsidRPr="00E22EBE"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22EBE"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E22EB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22EBE"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E22EBE"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Marco Antonio Ortega Piana – </w:t>
      </w:r>
      <w:proofErr w:type="gramStart"/>
      <w:r w:rsidRPr="00E22EBE">
        <w:rPr>
          <w:rFonts w:ascii="Times New Roman" w:hAnsi="Times New Roman" w:cs="Times New Roman"/>
          <w:b/>
          <w:bCs/>
          <w:sz w:val="24"/>
          <w:szCs w:val="24"/>
          <w:lang w:val="es-PE"/>
        </w:rPr>
        <w:t>Presidente</w:t>
      </w:r>
      <w:proofErr w:type="gramEnd"/>
    </w:p>
    <w:p w:rsidRPr="00E22EBE"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María Eugenia Valdez Fernández Baca – </w:t>
      </w:r>
      <w:r w:rsidRPr="00E22EBE" w:rsidR="001B1998">
        <w:rPr>
          <w:rFonts w:ascii="Times New Roman" w:hAnsi="Times New Roman" w:cs="Times New Roman"/>
          <w:b/>
          <w:bCs/>
          <w:sz w:val="24"/>
          <w:szCs w:val="24"/>
          <w:lang w:val="es-PE"/>
        </w:rPr>
        <w:t>Vocal</w:t>
      </w:r>
    </w:p>
    <w:p w:rsidRPr="00E22EBE"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E22EBE">
        <w:rPr>
          <w:rFonts w:ascii="Times New Roman" w:hAnsi="Times New Roman" w:cs="Times New Roman"/>
          <w:b/>
          <w:bCs/>
          <w:sz w:val="24"/>
          <w:szCs w:val="24"/>
          <w:lang w:val="es-PE"/>
        </w:rPr>
        <w:t xml:space="preserve">Rolando Eyzaguirre </w:t>
      </w:r>
      <w:proofErr w:type="spellStart"/>
      <w:r w:rsidRPr="00E22EBE">
        <w:rPr>
          <w:rFonts w:ascii="Times New Roman" w:hAnsi="Times New Roman" w:cs="Times New Roman"/>
          <w:b/>
          <w:bCs/>
          <w:sz w:val="24"/>
          <w:szCs w:val="24"/>
          <w:lang w:val="es-PE"/>
        </w:rPr>
        <w:t>Maccan</w:t>
      </w:r>
      <w:proofErr w:type="spellEnd"/>
      <w:r w:rsidRPr="00E22EBE">
        <w:rPr>
          <w:rFonts w:ascii="Times New Roman" w:hAnsi="Times New Roman" w:cs="Times New Roman"/>
          <w:b/>
          <w:bCs/>
          <w:sz w:val="24"/>
          <w:szCs w:val="24"/>
          <w:lang w:val="es-PE"/>
        </w:rPr>
        <w:t xml:space="preserve"> - Vocal</w:t>
      </w:r>
    </w:p>
    <w:p w:rsidRPr="00E22EBE"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E22EBE">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20"/>
      <w:footerReference w:type="default" r:id="rId2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3A2D" w:rsidP="00784355" w:rsidRDefault="005B3A2D" w14:paraId="2F93C629" w14:textId="77777777">
      <w:pPr>
        <w:spacing w:after="0" w:line="240" w:lineRule="auto"/>
      </w:pPr>
      <w:r>
        <w:separator/>
      </w:r>
    </w:p>
  </w:endnote>
  <w:endnote w:type="continuationSeparator" w:id="0">
    <w:p w:rsidR="005B3A2D" w:rsidP="00784355" w:rsidRDefault="005B3A2D" w14:paraId="700C04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3A2D" w:rsidP="00784355" w:rsidRDefault="005B3A2D" w14:paraId="1999BBE1" w14:textId="77777777">
      <w:pPr>
        <w:spacing w:after="0" w:line="240" w:lineRule="auto"/>
      </w:pPr>
      <w:r>
        <w:separator/>
      </w:r>
    </w:p>
  </w:footnote>
  <w:footnote w:type="continuationSeparator" w:id="0">
    <w:p w:rsidR="005B3A2D" w:rsidP="00784355" w:rsidRDefault="005B3A2D" w14:paraId="7D7137D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09EF"/>
    <w:rsid w:val="00504C79"/>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3A2D"/>
    <w:rsid w:val="005B54CD"/>
    <w:rsid w:val="005C524E"/>
    <w:rsid w:val="005C5AB9"/>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2EBE"/>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518D6B2"/>
    <w:rsid w:val="056BA4EA"/>
    <w:rsid w:val="09C8F90A"/>
    <w:rsid w:val="1FE6D010"/>
    <w:rsid w:val="34A6DC3F"/>
    <w:rsid w:val="3AFFB753"/>
    <w:rsid w:val="3B95804E"/>
    <w:rsid w:val="52826769"/>
    <w:rsid w:val="58704375"/>
    <w:rsid w:val="5965A2B8"/>
    <w:rsid w:val="59877409"/>
    <w:rsid w:val="5EE0ECCF"/>
    <w:rsid w:val="61631AB3"/>
    <w:rsid w:val="6E3CC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25" Type="http://schemas.openxmlformats.org/officeDocument/2006/relationships/customXml" Target="../customXml/item3.xml"/><Relationship Id="rId2" Type="http://schemas.openxmlformats.org/officeDocument/2006/relationships/numbering" Target="numbering.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oleObject6.bin"/><Relationship Id="rId4"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B35423F-3AD8-4BEE-BDAD-F7CB5AB3E720}"/>
</file>

<file path=customXml/itemProps3.xml><?xml version="1.0" encoding="utf-8"?>
<ds:datastoreItem xmlns:ds="http://schemas.openxmlformats.org/officeDocument/2006/customXml" ds:itemID="{2C35AD33-F93A-4012-9C3C-B52CBB0B3B13}"/>
</file>

<file path=customXml/itemProps4.xml><?xml version="1.0" encoding="utf-8"?>
<ds:datastoreItem xmlns:ds="http://schemas.openxmlformats.org/officeDocument/2006/customXml" ds:itemID="{96066412-4392-4232-96F4-21640FFC3B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143</cp:revision>
  <cp:lastPrinted>2022-06-30T14:41:00Z</cp:lastPrinted>
  <dcterms:created xsi:type="dcterms:W3CDTF">2020-12-18T20:17:00Z</dcterms:created>
  <dcterms:modified xsi:type="dcterms:W3CDTF">2025-11-27T20:09:17Z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